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10-K</w:t>
      </w:r>
    </w:p>
    <w:p>
      <w:pPr>
        <w:spacing w:after="0" w:line="8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1-10686</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36" w:right="339" w:bottom="1440" w:gutter="0" w:footer="0" w:header="0"/>
        </w:sectPr>
      </w:pPr>
    </w:p>
    <w:p>
      <w:pPr>
        <w:spacing w:after="0" w:line="70"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55" w:lineRule="exact"/>
        <w:rPr>
          <w:sz w:val="24"/>
          <w:szCs w:val="24"/>
          <w:color w:val="auto"/>
        </w:rPr>
      </w:pPr>
    </w:p>
    <w:p>
      <w:pPr>
        <w:sectPr>
          <w:pgSz w:w="11900" w:h="16838" w:orient="portrait"/>
          <w:cols w:equalWidth="0" w:num="2">
            <w:col w:w="7280" w:space="720"/>
            <w:col w:w="3240"/>
          </w:cols>
          <w:pgMar w:left="320" w:top="436"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62" w:lineRule="exact"/>
        <w:rPr>
          <w:sz w:val="24"/>
          <w:szCs w:val="24"/>
          <w:color w:val="auto"/>
        </w:rPr>
      </w:pPr>
    </w:p>
    <w:p>
      <w:pPr>
        <w:sectPr>
          <w:pgSz w:w="11900" w:h="16838" w:orient="portrait"/>
          <w:cols w:equalWidth="0" w:num="2">
            <w:col w:w="6620" w:space="720"/>
            <w:col w:w="3900"/>
          </w:cols>
          <w:pgMar w:left="320" w:top="436"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auto"/>
        </w:rPr>
        <w:t>100 MANPOWER PLACE, MILWAUKEE, WISCONSIN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53212</w:t>
      </w:r>
    </w:p>
    <w:p>
      <w:pPr>
        <w:spacing w:after="0" w:line="50" w:lineRule="exact"/>
        <w:rPr>
          <w:sz w:val="24"/>
          <w:szCs w:val="24"/>
          <w:color w:val="auto"/>
        </w:rPr>
      </w:pPr>
    </w:p>
    <w:p>
      <w:pPr>
        <w:sectPr>
          <w:pgSz w:w="11900" w:h="16838" w:orient="portrait"/>
          <w:cols w:equalWidth="0" w:num="2">
            <w:col w:w="7480" w:space="720"/>
            <w:col w:w="3040"/>
          </w:cols>
          <w:pgMar w:left="320" w:top="436" w:right="33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62" w:lineRule="exact"/>
        <w:rPr>
          <w:sz w:val="24"/>
          <w:szCs w:val="24"/>
          <w:color w:val="auto"/>
        </w:rPr>
      </w:pPr>
    </w:p>
    <w:p>
      <w:pPr>
        <w:sectPr>
          <w:pgSz w:w="11900" w:h="16838" w:orient="portrait"/>
          <w:cols w:equalWidth="0" w:num="2">
            <w:col w:w="7380" w:space="720"/>
            <w:col w:w="3140"/>
          </w:cols>
          <w:pgMar w:left="320" w:top="43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36" w:right="339" w:bottom="1440" w:gutter="0" w:footer="0" w:header="0"/>
          <w:type w:val="continuous"/>
        </w:sectPr>
      </w:pPr>
    </w:p>
    <w:p>
      <w:pPr>
        <w:spacing w:after="0" w:line="99"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Title of each class</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Name of Exchange on which registered</w:t>
      </w:r>
    </w:p>
    <w:p>
      <w:pPr>
        <w:spacing w:after="0" w:line="73"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New York Stock Exchange</w:t>
      </w:r>
    </w:p>
    <w:p>
      <w:pPr>
        <w:spacing w:after="0" w:line="104" w:lineRule="exact"/>
        <w:rPr>
          <w:sz w:val="24"/>
          <w:szCs w:val="24"/>
          <w:color w:val="auto"/>
        </w:rPr>
      </w:pPr>
    </w:p>
    <w:p>
      <w:pPr>
        <w:sectPr>
          <w:pgSz w:w="11900" w:h="16838" w:orient="portrait"/>
          <w:cols w:equalWidth="0" w:num="3">
            <w:col w:w="4200" w:space="720"/>
            <w:col w:w="2140" w:space="720"/>
            <w:col w:w="3460"/>
          </w:cols>
          <w:pgMar w:left="320" w:top="43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240"/>
          </w:cols>
          <w:pgMar w:left="320" w:top="436" w:right="339" w:bottom="1440" w:gutter="0" w:footer="0" w:header="0"/>
          <w:type w:val="continuous"/>
        </w:sectPr>
      </w:pP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7620" w:space="140"/>
            <w:col w:w="240" w:space="160"/>
            <w:col w:w="160" w:space="160"/>
            <w:col w:w="200" w:space="160"/>
            <w:col w:w="2400"/>
          </w:cols>
          <w:pgMar w:left="320" w:top="436"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jc w:val="cente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0" w:lineRule="exact"/>
        <w:rPr>
          <w:sz w:val="24"/>
          <w:szCs w:val="24"/>
          <w:color w:val="auto"/>
        </w:rPr>
      </w:pPr>
    </w:p>
    <w:p>
      <w:pPr>
        <w:sectPr>
          <w:pgSz w:w="11900" w:h="16838" w:orient="portrait"/>
          <w:cols w:equalWidth="0" w:num="5">
            <w:col w:w="7760" w:space="160"/>
            <w:col w:w="240" w:space="160"/>
            <w:col w:w="140" w:space="160"/>
            <w:col w:w="200" w:space="160"/>
            <w:col w:w="2260"/>
          </w:cols>
          <w:pgMar w:left="320" w:top="436" w:right="339" w:bottom="1440" w:gutter="0" w:footer="0" w:header="0"/>
          <w:type w:val="continuous"/>
        </w:sect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6" w:right="339" w:bottom="1440" w:gutter="0" w:footer="0" w:header="0"/>
          <w:type w:val="continuous"/>
        </w:sectPr>
      </w:pPr>
    </w:p>
    <w:p>
      <w:pPr>
        <w:spacing w:after="0" w:line="49" w:lineRule="exact"/>
        <w:rPr>
          <w:sz w:val="24"/>
          <w:szCs w:val="24"/>
          <w:color w:val="auto"/>
        </w:rPr>
      </w:pPr>
    </w:p>
    <w:p>
      <w:pPr>
        <w:ind w:left="580"/>
        <w:spacing w:after="0" w:line="36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328" w:lineRule="auto"/>
        <w:rPr>
          <w:sz w:val="20"/>
          <w:szCs w:val="20"/>
          <w:color w:val="auto"/>
        </w:rPr>
      </w:pPr>
      <w:r>
        <w:rPr>
          <w:rFonts w:ascii="Arial" w:cs="Arial" w:eastAsia="Arial" w:hAnsi="Arial"/>
          <w:sz w:val="15"/>
          <w:szCs w:val="15"/>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76" w:lineRule="exact"/>
        <w:rPr>
          <w:sz w:val="24"/>
          <w:szCs w:val="24"/>
          <w:color w:val="auto"/>
        </w:rPr>
      </w:pPr>
    </w:p>
    <w:p>
      <w:pPr>
        <w:sectPr>
          <w:pgSz w:w="11900" w:h="16838" w:orient="portrait"/>
          <w:cols w:equalWidth="0" w:num="6">
            <w:col w:w="2340" w:space="380"/>
            <w:col w:w="140" w:space="700"/>
            <w:col w:w="1760" w:space="380"/>
            <w:col w:w="200" w:space="720"/>
            <w:col w:w="1380" w:space="320"/>
            <w:col w:w="2920"/>
          </w:cols>
          <w:pgMar w:left="320" w:top="436" w:right="339" w:bottom="1440" w:gutter="0" w:footer="0" w:header="0"/>
          <w:type w:val="continuous"/>
        </w:sect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ind w:right="2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84" w:lineRule="exact"/>
        <w:tabs>
          <w:tab w:leader="none" w:pos="7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130"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market value of the voting stock held by nonaffiliates of the registrant was $3,991,124,225 as of June 30, 2020. As of February 17, 2021, there were 54,994,858 of the registrant’s shares of common stock outstanding.</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Part III is incorporated by reference from the Proxy Statement for the Annual Meeting of Shareholders to be held on May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90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ManpowerGroup Inc.</w:t>
            </w:r>
          </w:p>
        </w:tc>
        <w:tc>
          <w:tcPr>
            <w:tcW w:w="10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9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Form 10-K</w:t>
            </w:r>
          </w:p>
        </w:tc>
        <w:tc>
          <w:tcPr>
            <w:tcW w:w="104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9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1040" w:type="dxa"/>
            <w:vAlign w:val="bottom"/>
          </w:tcPr>
          <w:p>
            <w:pPr>
              <w:spacing w:after="0"/>
              <w:rPr>
                <w:sz w:val="20"/>
                <w:szCs w:val="20"/>
                <w:color w:val="auto"/>
              </w:rPr>
            </w:pPr>
          </w:p>
        </w:tc>
      </w:tr>
      <w:tr>
        <w:trPr>
          <w:trHeight w:val="364"/>
        </w:trPr>
        <w:tc>
          <w:tcPr>
            <w:tcW w:w="1200" w:type="dxa"/>
            <w:vAlign w:val="bottom"/>
          </w:tcPr>
          <w:p>
            <w:pPr>
              <w:spacing w:after="0"/>
              <w:rPr>
                <w:sz w:val="24"/>
                <w:szCs w:val="24"/>
                <w:color w:val="auto"/>
              </w:rPr>
            </w:pPr>
          </w:p>
        </w:tc>
        <w:tc>
          <w:tcPr>
            <w:tcW w:w="90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r>
      <w:tr>
        <w:trPr>
          <w:trHeight w:val="346"/>
        </w:trPr>
        <w:tc>
          <w:tcPr>
            <w:tcW w:w="120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1200" w:type="dxa"/>
            <w:vAlign w:val="bottom"/>
            <w:tcBorders>
              <w:bottom w:val="single" w:sz="8" w:color="CFF0FC"/>
            </w:tcBorders>
          </w:tcPr>
          <w:p>
            <w:pPr>
              <w:spacing w:after="0"/>
              <w:rPr>
                <w:sz w:val="20"/>
                <w:szCs w:val="20"/>
                <w:color w:val="auto"/>
              </w:rPr>
            </w:pPr>
          </w:p>
        </w:tc>
        <w:tc>
          <w:tcPr>
            <w:tcW w:w="90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23"/>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9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000" w:type="dxa"/>
            <w:vAlign w:val="bottom"/>
          </w:tcPr>
          <w:p>
            <w:pPr>
              <w:ind w:left="1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1B</w:t>
              </w:r>
            </w:hyperlink>
          </w:p>
        </w:tc>
        <w:tc>
          <w:tcPr>
            <w:tcW w:w="9000" w:type="dxa"/>
            <w:vAlign w:val="bottom"/>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Unresolved Staff Comments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Properties</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tc>
        <w:tc>
          <w:tcPr>
            <w:tcW w:w="9000" w:type="dxa"/>
            <w:vAlign w:val="bottom"/>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tcPr>
          <w:p>
            <w:pPr>
              <w:spacing w:after="0"/>
              <w:rPr>
                <w:sz w:val="18"/>
                <w:szCs w:val="18"/>
                <w:color w:val="auto"/>
              </w:rPr>
            </w:pPr>
          </w:p>
        </w:tc>
        <w:tc>
          <w:tcPr>
            <w:tcW w:w="9000" w:type="dxa"/>
            <w:vAlign w:val="bottom"/>
          </w:tcPr>
          <w:p>
            <w:pPr>
              <w:ind w:lef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Officers of ManpowerGroup</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200" w:type="dxa"/>
            <w:vAlign w:val="bottom"/>
            <w:shd w:val="clear" w:color="auto" w:fill="CFF0FC"/>
          </w:tcPr>
          <w:p>
            <w:pPr>
              <w:spacing w:after="0"/>
              <w:rPr>
                <w:sz w:val="18"/>
                <w:szCs w:val="18"/>
                <w:color w:val="auto"/>
              </w:rPr>
            </w:pPr>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27</w:t>
            </w:r>
          </w:p>
        </w:tc>
      </w:tr>
      <w:tr>
        <w:trPr>
          <w:trHeight w:val="229"/>
        </w:trPr>
        <w:tc>
          <w:tcPr>
            <w:tcW w:w="12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PART II</w:t>
              </w:r>
            </w:hyperlink>
          </w:p>
        </w:tc>
        <w:tc>
          <w:tcPr>
            <w:tcW w:w="9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5</w:t>
              </w:r>
            </w:hyperlink>
          </w:p>
        </w:tc>
        <w:tc>
          <w:tcPr>
            <w:tcW w:w="9000" w:type="dxa"/>
            <w:vAlign w:val="bottom"/>
          </w:tcPr>
          <w:p>
            <w:pPr>
              <w:ind w:left="100"/>
              <w:spacing w:after="0"/>
              <w:rPr>
                <w:rFonts w:ascii="Arial" w:cs="Arial" w:eastAsia="Arial" w:hAnsi="Arial"/>
                <w:sz w:val="18"/>
                <w:szCs w:val="18"/>
                <w:u w:val="single" w:color="auto"/>
                <w:color w:val="0000EE"/>
                <w:w w:val="99"/>
              </w:rPr>
            </w:pPr>
            <w:hyperlink w:anchor="page28">
              <w:r>
                <w:rPr>
                  <w:rFonts w:ascii="Arial" w:cs="Arial" w:eastAsia="Arial" w:hAnsi="Arial"/>
                  <w:sz w:val="18"/>
                  <w:szCs w:val="18"/>
                  <w:u w:val="single" w:color="auto"/>
                  <w:color w:val="0000EE"/>
                  <w:w w:val="99"/>
                </w:rPr>
                <w:t>Market for Registrant's Common Equity, Related Shareholder Matters and Issuer Purchases of Equity Securities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Selected Financial Data</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7</w:t>
              </w:r>
            </w:hyperlink>
          </w:p>
        </w:tc>
        <w:tc>
          <w:tcPr>
            <w:tcW w:w="9000" w:type="dxa"/>
            <w:vAlign w:val="bottom"/>
          </w:tcPr>
          <w:p>
            <w:pPr>
              <w:ind w:lef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7A</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Quantitative and Qualitative Disclosures About Market Risk</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8</w:t>
              </w:r>
            </w:hyperlink>
          </w:p>
        </w:tc>
        <w:tc>
          <w:tcPr>
            <w:tcW w:w="900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Financial Statements and Supplementary Data</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9</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Changes in and Disagreements with Accountants on Accounting and Financial Disclosure</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99</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Item 9A</w:t>
              </w:r>
            </w:hyperlink>
          </w:p>
        </w:tc>
        <w:tc>
          <w:tcPr>
            <w:tcW w:w="9000" w:type="dxa"/>
            <w:vAlign w:val="bottom"/>
          </w:tcPr>
          <w:p>
            <w:pPr>
              <w:ind w:left="1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Controls and Procedures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99</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Item 9B</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Other Information</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r>
      <w:tr>
        <w:trPr>
          <w:trHeight w:val="229"/>
        </w:trPr>
        <w:tc>
          <w:tcPr>
            <w:tcW w:w="12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PART III</w:t>
              </w:r>
            </w:hyperlink>
          </w:p>
        </w:tc>
        <w:tc>
          <w:tcPr>
            <w:tcW w:w="9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Item 10</w:t>
              </w:r>
            </w:hyperlink>
          </w:p>
        </w:tc>
        <w:tc>
          <w:tcPr>
            <w:tcW w:w="9000" w:type="dxa"/>
            <w:vAlign w:val="bottom"/>
          </w:tcPr>
          <w:p>
            <w:pPr>
              <w:ind w:left="1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Directors, Executive Officers and Corporate Governance</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101</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Item 11</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Executive Compensation</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101</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Item 12</w:t>
              </w:r>
            </w:hyperlink>
          </w:p>
        </w:tc>
        <w:tc>
          <w:tcPr>
            <w:tcW w:w="9000" w:type="dxa"/>
            <w:vAlign w:val="bottom"/>
          </w:tcPr>
          <w:p>
            <w:pPr>
              <w:ind w:left="1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Security Ownership of Certain Beneficial Owners and Management and Related Stockholder Matters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101</w:t>
            </w: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13</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Certain Relationships and Related Transactions, and Director Independence</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102</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14</w:t>
              </w:r>
            </w:hyperlink>
          </w:p>
        </w:tc>
        <w:tc>
          <w:tcPr>
            <w:tcW w:w="9000" w:type="dxa"/>
            <w:vAlign w:val="bottom"/>
          </w:tcPr>
          <w:p>
            <w:pPr>
              <w:ind w:left="1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Principal Accounting Fees and Services</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102</w:t>
            </w:r>
          </w:p>
        </w:tc>
      </w:tr>
      <w:tr>
        <w:trPr>
          <w:trHeight w:val="230"/>
        </w:trPr>
        <w:tc>
          <w:tcPr>
            <w:tcW w:w="1200" w:type="dxa"/>
            <w:vAlign w:val="bottom"/>
            <w:shd w:val="clear" w:color="auto" w:fill="CFF0FC"/>
          </w:tcPr>
          <w:p>
            <w:pPr>
              <w:spacing w:after="0"/>
              <w:rPr>
                <w:sz w:val="19"/>
                <w:szCs w:val="19"/>
                <w:color w:val="auto"/>
              </w:rPr>
            </w:pPr>
          </w:p>
        </w:tc>
        <w:tc>
          <w:tcPr>
            <w:tcW w:w="9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120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PART IV</w:t>
              </w:r>
            </w:hyperlink>
          </w:p>
        </w:tc>
        <w:tc>
          <w:tcPr>
            <w:tcW w:w="9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200" w:type="dxa"/>
            <w:vAlign w:val="bottom"/>
            <w:shd w:val="clear" w:color="auto" w:fill="CFF0FC"/>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Item 15</w:t>
              </w:r>
            </w:hyperlink>
          </w:p>
        </w:tc>
        <w:tc>
          <w:tcPr>
            <w:tcW w:w="9000" w:type="dxa"/>
            <w:vAlign w:val="bottom"/>
            <w:shd w:val="clear" w:color="auto" w:fill="CFF0FC"/>
          </w:tcPr>
          <w:p>
            <w:pPr>
              <w:ind w:left="1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Exhibits and Financial Statement Schedules</w:t>
              </w:r>
            </w:hyperlink>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103</w:t>
            </w:r>
          </w:p>
        </w:tc>
      </w:tr>
      <w:tr>
        <w:trPr>
          <w:trHeight w:val="216"/>
        </w:trPr>
        <w:tc>
          <w:tcPr>
            <w:tcW w:w="12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Item 16</w:t>
              </w:r>
            </w:hyperlink>
          </w:p>
        </w:tc>
        <w:tc>
          <w:tcPr>
            <w:tcW w:w="9000" w:type="dxa"/>
            <w:vAlign w:val="bottom"/>
          </w:tcPr>
          <w:p>
            <w:pPr>
              <w:ind w:left="1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Form 10-K Summary</w:t>
              </w:r>
            </w:hyperlink>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105</w:t>
            </w:r>
          </w:p>
        </w:tc>
      </w:tr>
      <w:tr>
        <w:trPr>
          <w:trHeight w:val="230"/>
        </w:trPr>
        <w:tc>
          <w:tcPr>
            <w:tcW w:w="1200" w:type="dxa"/>
            <w:vAlign w:val="bottom"/>
            <w:shd w:val="clear" w:color="auto" w:fill="CFF0FC"/>
          </w:tcPr>
          <w:p>
            <w:pPr>
              <w:spacing w:after="0"/>
              <w:rPr>
                <w:sz w:val="19"/>
                <w:szCs w:val="19"/>
                <w:color w:val="auto"/>
              </w:rPr>
            </w:pPr>
          </w:p>
        </w:tc>
        <w:tc>
          <w:tcPr>
            <w:tcW w:w="90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SIGNATURES</w:t>
              </w:r>
            </w:hyperlink>
          </w:p>
        </w:tc>
        <w:tc>
          <w:tcPr>
            <w:tcW w:w="90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897"/>
        </w:trPr>
        <w:tc>
          <w:tcPr>
            <w:tcW w:w="120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u w:val="single" w:color="auto"/>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terms “we,” “our,” “us,” "ManpowerGroup," or “the Company” refer to ManpowerGroup Inc. and its consolidated subsidiaries.</w:t>
      </w:r>
    </w:p>
    <w:p>
      <w:pPr>
        <w:spacing w:after="0" w:line="1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ManpowerGroup Inc. is a world leader in innovative workforce solutions and services. Through our global network of over 2,200 offices in 75 countries and territories, we put millions of people to work each year with our global, multinational and local clients across all major industry segments. Our strong and connected brands provide innovative solutions that drive organizations forward, accelerate individual success and help build more sustainable communities. We power the future of work.</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53" w:lineRule="exact"/>
        <w:rPr>
          <w:sz w:val="20"/>
          <w:szCs w:val="20"/>
          <w:color w:val="auto"/>
        </w:rPr>
      </w:pPr>
    </w:p>
    <w:p>
      <w:pPr>
        <w:jc w:val="both"/>
        <w:ind w:left="420" w:hanging="210"/>
        <w:spacing w:after="0" w:line="289"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brands, industry knowledge and expertise, we identify the right talent in the right place to</w:t>
      </w:r>
      <w:r>
        <w:rPr>
          <w:rFonts w:ascii="Arial" w:cs="Arial" w:eastAsia="Arial" w:hAnsi="Arial"/>
          <w:sz w:val="17"/>
          <w:szCs w:val="17"/>
          <w:b w:val="1"/>
          <w:bCs w:val="1"/>
          <w:color w:val="auto"/>
        </w:rPr>
        <w:t xml:space="preserve"> </w:t>
      </w:r>
      <w:r>
        <w:rPr>
          <w:rFonts w:ascii="Arial" w:cs="Arial" w:eastAsia="Arial" w:hAnsi="Arial"/>
          <w:sz w:val="17"/>
          <w:szCs w:val="17"/>
          <w:color w:val="auto"/>
        </w:rPr>
        <w:t>help our clients quickly access the people they need when they need them. Through our industry-leading assessments, we help people and organizations understand their strengths and potential, resulting in better job matches, higher retention and a stronger workforce.</w:t>
      </w:r>
    </w:p>
    <w:p>
      <w:pPr>
        <w:spacing w:after="0" w:line="117" w:lineRule="exact"/>
        <w:rPr>
          <w:rFonts w:ascii="Arial" w:cs="Arial" w:eastAsia="Arial" w:hAnsi="Arial"/>
          <w:sz w:val="17"/>
          <w:szCs w:val="17"/>
          <w:color w:val="auto"/>
        </w:rPr>
      </w:pPr>
    </w:p>
    <w:p>
      <w:pPr>
        <w:jc w:val="both"/>
        <w:ind w:left="420" w:hanging="210"/>
        <w:spacing w:after="0" w:line="26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Our unique insights into evolving employer needs and our expertise in training and development help us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associates to succeed in today’s competitive marketplace. We offer an extensive portfolio of training courses and leadership development solutions that help clients maximize talent and optimize performance.</w:t>
      </w:r>
    </w:p>
    <w:p>
      <w:pPr>
        <w:spacing w:after="0" w:line="135" w:lineRule="exact"/>
        <w:rPr>
          <w:rFonts w:ascii="Arial" w:cs="Arial" w:eastAsia="Arial" w:hAnsi="Arial"/>
          <w:sz w:val="18"/>
          <w:szCs w:val="18"/>
          <w:color w:val="auto"/>
        </w:rPr>
      </w:pPr>
    </w:p>
    <w:p>
      <w:pPr>
        <w:ind w:left="420" w:hanging="210"/>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Career Management </w:t>
      </w:r>
      <w:r>
        <w:rPr>
          <w:rFonts w:ascii="Arial" w:cs="Arial" w:eastAsia="Arial" w:hAnsi="Arial"/>
          <w:sz w:val="18"/>
          <w:szCs w:val="18"/>
          <w:color w:val="auto"/>
        </w:rPr>
        <w:t>– We help individuals manage their career journey through outplacement services and targeted skills development. By helping</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organizations manage workforce transitions and career changes we unleash human potential.</w:t>
      </w:r>
    </w:p>
    <w:p>
      <w:pPr>
        <w:spacing w:after="0" w:line="121" w:lineRule="exact"/>
        <w:rPr>
          <w:rFonts w:ascii="Arial" w:cs="Arial" w:eastAsia="Arial" w:hAnsi="Arial"/>
          <w:sz w:val="18"/>
          <w:szCs w:val="18"/>
          <w:color w:val="auto"/>
        </w:rPr>
      </w:pPr>
    </w:p>
    <w:p>
      <w:pPr>
        <w:ind w:left="420" w:hanging="210"/>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21" w:lineRule="exact"/>
        <w:rPr>
          <w:rFonts w:ascii="Arial" w:cs="Arial" w:eastAsia="Arial" w:hAnsi="Arial"/>
          <w:sz w:val="18"/>
          <w:szCs w:val="18"/>
          <w:color w:val="auto"/>
        </w:rPr>
      </w:pPr>
    </w:p>
    <w:p>
      <w:pPr>
        <w:ind w:left="420" w:hanging="210"/>
        <w:spacing w:after="0" w:line="282"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align their workforce strategy to achieve their business strategy, increase business agility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flexibility, and accelerate personal and business success.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family of brands and offerings includes:</w:t>
      </w:r>
    </w:p>
    <w:p>
      <w:pPr>
        <w:spacing w:after="0" w:line="181" w:lineRule="exact"/>
        <w:rPr>
          <w:sz w:val="20"/>
          <w:szCs w:val="20"/>
          <w:color w:val="auto"/>
        </w:rPr>
      </w:pPr>
    </w:p>
    <w:p>
      <w:pPr>
        <w:ind w:left="420" w:right="20" w:hanging="210"/>
        <w:spacing w:after="0" w:line="312"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Manpower </w:t>
      </w:r>
      <w:r>
        <w:rPr>
          <w:rFonts w:ascii="Arial" w:cs="Arial" w:eastAsia="Arial" w:hAnsi="Arial"/>
          <w:sz w:val="17"/>
          <w:szCs w:val="17"/>
          <w:color w:val="auto"/>
        </w:rPr>
        <w:t>– We are a global leader in contingent staffing and permanent recruitment. We provide businesses with rapid access to a highly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and productive pool of candidates to give them the flexibility and agility they need to respond to changing business needs.</w:t>
      </w:r>
    </w:p>
    <w:p>
      <w:pPr>
        <w:spacing w:after="0" w:line="99" w:lineRule="exact"/>
        <w:rPr>
          <w:rFonts w:ascii="Arial" w:cs="Arial" w:eastAsia="Arial" w:hAnsi="Arial"/>
          <w:sz w:val="17"/>
          <w:szCs w:val="17"/>
          <w:color w:val="auto"/>
        </w:rPr>
      </w:pPr>
    </w:p>
    <w:p>
      <w:pPr>
        <w:jc w:val="both"/>
        <w:ind w:left="420" w:hanging="210"/>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Experis </w:t>
      </w:r>
      <w:r>
        <w:rPr>
          <w:rFonts w:ascii="Arial" w:cs="Arial" w:eastAsia="Arial" w:hAnsi="Arial"/>
          <w:sz w:val="18"/>
          <w:szCs w:val="18"/>
          <w:color w:val="auto"/>
        </w:rPr>
        <w:t>– We are a global leader in professional resourcing and project-based solutions. With operations in over 50 countries and territories, we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66 million hours of professional talent in 2020 specializing in Information Technology (IT), Engineering, and Finance. Our Proservia brand is a recognized leader within the Digital Services market and IT Infrastructure sector throughout Europe.</w:t>
      </w:r>
    </w:p>
    <w:p>
      <w:pPr>
        <w:spacing w:after="0" w:line="135" w:lineRule="exact"/>
        <w:rPr>
          <w:rFonts w:ascii="Arial" w:cs="Arial" w:eastAsia="Arial" w:hAnsi="Arial"/>
          <w:sz w:val="18"/>
          <w:szCs w:val="18"/>
          <w:color w:val="auto"/>
        </w:rPr>
      </w:pPr>
    </w:p>
    <w:p>
      <w:pPr>
        <w:jc w:val="both"/>
        <w:ind w:left="420" w:hanging="210"/>
        <w:spacing w:after="0" w:line="25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Talent Solutions </w:t>
      </w:r>
      <w:r>
        <w:rPr>
          <w:rFonts w:ascii="Arial" w:cs="Arial" w:eastAsia="Arial" w:hAnsi="Arial"/>
          <w:sz w:val="18"/>
          <w:szCs w:val="18"/>
          <w:color w:val="auto"/>
        </w:rPr>
        <w:t>– We are a global leader in outsourcing services for large-scale recruiting. We are the world’s largest Recruitment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Outsourcing (RPO) firm and our TAPFIN - Managed Service Provider (MSP) business is continually ranked as a top global MSP. Through our Right Management offering, global career experts help organizations and individuals become more agile and market-ready. By leveraging our expertise in assessment, development and coaching, we provide tailored solutions that deliver organizational efficiency, individual development, and career mobility, to increase productivity and optimize business performance. Our Talent Solutions brand leverages our core capabilities to help organizations effectively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420"/>
        <w:spacing w:after="0" w:line="277" w:lineRule="auto"/>
        <w:rPr>
          <w:sz w:val="20"/>
          <w:szCs w:val="20"/>
          <w:color w:val="auto"/>
        </w:rPr>
      </w:pPr>
      <w:r>
        <w:rPr>
          <w:rFonts w:ascii="Arial" w:cs="Arial" w:eastAsia="Arial" w:hAnsi="Arial"/>
          <w:sz w:val="18"/>
          <w:szCs w:val="18"/>
          <w:color w:val="auto"/>
        </w:rPr>
        <w:t>source, manage and develop talent at scale. Talent Solutions is designed to address client demand for expert offerings, integrated and data driven workforce solutions as well as seamless delivery across multiple countries.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leadership position enables us to be a pathway to quality employment opportunities for people at all points in their career paths. Whether it is seasoned professionals, skilled laborers, temporary to permanent, parents returning to work, seniors wanting to supplement pensions, previously unemployed or underemployed youth and disabled individuals, ManpowerGroup has been connecting people to meaningful work for over 70 years.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predecessors, have been in business since 1948 when we were incorporated as a Wisconsin corporation, and have had our shares listed on the New York Stock Exchange since 1967.</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60" w:lineRule="exact"/>
        <w:rPr>
          <w:sz w:val="20"/>
          <w:szCs w:val="20"/>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articles of incorporation and amended and restated bylaws;</w:t>
      </w:r>
    </w:p>
    <w:p>
      <w:pPr>
        <w:spacing w:after="0" w:line="11"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7"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anti-corruption policy;</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charters of the Audit, Executive Compensation and Human Resources and Nominating and Governance Committees of the Board of Directors;</w:t>
      </w:r>
    </w:p>
    <w:p>
      <w:pPr>
        <w:spacing w:after="0" w:line="32" w:lineRule="exact"/>
        <w:rPr>
          <w:rFonts w:ascii="Arial" w:cs="Arial" w:eastAsia="Arial" w:hAnsi="Arial"/>
          <w:sz w:val="16"/>
          <w:szCs w:val="16"/>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independent auditors' services policy;</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executive officer stock ownership guidelines;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outside director stock ownership guidelines; and</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with a days sales outstanding of approximately 54 days as December 31, 2020.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Conversely, as the demand for our services declines, as we saw starting in late March 2020 and continuing throughout 2020 due to the impact of the COVID-19 crisis,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 During 2020, we were highly successful in receivable collections while incurring lower payroll costs on lower activity. Our improved cash flow also benefited from certain government payment deferral measures introduced as part of the COVID-19 crisis, largely in the United States, France, and Italy, with some of the benefits maturing in the second half of 2020. The impact of the remaining benefits is expected to mature in 2021, and we expect lower levels of operating cash flow during 2021.</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last several years, secular trends toward greater workforce flexibility have helped drive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portfolio of recruitment services includes permanent, temporary and contract recruitment of professionals, as well as administrative and industrial positions. These services are provided under our Manpower and Experis brands. We have provided services under our core Manpower brand for over 70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provide services under our Experis brand, particularly in the areas of IT, Engineering, and Finance, that include high-impact solutions, and help accelerate organizations’ growth by attracting, assessing and placing candidates with specialized expertise to deliver in-demand skills for important positions. Our experience and expertise allow us to accurately assess candidates’ workplace potential and technical skills to match them to the needs of our clients. We plan to continue to build our Experis brand and attract the talent our clients need as skills shortages arise or continue. Our Proservia offering within the Experis brand includes outcome-based solutions specializing in infrastructure management and end-user support.</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functions. Our Right Management offering includes our career management services that have historically been counter-cyclical to our staffing services, which helps to offset the impact of an economic downturn on our overall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provide services as Manpower, Experis and Talent Solutions through both branch and franchise offices. The Americas segment had 490 branch and 182 franchise offices as of December 31, 2020. In the United States, where we realized 61% of the Americas’ revenue, we had 318 branch and 175 franchise offices as of December 31, 2020, as well as on-site locations at clients with significant permanent, temporary and contract recruitment requirements. In Other Americas, the largest operations of which include Mexico, Canada and Argentina, we had 172 branch offices and 7 franchise offices as of December 31, 2020. We provide a number of central support services to our branches and franchises, which enable us to maintain consistent service quality throughout the region regardless of whether an office is a branch or franchise.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2020 in this segment, approximately 35% of temporary and contract recruitment revenues were derived from placing industrial staff, 25% from placing office staff, and 40% from placing professional and technical staff. For our United States operations in 2020, approximately 46% of the temporary and contract recruitment revenues were derived from placing industrial staff, 12% from placing office staff, and 42% from placing professional and technical staff.</w:t>
      </w:r>
    </w:p>
    <w:p>
      <w:pPr>
        <w:spacing w:after="0" w:line="147" w:lineRule="exact"/>
        <w:rPr>
          <w:sz w:val="20"/>
          <w:szCs w:val="20"/>
          <w:color w:val="auto"/>
        </w:rPr>
      </w:pPr>
    </w:p>
    <w:p>
      <w:pPr>
        <w:ind w:right="1960"/>
        <w:spacing w:after="0" w:line="461" w:lineRule="auto"/>
        <w:rPr>
          <w:sz w:val="20"/>
          <w:szCs w:val="20"/>
          <w:color w:val="auto"/>
        </w:rPr>
      </w:pPr>
      <w:r>
        <w:rPr>
          <w:rFonts w:ascii="Arial" w:cs="Arial" w:eastAsia="Arial" w:hAnsi="Arial"/>
          <w:sz w:val="18"/>
          <w:szCs w:val="18"/>
          <w:color w:val="auto"/>
        </w:rPr>
        <w:t xml:space="preserve">Our Talent Solutions operations provide a variety of workforce solutions offerings including RPO, MSP and Right Management. </w:t>
      </w:r>
      <w:r>
        <w:rPr>
          <w:rFonts w:ascii="Arial" w:cs="Arial" w:eastAsia="Arial" w:hAnsi="Arial"/>
          <w:sz w:val="18"/>
          <w:szCs w:val="18"/>
          <w:i w:val="1"/>
          <w:iCs w:val="1"/>
          <w:color w:val="auto"/>
        </w:rPr>
        <w:t>Southern Europe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1,061 branch offices as of December 31, 2020. Our largest operations in this segment are in France (55% of the segment revenue) and Italy (17% of the segment revenue).</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for our Southern Europe operations, approximately 73% of temporary and contract recruitment revenues were derived from placing industrial staff, 14% from placing office staff, and 13% from placing professional and technical staff.</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in France as a leading workforce solutions and service provider through 525 branch offices as Manpower, Experis, including our Proservia brand, and Talent Solutions, and 149 branch offices under the name Supplay as of December 31, 2020. The employment services market in France calls for a wide range of our services including permanent, temporary and contract recruitment, assessment and selection, and training. The temporary recruitment market is predominantly focused on recruitment for industrial positions. In 2020, we derived approximately 84% of our temporary recruitment revenues in France from the supply of industrial and construction workers, 15% from the supply of office staff, and 1% from the supply of professional and technical staff.</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Italy, we are a leading workforce solutions and services provider. As of December 31, 2020, ManpowerGroup Italy conducted operations through a network of 211 branch offices. It provides a comprehensive suite of workforce solutions and services offered through Manpower, Experis or Talent Solutions, including permanent, temporary and contract recruitment, assessment and selection, training and outsourcing. In 2020, approximately 66% of our temporary and contract recruitment revenues in Italy were derived from placing industrial staff, 6% from placing office staff, including contact center staff, and 28% from placing professional and technical staff.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operations in Northern Europe are in the United Kingdom, Germany, the Nordics and the Netherlands, providing a comprehensive suite of workforce solutions and services through Manpower, Experis, and Talent Solutions. Collectively, we operate through 379 branch offices in this region.</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for our Northern Europe operations, approximately 38% of temporary and contract recruitment revenues were derived from placing industrial staff, 22% from placing office staff, and 40% from placing professional and technical staff.</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2020, we conducted operations in the United Kingdom as Manpower, Experis and Talent Solutions through a network of 61 branch offices and also provided on-site services to clients who have significant permanent, temporary and contract recruitment requirements. During 2020, approximately 26% of our United Kingdom operation’s temporary recruitment revenues were derived from the supply of industrial staff, 16% from the supply of office staff, and 58% from the supply of professional and technical staff.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through 136 branch offices in the Asia Pacific Middle East (APME) region. The largest of these operations are located in Japan, Australia, India and Korea, all of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2020, approximately 8% of our APME temporary and contract recruitment revenues were derived from placing industrial staff, 61% from placing office staff, and 31% from placing professional and technical staff.</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2019, our joint venture in Greater China, ManpowerGroup Greater China Limited, became listed on the Main Board of the Stock Exchange of Hong Kong Limited through an initial public offering. As a result, we deconsolidated the joint venture as of the listing date and account for our remaining 36.87% interest under the equity method of accounting. (See Note 4 to the Consolidated Financial Statements found in Item 8. “Financial Statements and Supplementary Data”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Our client mix consists of both small- and medium-size businesses, and large national and multinational client relationships, which comprised approximately 60% of our revenues in 2020. Client relationships with small- and medium-size businesses are based on a local or regional relationship, and tend to rely less 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30" w:lineRule="exact"/>
        <w:rPr>
          <w:sz w:val="20"/>
          <w:szCs w:val="20"/>
          <w:color w:val="auto"/>
        </w:rPr>
      </w:pPr>
    </w:p>
    <w:p>
      <w:pPr>
        <w:ind w:left="420" w:hanging="210"/>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 and</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that requires new or additional benefits and pay parity for our associates.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outplacement and consulting services generally are not subject to governmental regulation in the markets in which we operate.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Trademarks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15"/>
          <w:szCs w:val="15"/>
          <w:color w:val="auto"/>
        </w:rPr>
        <w:t>®</w:t>
      </w:r>
      <w:r>
        <w:rPr>
          <w:rFonts w:ascii="Arial" w:cs="Arial" w:eastAsia="Arial" w:hAnsi="Arial"/>
          <w:sz w:val="18"/>
          <w:szCs w:val="18"/>
          <w:color w:val="auto"/>
        </w:rPr>
        <w:t>, Manpower</w:t>
      </w:r>
      <w:r>
        <w:rPr>
          <w:rFonts w:ascii="Arial" w:cs="Arial" w:eastAsia="Arial" w:hAnsi="Arial"/>
          <w:sz w:val="15"/>
          <w:szCs w:val="15"/>
          <w:color w:val="auto"/>
        </w:rPr>
        <w:t>®</w:t>
      </w:r>
      <w:r>
        <w:rPr>
          <w:rFonts w:ascii="Arial" w:cs="Arial" w:eastAsia="Arial" w:hAnsi="Arial"/>
          <w:sz w:val="18"/>
          <w:szCs w:val="18"/>
          <w:color w:val="auto"/>
        </w:rPr>
        <w:t>, Experis</w:t>
      </w:r>
      <w:r>
        <w:rPr>
          <w:rFonts w:ascii="Arial" w:cs="Arial" w:eastAsia="Arial" w:hAnsi="Arial"/>
          <w:sz w:val="15"/>
          <w:szCs w:val="15"/>
          <w:color w:val="auto"/>
        </w:rPr>
        <w:t>®</w:t>
      </w:r>
      <w:r>
        <w:rPr>
          <w:rFonts w:ascii="Arial" w:cs="Arial" w:eastAsia="Arial" w:hAnsi="Arial"/>
          <w:sz w:val="18"/>
          <w:szCs w:val="18"/>
          <w:color w:val="auto"/>
        </w:rPr>
        <w:t>, Right Management</w:t>
      </w:r>
      <w:r>
        <w:rPr>
          <w:rFonts w:ascii="Arial" w:cs="Arial" w:eastAsia="Arial" w:hAnsi="Arial"/>
          <w:sz w:val="15"/>
          <w:szCs w:val="15"/>
          <w:color w:val="auto"/>
        </w:rPr>
        <w:t>®</w:t>
      </w:r>
      <w:r>
        <w:rPr>
          <w:rFonts w:ascii="Arial" w:cs="Arial" w:eastAsia="Arial" w:hAnsi="Arial"/>
          <w:sz w:val="18"/>
          <w:szCs w:val="18"/>
          <w:color w:val="auto"/>
        </w:rPr>
        <w:t>, Brook Street</w:t>
      </w:r>
      <w:r>
        <w:rPr>
          <w:rFonts w:ascii="Arial" w:cs="Arial" w:eastAsia="Arial" w:hAnsi="Arial"/>
          <w:sz w:val="15"/>
          <w:szCs w:val="15"/>
          <w:color w:val="auto"/>
        </w:rPr>
        <w:t>®</w:t>
      </w:r>
      <w:r>
        <w:rPr>
          <w:rFonts w:ascii="Arial" w:cs="Arial" w:eastAsia="Arial" w:hAnsi="Arial"/>
          <w:sz w:val="18"/>
          <w:szCs w:val="18"/>
          <w:color w:val="auto"/>
        </w:rPr>
        <w:t>, Proservia</w:t>
      </w:r>
      <w:r>
        <w:rPr>
          <w:rFonts w:ascii="Arial" w:cs="Arial" w:eastAsia="Arial" w:hAnsi="Arial"/>
          <w:sz w:val="15"/>
          <w:szCs w:val="15"/>
          <w:color w:val="auto"/>
        </w:rPr>
        <w:t>®</w:t>
      </w:r>
      <w:r>
        <w:rPr>
          <w:rFonts w:ascii="Arial" w:cs="Arial" w:eastAsia="Arial" w:hAnsi="Arial"/>
          <w:sz w:val="18"/>
          <w:szCs w:val="18"/>
          <w:color w:val="auto"/>
        </w:rPr>
        <w:t>, and MyPath</w:t>
      </w:r>
      <w:r>
        <w:rPr>
          <w:rFonts w:ascii="Arial" w:cs="Arial" w:eastAsia="Arial" w:hAnsi="Arial"/>
          <w:sz w:val="15"/>
          <w:szCs w:val="15"/>
          <w:color w:val="auto"/>
        </w:rPr>
        <w:t>®</w:t>
      </w:r>
      <w:r>
        <w:rPr>
          <w:rFonts w:ascii="Arial" w:cs="Arial" w:eastAsia="Arial" w:hAnsi="Arial"/>
          <w:sz w:val="18"/>
          <w:szCs w:val="18"/>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approximately 25,000 full-time equivalent employees as of December 31, 2020. In addition, we recruit millions of permanent, temporary and contract workers on a worldwide basis each year on behalf of our clients.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Capital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workforce solutions and human capital company. Our purpose is to provide meaningful and sustainable jobs and is rooted in our values: People, Knowledge and Innovation. Our employees, spanning 75 countries and territories, help improve the lives of nearly 600,000 workers on a daily basis by providing access to employment and opportunities to reskill or upskill. These efforts support local economies and create economic opportunity for our associates.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Focused on Reskilling and Upskilling of Workers and Future Workers.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our partnerships with clients and NGOs (e.g. World Economic Forum, World Employment Confederation and Junior Achievement) and our own research and solutions, we are advancing the global discussion around the skills preparedness of today’s workers and the definition of required skills for the future. Since 2016, through our Skills Revolution series, we have highlighted how technology and digitization could shift in-demand skills, exacerbate existing talent shortages and require investments to reskill and upskill workers. In response to emerging trends, we launched our MyPath program, with the intent of connecting our associates to opportunities that can advance their skills and meet employers’ needs. Through this program, ManpowerGroup provides personalized guidance, career development, training, and access to jobs. Primarily focused in growth sectors including information technology, sales and finance, MyPath helped approximately 60,000 associates per month as of the end of 2020, representing our Manpower and Experis brands in 12 countries. We also provide free access to online learning to all associates on assignment. In 2020, we expanded our online learning platform, including partnering with University of Phoenix, resulting in an increase in associate usage by 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Focused on Our Diversity, Our People and Our Culture.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though we have a global footprint, our teams are managed locally, with 29% of our people in the Americas, 33% in Southern Europe, 23% in Northern Europe and 16% in Asia Pacific/Middle East. Collectively, we are focused on advancing diversity, developing our people and assessing our culture to enhance our competitiveness in the marketplace and the workplace.</w:t>
      </w:r>
    </w:p>
    <w:p>
      <w:pPr>
        <w:spacing w:after="0" w:line="143" w:lineRule="exact"/>
        <w:rPr>
          <w:sz w:val="20"/>
          <w:szCs w:val="20"/>
          <w:color w:val="auto"/>
        </w:rPr>
      </w:pPr>
    </w:p>
    <w:p>
      <w:pPr>
        <w:jc w:val="both"/>
        <w:ind w:left="420" w:hanging="210"/>
        <w:spacing w:after="0" w:line="279"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Advancing Diversity: </w:t>
      </w:r>
      <w:r>
        <w:rPr>
          <w:rFonts w:ascii="Arial" w:cs="Arial" w:eastAsia="Arial" w:hAnsi="Arial"/>
          <w:sz w:val="17"/>
          <w:szCs w:val="17"/>
          <w:color w:val="auto"/>
        </w:rPr>
        <w:t>Our focus on diversity encompasses three parts: (1) globally, support gender diversity at leadership levels; (2) locally, address a</w:t>
      </w:r>
      <w:r>
        <w:rPr>
          <w:rFonts w:ascii="Arial" w:cs="Arial" w:eastAsia="Arial" w:hAnsi="Arial"/>
          <w:sz w:val="17"/>
          <w:szCs w:val="17"/>
          <w:i w:val="1"/>
          <w:iCs w:val="1"/>
          <w:color w:val="auto"/>
        </w:rPr>
        <w:t xml:space="preserve"> </w:t>
      </w:r>
      <w:r>
        <w:rPr>
          <w:rFonts w:ascii="Arial" w:cs="Arial" w:eastAsia="Arial" w:hAnsi="Arial"/>
          <w:sz w:val="17"/>
          <w:szCs w:val="17"/>
          <w:color w:val="auto"/>
        </w:rPr>
        <w:t>second dimension of diversity based on gaps or opportunities within a country; and (3) culturally, foster an inclusive environment that promotes well-being and personal achievement. We believe that diversity starts at the top, hence our focus on leadership levels. Our Board of Directors is 38% women and 23% people of color. Our Executive Leadership Team, which reports directly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 w:name="page10"/>
    <w:bookmarkEnd w:id="9"/>
    <w:p>
      <w:pPr>
        <w:jc w:val="both"/>
        <w:ind w:left="210"/>
        <w:spacing w:after="0" w:line="257" w:lineRule="auto"/>
        <w:rPr>
          <w:sz w:val="20"/>
          <w:szCs w:val="20"/>
          <w:color w:val="auto"/>
        </w:rPr>
      </w:pPr>
      <w:r>
        <w:rPr>
          <w:rFonts w:ascii="Arial" w:cs="Arial" w:eastAsia="Arial" w:hAnsi="Arial"/>
          <w:sz w:val="18"/>
          <w:szCs w:val="18"/>
          <w:color w:val="auto"/>
        </w:rPr>
        <w:t>the CEO, is 27% women and 36% of people of color. Our global leadership team, the top ninety-four leaders of the company, is 31% women. In North America, our second diversity dimension is race. In 2020, as the United States faced racial unrest, our North American team launched our Courageous Conversations series; established a Diversity, Equity and Inclusion Council led by the Regional President; leveraged internal business resource groups as advisors, and with their input developed new training for our employees and our clients; and partnered with local business leaders to facilitate community discussions and develop plans of action.</w:t>
      </w:r>
    </w:p>
    <w:p>
      <w:pPr>
        <w:spacing w:after="0" w:line="161" w:lineRule="exact"/>
        <w:rPr>
          <w:sz w:val="20"/>
          <w:szCs w:val="20"/>
          <w:color w:val="auto"/>
        </w:rPr>
      </w:pPr>
    </w:p>
    <w:p>
      <w:pPr>
        <w:jc w:val="both"/>
        <w:ind w:left="210" w:hanging="210"/>
        <w:spacing w:after="0" w:line="271" w:lineRule="auto"/>
        <w:tabs>
          <w:tab w:leader="none" w:pos="21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Developing our People</w:t>
      </w:r>
      <w:r>
        <w:rPr>
          <w:rFonts w:ascii="Arial" w:cs="Arial" w:eastAsia="Arial" w:hAnsi="Arial"/>
          <w:sz w:val="17"/>
          <w:szCs w:val="17"/>
          <w:color w:val="auto"/>
        </w:rPr>
        <w:t>: We have increased our focus on learning through internal campaigns, curated self-directed learning and through our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Academies and our Talent Agent program, which provides skills enhancement to recruiters to foster career advancement. To date, we have trained 2,700 recruiters and 1,345 salespeople. We have also launched a new mobile learning platform that makes on-the-go micro-courses accessible to our employees. Our employees completed nearly 65,000 of these courses in 2020. We believe that our success is contingent upon the development of our next generation of leaders. In 2019, we launched the third cohort for our Emerging Leadership Experience Program. This program identifies emerging leaders who have worked for the company for five or more years and have potential to assume greater responsibility. The two-year program provides development through our three Es approach: Education, Exposure and Experience, which includes Harvard Business School Online coursework as well as mentoring from our most senior leaders.</w:t>
      </w:r>
    </w:p>
    <w:p>
      <w:pPr>
        <w:spacing w:after="0" w:line="137" w:lineRule="exact"/>
        <w:rPr>
          <w:rFonts w:ascii="Arial" w:cs="Arial" w:eastAsia="Arial" w:hAnsi="Arial"/>
          <w:sz w:val="17"/>
          <w:szCs w:val="17"/>
          <w:color w:val="auto"/>
        </w:rPr>
      </w:pPr>
    </w:p>
    <w:p>
      <w:pPr>
        <w:jc w:val="both"/>
        <w:ind w:left="210" w:hanging="210"/>
        <w:spacing w:after="0" w:line="257"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Assessing our Culture: </w:t>
      </w:r>
      <w:r>
        <w:rPr>
          <w:rFonts w:ascii="Arial" w:cs="Arial" w:eastAsia="Arial" w:hAnsi="Arial"/>
          <w:sz w:val="18"/>
          <w:szCs w:val="18"/>
          <w:color w:val="auto"/>
        </w:rPr>
        <w:t>Through our listening strategy, we are committed to hearing the voice of our people more than ever. For 15 years,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tracked engagement and leadership effectiveness through our ManpowerGroup Annual People Survey (MAPS). We have improved engagement over the last three years with a 63% overall favorable rating and 78% response rate in 2020. In 2019 and in 2020, particularly in the context of COVID-19, we initiated pulse surveys to garner more in-depth feedback with greater frequency. We use insights from these surveys to assess our culture, evaluate our leaders, adjust our plans and when needed, evolve our culture.</w:t>
      </w:r>
    </w:p>
    <w:p>
      <w:pPr>
        <w:spacing w:after="0" w:line="174" w:lineRule="exact"/>
        <w:rPr>
          <w:sz w:val="20"/>
          <w:szCs w:val="20"/>
          <w:color w:val="auto"/>
        </w:rPr>
      </w:pPr>
    </w:p>
    <w:p>
      <w:pPr>
        <w:jc w:val="center"/>
        <w:ind w:right="19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0"/>
          </w:cols>
          <w:pgMar w:left="530" w:top="760" w:right="339" w:bottom="1440" w:gutter="0" w:footer="0" w:header="0"/>
        </w:sectPr>
      </w:pPr>
    </w:p>
    <w:bookmarkStart w:id="10" w:name="page11"/>
    <w:bookmarkEnd w:id="10"/>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of the factors that could cause actual results to differ materially from estimates contained in our forward-looking statements:</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Risks Related to COVID-19 Pandemic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impact of the coronavirus pandemic on our business and financial results may be difficult to predict.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23" w:lineRule="exact"/>
        <w:rPr>
          <w:sz w:val="20"/>
          <w:szCs w:val="20"/>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volatile, negative, or uncertain economic conditions;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economic recovery may be short-lived and uneven, and may not result in increased demand for our services;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timely respond to the needs of our clients;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 limiting our ability to maintain or increase market share or profitability;</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cyberattack or improper disclosure or loss of sensitive or confidential company, employee, associate or client data, including personal data;</w:t>
      </w:r>
    </w:p>
    <w:p>
      <w:pPr>
        <w:spacing w:after="0" w:line="20" w:lineRule="exact"/>
        <w:rPr>
          <w:rFonts w:ascii="Arial" w:cs="Arial" w:eastAsia="Arial" w:hAnsi="Arial"/>
          <w:sz w:val="17"/>
          <w:szCs w:val="17"/>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increased costs, and reputational risk from outsourcing various aspects of our business;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labor markets limiting our ability to attract, train and retain the personnel necessary to meet our clients’ staffing needs;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 and</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23" w:lineRule="exact"/>
        <w:rPr>
          <w:sz w:val="20"/>
          <w:szCs w:val="20"/>
          <w:color w:val="auto"/>
        </w:rPr>
      </w:pPr>
    </w:p>
    <w:p>
      <w:pPr>
        <w:ind w:left="580" w:hanging="20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to keep pace with technological change and marketplace demand in the development and implementation of our services and solutions;</w:t>
      </w:r>
    </w:p>
    <w:p>
      <w:pPr>
        <w:spacing w:after="0" w:line="32" w:lineRule="exact"/>
        <w:rPr>
          <w:rFonts w:ascii="Arial" w:cs="Arial" w:eastAsia="Arial" w:hAnsi="Arial"/>
          <w:sz w:val="16"/>
          <w:szCs w:val="16"/>
          <w:color w:val="auto"/>
        </w:rPr>
      </w:pPr>
    </w:p>
    <w:p>
      <w:pPr>
        <w:ind w:left="580" w:hanging="20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strategic technology investments;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 and</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related to dispositions we may undertake via sales, franchises, joint ventures or other exit activities.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23" w:lineRule="exact"/>
        <w:rPr>
          <w:sz w:val="20"/>
          <w:szCs w:val="20"/>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meet our working capital needs;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adverse effects on our operating flexibility resulting from our debt levels;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comply with restrictive covenants under our revolving credit facilities and other debt instruments;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ManpowerGroup, may vary;</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guarantees or letters of credit on acceptable terms;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legislation; and</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 of our stock price.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23" w:lineRule="exact"/>
        <w:rPr>
          <w:sz w:val="20"/>
          <w:szCs w:val="20"/>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9" w:lineRule="exact"/>
        <w:rPr>
          <w:rFonts w:ascii="Arial" w:cs="Arial" w:eastAsia="Arial" w:hAnsi="Arial"/>
          <w:sz w:val="18"/>
          <w:szCs w:val="18"/>
          <w:color w:val="auto"/>
        </w:rPr>
      </w:pPr>
    </w:p>
    <w:p>
      <w:pPr>
        <w:ind w:left="580" w:hanging="208"/>
        <w:spacing w:after="0" w:line="2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the legal regulations in places we do business or the regulatory prohibition or restriction of employment services or the imposition of additional licensing or tax requirements;</w:t>
      </w: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claims, including employment-related claims, from clients or third parties;</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under Wisconsin law and our articles of incorporation and bylaws could make the takeover of our Company more difficult;</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9" w:lineRule="exact"/>
        <w:rPr>
          <w:rFonts w:ascii="Arial" w:cs="Arial" w:eastAsia="Arial" w:hAnsi="Arial"/>
          <w:sz w:val="18"/>
          <w:szCs w:val="18"/>
          <w:color w:val="auto"/>
        </w:rPr>
      </w:pPr>
    </w:p>
    <w:p>
      <w:pPr>
        <w:ind w:left="580" w:hanging="20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COVID-19 Pandemic</w:t>
      </w:r>
    </w:p>
    <w:p>
      <w:pPr>
        <w:spacing w:after="0" w:line="19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have been and may continue to be adversely impacted by the coronavirus pandemic, and future adverse impacts could be material and difficult to predict.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spread of the coronavirus (“COVID-19”), which was declared a global pandemic by the World Health Organization in March 2020, has created significant volatility, uncertainty and global macroeconomic disruption. The pandemic and related government actions (including declared states of emergency and quarantine, “shelter in place” or similar lockdown orders), non-governmental agency recommendations, and actions of businesses and individuals, as well as perceptions surrounding public health and safety, have resulted and are expected to continue to result in weakened economic conditions and significant economic uncertainty and volatility. These have significantly adversely affected our business, operations and financial results and we expect this will continue.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We are continuing to monitor and assess the effects of the COVID-19 pandemic. We cannot predict the extent to which it will continue to impact our business, operations and financial results, which may depend on numerous factors. These include the occurrence of new outbreaks; the rate of vaccination administration; how quickly normal economic activity will resume; the effect on our clients and client demand for our services, including closure of client facilities and clients’ ability to pay for our services and solutions; increases or decreases to government restrictions and the pace at which they occur; the economic impact and adequacy of government-sponsored relief programs; and the increased risk of more infections as social interaction increases. As a result, we cannot accurately predict the ultimate effects, which could be material, of the COVID-19 pandemic on our business, operations and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Any of the effects resulting from COVID-19 could also cause, contribute to or magnify the other risks and uncertainties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and Operational Risks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have been and may in the future be materially adversely affected by volatile, negative, or uncertain economic conditions.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sensitive to changes in global macroeconomic conditions. Even before the onset of the pandemic, we have at times experienced uncertainty and volatility in global economic conditions, including in rates of growth or decline in the markets we serve. Most of our operating countries and regions, which are increasingly interdependent, have experienced volatile growth patterns or declines, and we expect that global conditions will continue to be characterized by instability and unpredictability. Such conditions may cause our clients to reduce or to continue to defer their spending on new projects that require our solutions which could decrease demand for our various staffing services. Even if there is a recovery from COVID-related economic declines, there can be no assurances when or how rapidly this would occur and in what regions, and whether growth rates would return to pre-pandemic levels. If growth remains slow, as a result of the pandemic or otherwise, or if it continues to contract for an extended period of time, this could have a material adverse effect on our business and results of operations.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profitability is sensitive to decreases in demand. In 2020, we experienced a decrease in demand and our operating profit was impacted unfavorably as we experienced a deleveraging of our selling and administrative expense base as expenses did not decline as quickly as revenues. In periods of decline, we may not be able to reduce selling and administrative expenses without negatively impacting the long-term potential of our branch network and brands. Additionally, some clients have slowed the rate at which they pay us, or have become unable to pay their obligations and there is risk that this could continue, and our cash flow and profitability may suffer.</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the global refugee crisis, social justice movements, global health crises, changes in immigration policy, changes in employment policy, rising interest rates, the impact of terrorist activity, or by other political or economic developments. We are particularly susceptible to changes in demand patterns and economic conditions in Europe, which represents two of our operating segments and 66% of our revenue.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a risk that economic conditions in European markets may continue to be negatively impacted by events in recent years which, in addition to COVID-19, have included labor unrest, civil protest, heightened trade tensions, and uncertainty around the impacts of the exit of the United Kingdom from the European Union. Any of these events or trends could have a material adverse effect on our business and operating results.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25,000 employees based out of over 2,200 offices in 75 countries and territories, may make it difficult for us to effectively manage our resources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The Adecco Group and Randstad,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artificial intelligence (AI) and machine learning (ML). In engaging in these data-related activities, we rely on our own technology and systems, and those of third-party vendors we use for a variety of processes, including cloud-based technology and systems, mobile technologies and social media. Unauthorized access to, disclosure, modification, use or loss of personal data and/or confidential data may occur through a variety of methods. These include, but are not limited to,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social engineering attacks, viruses, ransomware, worms or other malicious software programs, or obtain credentials to our systems through other unrelated cyberattacks.</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jc w:val="both"/>
        <w:spacing w:after="0" w:line="289" w:lineRule="auto"/>
        <w:rPr>
          <w:sz w:val="20"/>
          <w:szCs w:val="20"/>
          <w:color w:val="auto"/>
        </w:rPr>
      </w:pPr>
      <w:r>
        <w:rPr>
          <w:rFonts w:ascii="Arial" w:cs="Arial" w:eastAsia="Arial" w:hAnsi="Arial"/>
          <w:sz w:val="16"/>
          <w:szCs w:val="16"/>
          <w:color w:val="auto"/>
        </w:rPr>
        <w:t>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making it impossible to give assurance that our cybersecurity efforts will be successful.</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Any such unauthorized access or fraudulent activity could have a material adverse effect on our business and financial results.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COVID-19 pandemic, more of our employees are working from their homes or other remote locations than at any other time in our history. This transition, which occurred quickly beginning in March 2020,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EU Court of Justice’s opinion in the “Schrems II” decision (which invalidated the EU-US Privacy Shield) and the California Privacy Rights Act (the “CPRA”), as well as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new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outsourced aspects of our business, which could result in disruption, increased costs, and reputational risk.</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increasingly outsourced important processes of our business to third party vendors, which exposes us to other risks, including increased costs,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 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adversely affected if we needed to replace one of our critical vendors for performance or economic reasons.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A successful breach of the security of our technology systems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 or reduction in revenues from large client accounts could have a material adverse effect on our business.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 and multinational client relationships. These large national and multinational clients, which comprised approximately 60% of our revenues in 2020,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depends on our ability to attract and retain qualified associates who possess the skills and experience necessary to meet the requirements of our clients. In many markets, we have been experiencing an unusually tight labor market, with historically low levels of unemployment, and there is a risk that we may be unable to meet our clients’ requirements in identifying an adequate number of associates. We must continually evaluate and upgrade our base of available qualified personnel through recruiting and training programs to keep pace with changing client needs and emerging technologies. This is especially acute for individuals with IT and other technology skills, as competition for such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operations in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acts of war, terrorism, international conflict, severe weather conditions, pandemics, including COVID-19, and other global health emergencies, disruptions of infrastructure and utilities, cyberattacks, and other events beyond our control.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Although it is not possible to predict such events or their consequences, these events could materially adversely affect our reputation, business and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only a limited ability to protect our thought leadership and other intellectual property, which is important to our success.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patent, copyright, and trademark laws to protect our intellectual property rights. Our intellectual property rights may not prevent competitors from independently developing products, services and solutions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Risks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strategy that this counter-cyclical effect would help cushion our results in the event of a future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strategy also includes continuing efforts to transform how we use personnel and technology to enhance our delivery of services. Our goal is to become a more agile and effective competitor, to reduce the cost of operating our business and to increase our operating profit and operating profit margin. These efforts to transform how we do business may not be successful, and we may not succeed at reducing our operating costs or preventing the return of any costs that are eliminated.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depends on our ability to keep pace with rapid technological changes in the development and implementation of our services and solutions. For example, rapid changes in the use of artificial intelligence and robotics are having a significant impact on some of the industries we serve and could have significant and unforeseen consequences for the workforce services industry and for our business. There is a risk that these, or other developments, could result in significant rapid disruption to our business model, and that we will be unprepared to compete effectively.</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make acquisitions of other companies or operating assets or enter into operating joint ventures. These activities involve significant risks, including:</w:t>
      </w:r>
    </w:p>
    <w:p>
      <w:pPr>
        <w:spacing w:after="0" w:line="143" w:lineRule="exact"/>
        <w:rPr>
          <w:sz w:val="20"/>
          <w:szCs w:val="20"/>
          <w:color w:val="auto"/>
        </w:rPr>
      </w:pP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financial reporting, services and corporate culture of acquired companies;</w:t>
      </w:r>
    </w:p>
    <w:p>
      <w:pPr>
        <w:spacing w:after="0" w:line="11" w:lineRule="exact"/>
        <w:rPr>
          <w:rFonts w:ascii="Arial" w:cs="Arial" w:eastAsia="Arial" w:hAnsi="Arial"/>
          <w:sz w:val="18"/>
          <w:szCs w:val="18"/>
          <w:color w:val="auto"/>
        </w:rPr>
      </w:pPr>
    </w:p>
    <w:p>
      <w:pPr>
        <w:ind w:left="420" w:hanging="210"/>
        <w:spacing w:after="0" w:line="249"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any companies or assets that we acquire, or joint ventures that we form, to meet performance expectations, which could trigger payment obligations;</w:t>
      </w: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over-valuation by us of any companies or assets that we acquire, or joint ventures that we form;</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that arise with sellers;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effectively monitor compliance with corporate policies as well as regulatory requirements;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liabilities incurred by the acquired companies prior to the acquisitions; and</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affect our business, financial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condition, results of operations and liquidity. Possible impairment losses on goodwill and intangible assets with an indefinite life or restructuring charges could also occur.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From time to time, there may be dispositions we undertake via sales, franchises, joint ventures or other exit activities, and we may face risks related to such transactions.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review the effectiveness of our global operations, including our global geographic footprint, and we may elect to exit certain countries or operations after analyzing their performance or their position in our overall global strategy. We have engaged in such dispositions in the past, and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and Market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certain foreign countries, such as Argentina in 2018, can result in foreign currency devaluation, which may also negatively impact our reported financial results.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2020, approximately 87% of our revenues were generated outside of the United States, the majority of which were generated in Europe. Furthermore, $1,123.9 million of our outstanding indebtedness as of December 31, 2020, was denominated in foreign currencies, including $1,094.5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seek to mitigate our exposure to foreign currency fluctuations by utilizing net investment hedges and, from time to time, foreign currency forward exchange contracts and cross-currency swaps. A portion of our Euro-denominated notes has been designated as a hedge of our net investment in subsidiaries with a Euro-functional currency as of December 31, 2020,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liquidity could be adversely impacted by economic conditions affecting our clients.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working capital is primarily in the form of trade receivables which generally increase as sales increase. One of the ways in which we measure our working capital is in terms of working capital as a percent of revenue with 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and share price could be materially adversely affected if we are unable to maintain effective internal controls.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levels could materially adversely affect our operating flexibility and put us at a competitive disadvantage.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$1,123.9 million of total debt. Our level of debt and the limitations imposed on us by our credit agreements could have important consequences for investors, including the following:</w:t>
      </w:r>
    </w:p>
    <w:p>
      <w:pPr>
        <w:spacing w:after="0" w:line="130" w:lineRule="exact"/>
        <w:rPr>
          <w:sz w:val="20"/>
          <w:szCs w:val="20"/>
          <w:color w:val="auto"/>
        </w:rPr>
      </w:pPr>
    </w:p>
    <w:p>
      <w:pPr>
        <w:ind w:left="420" w:hanging="210"/>
        <w:spacing w:after="0" w:line="258"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significant acquisition opportunities, or other corporate purposes or may have to pay more for such financing;</w:t>
      </w:r>
    </w:p>
    <w:p>
      <w:pPr>
        <w:spacing w:after="0" w:line="1" w:lineRule="exact"/>
        <w:rPr>
          <w:rFonts w:ascii="Arial" w:cs="Arial" w:eastAsia="Arial" w:hAnsi="Arial"/>
          <w:sz w:val="18"/>
          <w:szCs w:val="18"/>
          <w:color w:val="auto"/>
        </w:rPr>
      </w:pPr>
    </w:p>
    <w:p>
      <w:pPr>
        <w:ind w:left="420" w:hanging="210"/>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20" w:lineRule="exact"/>
        <w:rPr>
          <w:rFonts w:ascii="Arial" w:cs="Arial" w:eastAsia="Arial" w:hAnsi="Arial"/>
          <w:sz w:val="17"/>
          <w:szCs w:val="17"/>
          <w:color w:val="auto"/>
        </w:rPr>
      </w:pPr>
    </w:p>
    <w:p>
      <w:pPr>
        <w:ind w:left="420" w:hanging="210"/>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lenders under our and our subsidiaries’ credit facilities may be unwilling or unable to extend credit to us on acceptable terms or at all.</w:t>
      </w:r>
    </w:p>
    <w:p>
      <w:pPr>
        <w:spacing w:after="0" w:line="20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in 2020, during the pandemic, we participated in subsidy programs of various governments. If we continue to participate in these programs, there is a risk that these programs could impose restrictions on our subsidiaries’ ability to declare dividends or repatriate cash outside of the sponsor country, which could significantly impact liquidity at the parent level if we are not able to comply with the specific country requirements.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secure guarantees or letters of credit on acceptable terms may substantially increase our cost of doing business in various countries.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could be subject to changes in tax rates, adoption of new United States or international tax legislation or tax audits that could result in additional income tax liabilities.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is supporting changes to numerous long-standing tax principles through its base erosion and profit shifting project, which is focused on a number of issues, including the shifting of profits among affiliated entities located in different tax jurisdictions. The changes recommended by the OECD have been or are being adopted by many of the countries in which we do business. In addition, the European Commission has expanded upon the OECD guidelines with anti-tax avoidance directives to be applied by its member states. Among other things, the directives require companies to provide increased country-by-country disclosure of their financial information to tax authorities, which in turn could lead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disagreements by jurisdictions over the proper allocation of profits between them. These possible changes in tax laws, treaties or regulations, or their interpretation or enforcement, could have an adverse impact on our current or future tax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price for our common stock may be subject to significant volatility. For example, during 2020, the price of our common stock as reported on the New York Stock Exchange ranged from a high of $100.99 to a low of $49.57. Our stock price can fluctuate as a result of a variety of factors, including factors listed in these “Risk Factors” and others, many of which are beyond our control. These factors include:</w:t>
      </w:r>
    </w:p>
    <w:p>
      <w:pPr>
        <w:spacing w:after="0" w:line="143" w:lineRule="exact"/>
        <w:rPr>
          <w:sz w:val="20"/>
          <w:szCs w:val="20"/>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investor sentiment regarding the company arising from these or other events, or the economy in general.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and Legal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on contracts may be materially adversely affected if we or third parties fail to deliver on commitments.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contracts are increasingly complex and, in most instances, require that we partner with other parties to provide the workforce solutions required by our clients. Our clients have become more sophisticated in their contractual negotiation process and more detailed in defining their operational requirements.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including as a result of delivery challenges arising from the COVID-19 pandemic, then our ability to successfully complete our contracts may be affected, which may have a material and adverse impact on our client relations, revenues and profitability. Additionally, we may incur liability for the actions or omissions of our partners or vendors and we may face challenges or be unable to enforce these obligations against those partners.</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many jurisdictions in which we operate, such as France, Italy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These continuously-evolving regulations could have a significant impact to our revenues, costs, and operating margins as we and customers adjust to these new regulations. Furthermore, many countries are also expanding enforcement of immigration laws, and there is a risk that we will incur greater expense in connection with immigration law compliance.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countries and territories in which we operate may, among other things:</w:t>
      </w:r>
    </w:p>
    <w:p>
      <w:pPr>
        <w:spacing w:after="0" w:line="185" w:lineRule="exact"/>
        <w:rPr>
          <w:sz w:val="20"/>
          <w:szCs w:val="20"/>
          <w:color w:val="auto"/>
        </w:rPr>
      </w:pPr>
    </w:p>
    <w:p>
      <w:pPr>
        <w:ind w:left="420" w:hanging="210"/>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pay parity for our associates;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ind w:left="420" w:hanging="210"/>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in November 2020, new legislation was proposed in Mexico that could ban many types of temporary placements under the country’s labor laws. The proposal could broadly prohibit the provision of our traditional temporary staffing services, only allowing outsourced worker assignments for special, deliverables-based projects outside of the client’s core business activity. If this proposal were enacted into law, it could have a material adverse impact on our business in Mexico.</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types of future regulation may have a material adverse effect on our business and financial results by making it more difficult or expensive for us to continue to provide employment services, particularly if we cannot pass along increases in costs to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antibribery and corruption laws could materially adversely affect our business.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exposed to legal claims, including employment-related claims that could materially adversely affect our business, financial condition and results of operations.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196" w:lineRule="exact"/>
        <w:rPr>
          <w:sz w:val="20"/>
          <w:szCs w:val="20"/>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by our associates of wrongful termination or retaliation;</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arising from violations of employment rights related to employment screening or privacy issues;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related to classification of workers as employees or independent contractors;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related to the employment of undocumented or illegal workers;</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420" w:hanging="210"/>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violations of employee pay and benefits requirements such as violations of wage and hour requirements;</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entitlement to employee benefits, including healthcare coverage;</w:t>
      </w:r>
    </w:p>
    <w:p>
      <w:pPr>
        <w:spacing w:after="0" w:line="9" w:lineRule="exact"/>
        <w:rPr>
          <w:rFonts w:ascii="Arial" w:cs="Arial" w:eastAsia="Arial" w:hAnsi="Arial"/>
          <w:sz w:val="18"/>
          <w:szCs w:val="18"/>
          <w:color w:val="auto"/>
        </w:rPr>
      </w:pPr>
    </w:p>
    <w:p>
      <w:pPr>
        <w:ind w:left="420" w:hanging="210"/>
        <w:spacing w:after="0" w:line="250"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and omissions of our associates and other individuals working on our behalf in performing their jobs, such as accountants, IT professionals, engineers and other technical workers; and</w:t>
      </w:r>
    </w:p>
    <w:p>
      <w:pPr>
        <w:ind w:left="420" w:hanging="210"/>
        <w:spacing w:after="0" w:line="260"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frequently sued by plaintiffs in various other employment-related matters, including those seeking class action status in the US. It is likely we will continue to experience similar claims in the future, which may increase in number as a result of remote working assignments during the COVID-19 pandemic.</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43" w:lineRule="exact"/>
        <w:rPr>
          <w:sz w:val="20"/>
          <w:szCs w:val="20"/>
          <w:color w:val="auto"/>
        </w:rPr>
      </w:pPr>
    </w:p>
    <w:p>
      <w:pPr>
        <w:ind w:left="420" w:hanging="210"/>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3" w:lineRule="exact"/>
        <w:rPr>
          <w:rFonts w:ascii="Arial" w:cs="Arial" w:eastAsia="Arial" w:hAnsi="Arial"/>
          <w:sz w:val="18"/>
          <w:szCs w:val="18"/>
          <w:color w:val="auto"/>
        </w:rPr>
      </w:pPr>
    </w:p>
    <w:p>
      <w:pPr>
        <w:ind w:left="420" w:hanging="210"/>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 w:lineRule="exact"/>
        <w:rPr>
          <w:rFonts w:ascii="Arial" w:cs="Arial" w:eastAsia="Arial" w:hAnsi="Arial"/>
          <w:sz w:val="18"/>
          <w:szCs w:val="18"/>
          <w:color w:val="auto"/>
        </w:rPr>
      </w:pPr>
    </w:p>
    <w:p>
      <w:pPr>
        <w:ind w:left="420" w:hanging="210"/>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litigation of a routine nature and various legal matters, which are being defended and handled in the ordinary course of business.</w:t>
      </w:r>
    </w:p>
    <w:p>
      <w:pPr>
        <w:spacing w:after="0" w:line="3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1980" w:type="dxa"/>
            <w:vAlign w:val="bottom"/>
          </w:tcPr>
          <w:p>
            <w:pPr>
              <w:spacing w:after="0"/>
              <w:rPr>
                <w:sz w:val="20"/>
                <w:szCs w:val="20"/>
                <w:color w:val="auto"/>
              </w:rPr>
            </w:pPr>
          </w:p>
        </w:tc>
        <w:tc>
          <w:tcPr>
            <w:tcW w:w="926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(as of February 17, 2021)</w:t>
            </w:r>
          </w:p>
        </w:tc>
      </w:tr>
      <w:tr>
        <w:trPr>
          <w:trHeight w:val="466"/>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Officer</w:t>
            </w:r>
          </w:p>
        </w:tc>
        <w:tc>
          <w:tcPr>
            <w:tcW w:w="9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Office</w:t>
            </w: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Jonas Prising</w:t>
            </w: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Chairman of ManpowerGroup as of December 31, 2015. Chief Executive Officer of ManpowerGroup since May 2014.</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Age 56</w:t>
            </w: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ManpowerGroup President from November 2012 to May 2014. Executive Vice President, President of ManpowerGroup -</w:t>
            </w:r>
          </w:p>
        </w:tc>
      </w:tr>
      <w:tr>
        <w:trPr>
          <w:trHeight w:val="216"/>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the Americas from January 2009 to October 2012. Executive Vice President, President – United States and Canadian</w:t>
            </w:r>
          </w:p>
        </w:tc>
      </w:tr>
      <w:tr>
        <w:trPr>
          <w:trHeight w:val="216"/>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7"/>
              </w:rPr>
              <w:t>Operations from January 2006 to December 2008. A director of ManpowerGroup since May 2014. An employee of</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ManpowerGroup since May 1999. A director of Kohl's Corporation since August 2015.</w:t>
            </w: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John T. McGinnis</w:t>
            </w:r>
          </w:p>
        </w:tc>
        <w:tc>
          <w:tcPr>
            <w:tcW w:w="9260" w:type="dxa"/>
            <w:vAlign w:val="bottom"/>
          </w:tcPr>
          <w:p>
            <w:pPr>
              <w:ind w:left="400"/>
              <w:spacing w:after="0"/>
              <w:rPr>
                <w:sz w:val="20"/>
                <w:szCs w:val="20"/>
                <w:color w:val="auto"/>
              </w:rPr>
            </w:pPr>
            <w:r>
              <w:rPr>
                <w:rFonts w:ascii="Arial" w:cs="Arial" w:eastAsia="Arial" w:hAnsi="Arial"/>
                <w:sz w:val="18"/>
                <w:szCs w:val="18"/>
                <w:color w:val="auto"/>
                <w:w w:val="93"/>
              </w:rPr>
              <w:t>Executive Vice President, Chief Financial Officer of ManpowerGroup since February 2016. Global Controller of Morgan</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Age 54</w:t>
            </w: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Stanley from January 2014 to February 2016. Chief Financial Officer, HSBC North America from July 2012 to January</w:t>
            </w:r>
          </w:p>
        </w:tc>
      </w:tr>
      <w:tr>
        <w:trPr>
          <w:trHeight w:val="216"/>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2014. Chief Financial Officer, HSBC Bank USA from July 2010 to January 2014. An employee of ManpowerGroup since</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February 2016.</w:t>
            </w: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Michelle S. Nettles</w:t>
            </w:r>
          </w:p>
        </w:tc>
        <w:tc>
          <w:tcPr>
            <w:tcW w:w="9260" w:type="dxa"/>
            <w:vAlign w:val="bottom"/>
          </w:tcPr>
          <w:p>
            <w:pPr>
              <w:ind w:left="400"/>
              <w:spacing w:after="0"/>
              <w:rPr>
                <w:sz w:val="20"/>
                <w:szCs w:val="20"/>
                <w:color w:val="auto"/>
              </w:rPr>
            </w:pPr>
            <w:r>
              <w:rPr>
                <w:rFonts w:ascii="Arial" w:cs="Arial" w:eastAsia="Arial" w:hAnsi="Arial"/>
                <w:sz w:val="18"/>
                <w:szCs w:val="18"/>
                <w:color w:val="auto"/>
                <w:w w:val="92"/>
              </w:rPr>
              <w:t>Chief People and Culture Officer since July 2019. Chief People and Diversity Officer of Molson Coors Brewing Company</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Age 49</w:t>
            </w:r>
          </w:p>
        </w:tc>
        <w:tc>
          <w:tcPr>
            <w:tcW w:w="9260" w:type="dxa"/>
            <w:vAlign w:val="bottom"/>
          </w:tcPr>
          <w:p>
            <w:pPr>
              <w:ind w:left="400"/>
              <w:spacing w:after="0"/>
              <w:rPr>
                <w:sz w:val="20"/>
                <w:szCs w:val="20"/>
                <w:color w:val="auto"/>
              </w:rPr>
            </w:pPr>
            <w:r>
              <w:rPr>
                <w:rFonts w:ascii="Arial" w:cs="Arial" w:eastAsia="Arial" w:hAnsi="Arial"/>
                <w:sz w:val="18"/>
                <w:szCs w:val="18"/>
                <w:color w:val="auto"/>
                <w:w w:val="95"/>
              </w:rPr>
              <w:t>from October 2016 to July 2019. Chief Human Resources Officer of MillerCoors from October 2014 to October 2016.</w:t>
            </w:r>
          </w:p>
        </w:tc>
      </w:tr>
      <w:tr>
        <w:trPr>
          <w:trHeight w:val="216"/>
        </w:trPr>
        <w:tc>
          <w:tcPr>
            <w:tcW w:w="198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w w:val="94"/>
              </w:rPr>
              <w:t>Prior thereto, Ms. Nettles held other positions at MillerCoors since 2009.  An employee of ManpowerGroup since July</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2019.</w:t>
            </w: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Richard D. Buchband</w:t>
            </w:r>
          </w:p>
        </w:tc>
        <w:tc>
          <w:tcPr>
            <w:tcW w:w="9260" w:type="dxa"/>
            <w:vAlign w:val="bottom"/>
          </w:tcPr>
          <w:p>
            <w:pPr>
              <w:ind w:left="400"/>
              <w:spacing w:after="0"/>
              <w:rPr>
                <w:sz w:val="20"/>
                <w:szCs w:val="20"/>
                <w:color w:val="auto"/>
              </w:rPr>
            </w:pPr>
            <w:r>
              <w:rPr>
                <w:rFonts w:ascii="Arial" w:cs="Arial" w:eastAsia="Arial" w:hAnsi="Arial"/>
                <w:sz w:val="18"/>
                <w:szCs w:val="18"/>
                <w:color w:val="auto"/>
              </w:rPr>
              <w:t>Senior Vice President, General Counsel and Secretary of ManpowerGroup since January 2013. Prior to joining</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Age 57</w:t>
            </w:r>
          </w:p>
        </w:tc>
        <w:tc>
          <w:tcPr>
            <w:tcW w:w="9260" w:type="dxa"/>
            <w:vAlign w:val="bottom"/>
          </w:tcPr>
          <w:p>
            <w:pPr>
              <w:ind w:left="400"/>
              <w:spacing w:after="0"/>
              <w:rPr>
                <w:sz w:val="20"/>
                <w:szCs w:val="20"/>
                <w:color w:val="auto"/>
              </w:rPr>
            </w:pPr>
            <w:r>
              <w:rPr>
                <w:rFonts w:ascii="Arial" w:cs="Arial" w:eastAsia="Arial" w:hAnsi="Arial"/>
                <w:sz w:val="18"/>
                <w:szCs w:val="18"/>
                <w:color w:val="auto"/>
                <w:w w:val="98"/>
              </w:rPr>
              <w:t>ManpowerGroup, a partner and Associate General Counsel for Accenture plc from 2006 to 2011. An employee of</w:t>
            </w:r>
          </w:p>
        </w:tc>
      </w:tr>
      <w:tr>
        <w:trPr>
          <w:trHeight w:val="230"/>
        </w:trPr>
        <w:tc>
          <w:tcPr>
            <w:tcW w:w="198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ManpowerGroup since January 2013.</w:t>
            </w:r>
          </w:p>
        </w:tc>
      </w:tr>
      <w:tr>
        <w:trPr>
          <w:trHeight w:val="662"/>
        </w:trPr>
        <w:tc>
          <w:tcPr>
            <w:tcW w:w="1980" w:type="dxa"/>
            <w:vAlign w:val="bottom"/>
          </w:tcPr>
          <w:p>
            <w:pPr>
              <w:spacing w:after="0"/>
              <w:rPr>
                <w:sz w:val="24"/>
                <w:szCs w:val="24"/>
                <w:color w:val="auto"/>
              </w:rPr>
            </w:pPr>
          </w:p>
        </w:tc>
        <w:tc>
          <w:tcPr>
            <w:tcW w:w="9260" w:type="dxa"/>
            <w:vAlign w:val="bottom"/>
          </w:tcPr>
          <w:p>
            <w:pPr>
              <w:jc w:val="center"/>
              <w:ind w:right="1870"/>
              <w:spacing w:after="0"/>
              <w:rPr>
                <w:sz w:val="20"/>
                <w:szCs w:val="20"/>
                <w:color w:val="auto"/>
              </w:rPr>
            </w:pPr>
            <w:r>
              <w:rPr>
                <w:rFonts w:ascii="Arial" w:cs="Arial" w:eastAsia="Arial" w:hAnsi="Arial"/>
                <w:sz w:val="18"/>
                <w:szCs w:val="18"/>
                <w:color w:val="auto"/>
                <w:w w:val="89"/>
              </w:rPr>
              <w:t>26</w:t>
            </w:r>
          </w:p>
        </w:tc>
      </w:tr>
      <w:tr>
        <w:trPr>
          <w:trHeight w:val="115"/>
        </w:trPr>
        <w:tc>
          <w:tcPr>
            <w:tcW w:w="1980" w:type="dxa"/>
            <w:vAlign w:val="bottom"/>
            <w:tcBorders>
              <w:bottom w:val="single" w:sz="8" w:color="9A9A9A"/>
            </w:tcBorders>
          </w:tcPr>
          <w:p>
            <w:pPr>
              <w:spacing w:after="0"/>
              <w:rPr>
                <w:sz w:val="10"/>
                <w:szCs w:val="10"/>
                <w:color w:val="auto"/>
              </w:rPr>
            </w:pPr>
          </w:p>
        </w:tc>
        <w:tc>
          <w:tcPr>
            <w:tcW w:w="9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ind w:left="4620"/>
        <w:spacing w:after="0"/>
        <w:rPr>
          <w:sz w:val="20"/>
          <w:szCs w:val="20"/>
          <w:color w:val="auto"/>
        </w:rPr>
      </w:pPr>
      <w:r>
        <w:rPr>
          <w:rFonts w:ascii="Arial" w:cs="Arial" w:eastAsia="Arial" w:hAnsi="Arial"/>
          <w:sz w:val="18"/>
          <w:szCs w:val="18"/>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2020:</w:t>
      </w:r>
    </w:p>
    <w:p>
      <w:pPr>
        <w:spacing w:after="0" w:line="13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19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Listing and Trading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New York Stock Exchange under the symbol MAN.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2021, the Company's common stock was held by approximately 2,800 record 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2019,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The following table shows the total amount of shares repurchased during the fourth quarter of 2020. As of December 31, 2020, there were 3.4 million shares remaining authorized for repurchase under the 2019 authorization.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18"/>
                <w:szCs w:val="18"/>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 that may</w:t>
            </w:r>
          </w:p>
        </w:tc>
      </w:tr>
      <w:tr>
        <w:trPr>
          <w:trHeight w:val="216"/>
        </w:trPr>
        <w:tc>
          <w:tcPr>
            <w:tcW w:w="4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16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announced plan or</w:t>
            </w:r>
          </w:p>
        </w:tc>
        <w:tc>
          <w:tcPr>
            <w:tcW w:w="140" w:type="dxa"/>
            <w:vAlign w:val="bottom"/>
          </w:tcPr>
          <w:p>
            <w:pPr>
              <w:spacing w:after="0"/>
              <w:rPr>
                <w:sz w:val="18"/>
                <w:szCs w:val="18"/>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under the plan or</w:t>
            </w:r>
          </w:p>
        </w:tc>
      </w:tr>
      <w:tr>
        <w:trPr>
          <w:trHeight w:val="241"/>
        </w:trPr>
        <w:tc>
          <w:tcPr>
            <w:tcW w:w="416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shares purchased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per share</w:t>
            </w: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programs</w:t>
            </w:r>
          </w:p>
        </w:tc>
        <w:tc>
          <w:tcPr>
            <w:tcW w:w="140" w:type="dxa"/>
            <w:vAlign w:val="bottom"/>
          </w:tcPr>
          <w:p>
            <w:pPr>
              <w:spacing w:after="0"/>
              <w:rPr>
                <w:sz w:val="20"/>
                <w:szCs w:val="20"/>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programs</w:t>
            </w:r>
          </w:p>
        </w:tc>
      </w:tr>
      <w:tr>
        <w:trPr>
          <w:trHeight w:val="230"/>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1 - 31, 2020</w:t>
            </w: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562,273</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1"/>
              </w:rPr>
              <w:t>(1)</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71.32</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560,705</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5,319,184</w:t>
            </w: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November 1 - 30, 2020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1,255,162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77.18</w:t>
            </w:r>
          </w:p>
        </w:tc>
        <w:tc>
          <w:tcPr>
            <w:tcW w:w="14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1,255,162</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4,064,022</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December 1 - 31, 2020</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712,500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89.77</w:t>
            </w:r>
          </w:p>
        </w:tc>
        <w:tc>
          <w:tcPr>
            <w:tcW w:w="14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712,500</w:t>
            </w:r>
          </w:p>
        </w:tc>
        <w:tc>
          <w:tcPr>
            <w:tcW w:w="1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3,351,522</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2,529,935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79.43</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2,528,367</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3,351,522</w:t>
            </w:r>
          </w:p>
        </w:tc>
      </w:tr>
      <w:tr>
        <w:trPr>
          <w:trHeight w:val="20"/>
        </w:trPr>
        <w:tc>
          <w:tcPr>
            <w:tcW w:w="4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61" w:lineRule="exact"/>
        <w:rPr>
          <w:sz w:val="20"/>
          <w:szCs w:val="20"/>
          <w:color w:val="auto"/>
        </w:rPr>
      </w:pPr>
    </w:p>
    <w:p>
      <w:pPr>
        <w:ind w:left="740" w:right="2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1,568 shares of common stock withheld by ManpowerGroup to satisfy tax withholding obligations on shares acquired by certain officers in settlement of restricted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Performance Graph</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Set forth below is a graph for the periods ending December 31, 2015-2020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23% of the total market capitalization of the companies included in the index. The graph assumes a $100 investment on December 31, 2015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130810</wp:posOffset>
            </wp:positionV>
            <wp:extent cx="4800600" cy="1937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ManpowerGroup</w:t>
            </w:r>
          </w:p>
        </w:tc>
        <w:tc>
          <w:tcPr>
            <w:tcW w:w="5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S&amp;P 400 Midcap Stock Index</w:t>
            </w:r>
          </w:p>
        </w:tc>
        <w:tc>
          <w:tcPr>
            <w:tcW w:w="56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165</w:t>
            </w: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w w:val="95"/>
              </w:rPr>
              <w:t>S&amp;P Supercomposite Human Resources and Employment</w:t>
            </w: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30"/>
        </w:trPr>
        <w:tc>
          <w:tcPr>
            <w:tcW w:w="4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Services Index</w:t>
            </w:r>
          </w:p>
        </w:tc>
        <w:tc>
          <w:tcPr>
            <w:tcW w:w="5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108</w:t>
            </w:r>
          </w:p>
        </w:tc>
        <w:tc>
          <w:tcPr>
            <w:tcW w:w="4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c>
          <w:tcPr>
            <w:tcW w:w="4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112</w:t>
            </w:r>
          </w:p>
        </w:tc>
        <w:tc>
          <w:tcPr>
            <w:tcW w:w="4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r>
      <w:tr>
        <w:trPr>
          <w:trHeight w:val="871"/>
        </w:trPr>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9" w:name="page30"/>
    <w:bookmarkEnd w:id="29"/>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five-year financial data presented below should be read in conjunction with the information contained in Item 7. "Management’s Discussion and Analysis of Financial Condition and Results of Operations," and the Company’s Consolidated Financial Statements and the Notes thereto contained in Item 8. "Financial Statements and Supplementary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color w:val="auto"/>
                <w:w w:val="90"/>
              </w:rPr>
              <w:t>As of and for the Year Ended December 31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1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 Data</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Revenues from services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18,001.0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20,863.5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21,991.2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21,034.3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19,654.1</w:t>
            </w: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2,824.7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3,375.1</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3,579.0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3,484.6</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3,333.8</w:t>
            </w: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187.6</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644.9</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796.7</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789.2</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745.5</w:t>
            </w: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465.7</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556.7</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443.7</w:t>
            </w:r>
          </w:p>
        </w:tc>
      </w:tr>
      <w:tr>
        <w:trPr>
          <w:trHeight w:val="230"/>
        </w:trPr>
        <w:tc>
          <w:tcPr>
            <w:tcW w:w="38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earnings — basic</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6.33</w:t>
            </w: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Net earnings — diluted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6.27</w:t>
            </w: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r>
      <w:tr>
        <w:trPr>
          <w:trHeight w:val="229"/>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9,328.2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8,519.8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8,883.6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7,574.2</w:t>
            </w:r>
          </w:p>
        </w:tc>
      </w:tr>
      <w:tr>
        <w:trPr>
          <w:trHeight w:val="229"/>
        </w:trPr>
        <w:tc>
          <w:tcPr>
            <w:tcW w:w="3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Long-term debt</w:t>
            </w:r>
          </w:p>
        </w:tc>
        <w:tc>
          <w:tcPr>
            <w:tcW w:w="1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785.6</w:t>
            </w:r>
          </w:p>
        </w:tc>
      </w:tr>
      <w:tr>
        <w:trPr>
          <w:trHeight w:val="628"/>
        </w:trPr>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 — Constant Currency And Organic Constant Currency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 39.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For Years of Operation Ending December 31, 2020 and 2019</w:t>
      </w:r>
    </w:p>
    <w:p>
      <w:pPr>
        <w:spacing w:after="0" w:line="198" w:lineRule="exact"/>
        <w:rPr>
          <w:sz w:val="20"/>
          <w:szCs w:val="20"/>
          <w:color w:val="auto"/>
        </w:rPr>
      </w:pPr>
    </w:p>
    <w:p>
      <w:pPr>
        <w:jc w:val="both"/>
        <w:spacing w:after="0" w:line="277" w:lineRule="auto"/>
        <w:rPr>
          <w:rFonts w:ascii="Arial" w:cs="Arial" w:eastAsia="Arial" w:hAnsi="Arial"/>
          <w:sz w:val="18"/>
          <w:szCs w:val="18"/>
          <w:color w:val="0000EE"/>
        </w:rPr>
      </w:pPr>
      <w:r>
        <w:rPr>
          <w:rFonts w:ascii="Arial" w:cs="Arial" w:eastAsia="Arial" w:hAnsi="Arial"/>
          <w:sz w:val="18"/>
          <w:szCs w:val="18"/>
          <w:color w:val="auto"/>
        </w:rPr>
        <w:t xml:space="preserve">The financial discussion that follows focuses on 2020 results compared to 2019. For a discussion of 2019 results compared to 2018, see the company’s </w:t>
      </w:r>
      <w:hyperlink r:id="rId43">
        <w:r>
          <w:rPr>
            <w:rFonts w:ascii="Arial" w:cs="Arial" w:eastAsia="Arial" w:hAnsi="Arial"/>
            <w:sz w:val="18"/>
            <w:szCs w:val="18"/>
            <w:u w:val="single" w:color="auto"/>
            <w:color w:val="0000EE"/>
          </w:rPr>
          <w:t>Annual Report on Form 10-K for the year ended December 31, 2019</w:t>
        </w:r>
      </w:hyperlink>
      <w:r>
        <w:rPr>
          <w:rFonts w:ascii="Arial" w:cs="Arial" w:eastAsia="Arial" w:hAnsi="Arial"/>
          <w:sz w:val="18"/>
          <w:szCs w:val="18"/>
          <w:color w:val="000000"/>
        </w:rPr>
        <w:t>.</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2020 results were negatively impacted by the COVID-19 crisis, with revenues declining 13.7% compared to 2019. Our businesses experienced significant changes in revenue trends from 2019 reflecting the sudden drop of activity that started in March of 2020. Although the pandemic reduced demand for our services across almost all of our operations, the most significant portion of the year-over-year revenue decline occurred in our European markets during April and the first few weeks of May as governments put states of emergency and related lockdown requirements into place. The impact of the COVID-19 crisis stabilized in many parts of the world and economies slowly reopened as governments in some of our largest countries lifted lock-down requirements starting at the end of the second quarter. We saw some signs of a global recovery starting at the end of the third quarter that continued as a slow and steady recovery through the end of 2020, with our fourth quarter results reflecting a stronger market environment. However, a number of countries started to see increased cases of COVID-19 in the fourth quarter that led to the implementation of new restrictions in an effort to mitigate the spread. Unlike the country-wide lockdowns and restrictions experienced earlier in the year, the restrictions were more targeted and localized. Despite these restrictions, we experienced revenue growth and new opportunities in select markets as the year ended.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Continued uncertainty remains as to the future impact of the pandemic on global and local economies. The ultimate impact may depend on multiple factors which cannot be predicted, including public health conditions and the possibility of local and national governments enforcing new restrictions on commerce, which could have an adverse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impact on our business, or, conversely the prospect of additional fiscal stimulus packages, which could be beneficial. What started as a sudden and swift slowdown of the global economies and labor markets is expected to take longer to recover around the world than we had initially contemplated. We currently anticipate a two-tiered recovery with certain industries recovering quicker in the near term and other industries continuing to be impacted in the medium- to long-term.</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Compared to the impact from the COVID-19 crisis discussed above, the impact of currency on 2020 results was minimal. During 2020, the United States dollar was slightly weaker, on average, relative to the currencies in all of our markets, except in Other Americas, which therefore had a favorable impact on our reported results and generally may overstate the performance of our underlying business. The changes in the foreign currency exchange rates had a 0.2% favorable impact on revenues from services, a 0.3% favorable impact on operating profit, and an approximately one cent 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2020, we experienced the following quarterly changes to our consolidated revenues compared to 2019: first quarter revenue decrease of 8.4% reflecting the sudden drop of activity during March as our largest markets experienced COVID-19 related work restrictions, 30.4% revenue decrease in the second quarter due to the significant impact from COVID-19 especially in April and May, improvement in the rate of decline to 12.7% in the third quarter reflecting an increase in activity levels since the lifting of lock-down requirements and restrictions, and steady improvement in the fourth quarter with a decrease of 2.7% indicating continued signs of a global recovery. Although the most dramatic revenue declines occurred in the second quarter, as European governments imposed states of emergency and related lockdowns, we continued to experience revenue declines during the third quarter on a year-over-year basis as regional economies remained at reduced activity levels as a result of the COVID-19 crisis. We experienced a gradual improvement in the rates of decline throughout the third quarter of 2020 with monthly year-over-year revenue declines of 18% in July, 14% in August, and 5% in September. There was a slight increase in the rate of revenue decline in October at 9%, with gradual improvement in the remainder of the fourth quarter with a revenue decline of 3% in November and revenue growth of 5% in December.</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experienced a 25.2% decrease in our permanent recruitment business in 2020 compared to 2019 as a result of the COVID-19 crisis. On an overall basis, our Talent Solutions business, which includes Recruitment Process Outsourcing (RPO), TAPFIN - Managed Service Provider (MSP) and our Right Management offerings, experienced a decline in 2020 compared to 2019, which was driven by RPO activity. We experienced a sharp reduction in RPO activity as many client programs initiated hiring freezes starting in the second quarter of 2020 due to the COVID-19 crisis, although we did see improvement in the rate of year-over-year revenue decline in the second half of the year. Our MSP business has been resilient during the crisis and experienced growth in 2020 as we assisted more clients to develop customized workforce solutions during the economic downturn. Our counter-cyclical career transition services within our Right Management business experienced an increase in demand in 2020.</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most of our markets experienced revenue declines due to the COVID-19 crisis. We experienced a revenue decrease in Southern Europe, mainly driven by revenue declines in France and Italy due to the impact from the crisis. We experienced a revenue decrease in Northern Europe due to the declines in all of our key markets as a result of the COVID-19 crisis. Revenues decreased 11.4% in the Americas driven by a decrease in the United States related to the COVID-19 crisis. We experienced a 10.5% revenue decline in APME due to the deconsolidation of ManpowerGroup Greater China Limited (“Deconsolidation”) in 2019 and the COVID-19 crisis, partially offset by an increase in Japan due to an increase in demand for our staffing/interim services.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gross profit margin in 2020 compared to 2019 decreased due to the decline in our permanent recruitment business as a result of the COVID-19 crisis and the margin decrease in our Proservia managed services business. The decrease was also due the decline in our staffing/interim margins in the Americas and Southern Europe due primarily to the higher mix of our lower-margin enterprise client business. The overall gross margin decrease was partially offset by the growth in our higher-margin MSP offering and career transition services and increase in the staffing/interim margin in APME primarily due to the improvement in Japan.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We recorded $110.7 million of restructuring costs in 2020, comprised of $29.5 million in the Americas, $24.5 million in Southern Europe, $52.4 million in Northern Europe, $4.1 million in APME, and $0.2 million in corporate expenses, compared to $39.8 million incurred in 2019, comprised of $9.8 million in the Americas, $5.4 million in Southern Europe, $18.7 million in Northern Europe, $4.4 million in APME, and $1.5 million in corporate expenses. Both the 2020 and 2019 restructuring costs were primarily related to our delivery channel and other front-office centralization and back-office optimization activities. The 2019 restructuring costs were also related to adjusting our cost-base for the slower market environment in many of our European operations in 2019. We recorded $72.8 million and $65.6 million in 2020 and 2019, respectively, of goodwill and other impairment charges primarily related to our investment in Germany. In 2020, we also recorded a loss of $5.8 million from the disposition of our Serbia, Slovenia, Bulgaria, and Croatia businesses.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operating profit decreased 70.9% in 2020 while our operating profit margin decreased 210 basis points compared to 2019. Excluding the restructuring costs, goodwill impairment and other charges, disposition loss and the $30.4 million gain related to the Deconsolidation in 2019, our operating profit was down 48.7% in organic constant currency with operating profit down 130 basis points compared to 2019. The decrease in operating profit margin reflects the material deleveraging that accompanied the decrease in revenues from the sustained impact of the COVID-19 crisis. 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took significant actions in late March and early April, which allowed us to reduce selling and administrative expenses in our business. These reductions remained in place during the remainder of 2020, which partially offset the revenue and gross profit declines in 2020. This included leveraging government unemployment related benefits, which allowed us to move unutilized staff and associates quickly onto these programs, with most of the benefits from these actions occurring in the second quarter. There were a few programs still in place, mostly in Germany and the Netherlands, in the second half of 2020 from which we benefitted. This also included the short-term action of cutting discretionary costs and scaling operations back. In addition to these implemented initiatives, we are prepared to take further cost actions to optimize our business structure through this economic downturn with the intention of simultaneously preserving our ability to rebound when market conditions improve. We are focused on managing costs as efficiently as possible in the short-term while continuing to progress transformational actions aligned with our strategic priorities.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we manage through this crisis and prepare our business for future opportunities we would also like to emphasize the following points:</w:t>
      </w:r>
    </w:p>
    <w:p>
      <w:pPr>
        <w:spacing w:after="0" w:line="23" w:lineRule="exact"/>
        <w:rPr>
          <w:sz w:val="20"/>
          <w:szCs w:val="20"/>
          <w:color w:val="auto"/>
        </w:rPr>
      </w:pPr>
    </w:p>
    <w:p>
      <w:pPr>
        <w:ind w:left="460" w:right="140" w:hanging="277"/>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of our leaders have experience managing through economic downturns, and many of our senior operational leaders previously managed parts of our business during the economic downturn in 2008-2009. We believe this is valuable experience for the current economic environment. Additionally, we have enhanced our enterprise risk management framework in recent years, and we have business continuity plans which have been executed at a global, regional and country level.</w:t>
      </w:r>
    </w:p>
    <w:p>
      <w:pPr>
        <w:spacing w:after="0" w:line="1" w:lineRule="exact"/>
        <w:rPr>
          <w:rFonts w:ascii="Arial" w:cs="Arial" w:eastAsia="Arial" w:hAnsi="Arial"/>
          <w:sz w:val="18"/>
          <w:szCs w:val="18"/>
          <w:color w:val="auto"/>
        </w:rPr>
      </w:pPr>
    </w:p>
    <w:p>
      <w:pPr>
        <w:ind w:left="460" w:right="80" w:hanging="277"/>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technology investments we have been making for the last few years as part of our transformational activities have facilitated a rapid response to the COVID-19 crisis. As of December 31, 2020, the majority of our full-time equivalent employees were working remotely while mitigating potential productivity losses. We have also extended our cyber and information security capability to accelerate the ability for some of our associates and consultants to work for our clients at home mitigating potential operational or financial losses. Expectations of when our full-time equivalent employees return to the workplace will depend on a number of factors including the impact such a return would have on the safety, health and well-being of our employees as well as the impact from any government mandates or restrictions.</w:t>
      </w:r>
    </w:p>
    <w:p>
      <w:pPr>
        <w:ind w:left="460" w:right="20" w:hanging="277"/>
        <w:spacing w:after="0" w:line="25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has benefitted from our diversification across geographies, industries, and offerings, that we believe position us well to endure the COVID-19 crisis. We believe this diversification may likewise position us to take advantage of market opportunities that present themselves. For example, during 2020 compared to 2019, we have seen smaller declines within our Experis business compared to the Manpower business, and we are positioned with a large portion of our business focused on providing professional services and Talent Solutions. Additionally, portions of our Talent Solutions business are assisting our clients through this downturn with customized solutions. Right Management has experienced increased demand for career transition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3" w:name="page34"/>
    <w:bookmarkEnd w:id="33"/>
    <w:p>
      <w:pPr>
        <w:ind w:left="480"/>
        <w:spacing w:after="0"/>
        <w:rPr>
          <w:sz w:val="20"/>
          <w:szCs w:val="20"/>
          <w:color w:val="auto"/>
        </w:rPr>
      </w:pPr>
      <w:r>
        <w:rPr>
          <w:rFonts w:ascii="Arial" w:cs="Arial" w:eastAsia="Arial" w:hAnsi="Arial"/>
          <w:sz w:val="18"/>
          <w:szCs w:val="18"/>
          <w:color w:val="auto"/>
        </w:rPr>
        <w:t>services and has historically been a counter-cyclical business that helps offset the impact of an economic downturn.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 - 2020 compared to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2020 as compared to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color w:val="auto"/>
              </w:rPr>
              <w:t>Variance in</w:t>
            </w:r>
          </w:p>
        </w:tc>
      </w:tr>
      <w:tr>
        <w:trPr>
          <w:trHeight w:val="149"/>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jc w:val="right"/>
              <w:ind w:right="374"/>
              <w:spacing w:after="0" w:line="149" w:lineRule="exact"/>
              <w:rPr>
                <w:sz w:val="20"/>
                <w:szCs w:val="20"/>
                <w:color w:val="auto"/>
              </w:rPr>
            </w:pPr>
            <w:r>
              <w:rPr>
                <w:rFonts w:ascii="Arial" w:cs="Arial" w:eastAsia="Arial" w:hAnsi="Arial"/>
                <w:sz w:val="14"/>
                <w:szCs w:val="14"/>
                <w:color w:val="auto"/>
              </w:rPr>
              <w:t>Variance in</w:t>
            </w:r>
          </w:p>
        </w:tc>
        <w:tc>
          <w:tcPr>
            <w:tcW w:w="11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Organic</w:t>
            </w:r>
          </w:p>
        </w:tc>
      </w:tr>
      <w:tr>
        <w:trPr>
          <w:trHeight w:val="148"/>
        </w:trPr>
        <w:tc>
          <w:tcPr>
            <w:tcW w:w="4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Reported</w:t>
            </w:r>
          </w:p>
        </w:tc>
        <w:tc>
          <w:tcPr>
            <w:tcW w:w="1340" w:type="dxa"/>
            <w:vAlign w:val="bottom"/>
          </w:tcPr>
          <w:p>
            <w:pPr>
              <w:jc w:val="right"/>
              <w:ind w:right="374"/>
              <w:spacing w:after="0" w:line="149" w:lineRule="exact"/>
              <w:rPr>
                <w:sz w:val="20"/>
                <w:szCs w:val="20"/>
                <w:color w:val="auto"/>
              </w:rPr>
            </w:pPr>
            <w:r>
              <w:rPr>
                <w:rFonts w:ascii="Arial" w:cs="Arial" w:eastAsia="Arial" w:hAnsi="Arial"/>
                <w:sz w:val="14"/>
                <w:szCs w:val="14"/>
                <w:color w:val="auto"/>
              </w:rPr>
              <w:t>Constant</w:t>
            </w:r>
          </w:p>
        </w:tc>
        <w:tc>
          <w:tcPr>
            <w:tcW w:w="11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Constant</w:t>
            </w:r>
          </w:p>
        </w:tc>
      </w:tr>
      <w:tr>
        <w:trPr>
          <w:trHeight w:val="167"/>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Variance</w:t>
            </w: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Currency</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Currency</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18,001.0</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20,863.5</w:t>
            </w:r>
          </w:p>
        </w:tc>
        <w:tc>
          <w:tcPr>
            <w:tcW w:w="13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(13.7)%</w:t>
            </w:r>
          </w:p>
        </w:tc>
        <w:tc>
          <w:tcPr>
            <w:tcW w:w="13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(13.9)%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15,176.3</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17,488.4</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(13.2)</w:t>
            </w: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(13.4)</w:t>
            </w:r>
          </w:p>
        </w:tc>
        <w:tc>
          <w:tcPr>
            <w:tcW w:w="1140" w:type="dxa"/>
            <w:vAlign w:val="bottom"/>
            <w:tcBorders>
              <w:bottom w:val="single" w:sz="8" w:color="auto"/>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2,824.7</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3,375.1</w:t>
            </w:r>
          </w:p>
        </w:tc>
        <w:tc>
          <w:tcPr>
            <w:tcW w:w="13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(16.3)</w:t>
            </w:r>
          </w:p>
        </w:tc>
        <w:tc>
          <w:tcPr>
            <w:tcW w:w="134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(16.5)</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(15.9)</w:t>
            </w:r>
          </w:p>
        </w:tc>
      </w:tr>
      <w:tr>
        <w:trPr>
          <w:trHeight w:val="229"/>
        </w:trPr>
        <w:tc>
          <w:tcPr>
            <w:tcW w:w="4440" w:type="dxa"/>
            <w:vAlign w:val="bottom"/>
          </w:tcPr>
          <w:p>
            <w:pPr>
              <w:spacing w:after="0"/>
              <w:rPr>
                <w:sz w:val="20"/>
                <w:szCs w:val="20"/>
                <w:color w:val="auto"/>
              </w:rPr>
            </w:pPr>
            <w:r>
              <w:rPr>
                <w:rFonts w:ascii="Arial" w:cs="Arial" w:eastAsia="Arial" w:hAnsi="Arial"/>
                <w:sz w:val="18"/>
                <w:szCs w:val="18"/>
                <w:i w:val="1"/>
                <w:iCs w:val="1"/>
                <w:color w:val="auto"/>
              </w:rPr>
              <w:t>Gross profit margin</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2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i w:val="1"/>
                <w:iCs w:val="1"/>
                <w:color w:val="auto"/>
              </w:rPr>
              <w:t>16.2%</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5"/>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w w:val="99"/>
              </w:rPr>
              <w:t>Selling and administrative expenses, excluding goodwill</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charges</w:t>
            </w:r>
          </w:p>
        </w:tc>
        <w:tc>
          <w:tcPr>
            <w:tcW w:w="5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2,570.3</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2,666.2</w:t>
            </w:r>
          </w:p>
        </w:tc>
        <w:tc>
          <w:tcPr>
            <w:tcW w:w="13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(3.6)</w:t>
            </w:r>
          </w:p>
        </w:tc>
        <w:tc>
          <w:tcPr>
            <w:tcW w:w="134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(3.8)</w:t>
            </w:r>
          </w:p>
        </w:tc>
        <w:tc>
          <w:tcPr>
            <w:tcW w:w="1140" w:type="dxa"/>
            <w:vAlign w:val="bottom"/>
            <w:shd w:val="clear" w:color="auto" w:fill="CFF0FC"/>
          </w:tcPr>
          <w:p>
            <w:pPr>
              <w:spacing w:after="0"/>
              <w:rPr>
                <w:sz w:val="20"/>
                <w:szCs w:val="20"/>
                <w:color w:val="auto"/>
              </w:rPr>
            </w:pPr>
          </w:p>
        </w:tc>
      </w:tr>
      <w:tr>
        <w:trPr>
          <w:trHeight w:val="22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impairment charges</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66.8</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64.0</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4.2</w:t>
            </w: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auto"/>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2,637.1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2,730.2</w:t>
            </w:r>
          </w:p>
        </w:tc>
        <w:tc>
          <w:tcPr>
            <w:tcW w:w="13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(3.4)</w:t>
            </w:r>
          </w:p>
        </w:tc>
        <w:tc>
          <w:tcPr>
            <w:tcW w:w="134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(3.6)</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(2.9)</w:t>
            </w:r>
          </w:p>
        </w:tc>
      </w:tr>
      <w:tr>
        <w:trPr>
          <w:trHeight w:val="22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Selling and administrative expenses as a % of revenues</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14.6%</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i w:val="1"/>
                <w:iCs w:val="1"/>
                <w:color w:val="auto"/>
              </w:rPr>
              <w:t>13.1%</w:t>
            </w:r>
          </w:p>
        </w:tc>
        <w:tc>
          <w:tcPr>
            <w:tcW w:w="1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187.6</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644.9</w:t>
            </w:r>
          </w:p>
        </w:tc>
        <w:tc>
          <w:tcPr>
            <w:tcW w:w="13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(70.9)</w:t>
            </w:r>
          </w:p>
        </w:tc>
        <w:tc>
          <w:tcPr>
            <w:tcW w:w="134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(71.2)</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(71.2)</w:t>
            </w:r>
          </w:p>
        </w:tc>
      </w:tr>
      <w:tr>
        <w:trPr>
          <w:trHeight w:val="229"/>
        </w:trPr>
        <w:tc>
          <w:tcPr>
            <w:tcW w:w="4440" w:type="dxa"/>
            <w:vAlign w:val="bottom"/>
          </w:tcPr>
          <w:p>
            <w:pPr>
              <w:spacing w:after="0"/>
              <w:rPr>
                <w:sz w:val="20"/>
                <w:szCs w:val="20"/>
                <w:color w:val="auto"/>
              </w:rPr>
            </w:pPr>
            <w:r>
              <w:rPr>
                <w:rFonts w:ascii="Arial" w:cs="Arial" w:eastAsia="Arial" w:hAnsi="Arial"/>
                <w:sz w:val="18"/>
                <w:szCs w:val="18"/>
                <w:i w:val="1"/>
                <w:iCs w:val="1"/>
                <w:color w:val="auto"/>
              </w:rPr>
              <w:t>Operating profit margin</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80" w:type="dxa"/>
            <w:vAlign w:val="bottom"/>
          </w:tcPr>
          <w:p>
            <w:pPr>
              <w:spacing w:after="0"/>
              <w:rPr>
                <w:sz w:val="19"/>
                <w:szCs w:val="19"/>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i w:val="1"/>
                <w:iCs w:val="1"/>
                <w:color w:val="auto"/>
              </w:rPr>
              <w:t>3.1%</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38.4</w:t>
            </w:r>
          </w:p>
        </w:tc>
        <w:tc>
          <w:tcPr>
            <w:tcW w:w="1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expenses (income), net</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(79.0)</w:t>
            </w:r>
          </w:p>
        </w:tc>
        <w:tc>
          <w:tcPr>
            <w:tcW w:w="1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Earnings before income taxes</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147.7</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rPr>
              <w:t>685.5</w:t>
            </w:r>
          </w:p>
        </w:tc>
        <w:tc>
          <w:tcPr>
            <w:tcW w:w="130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(78.5)</w:t>
            </w:r>
          </w:p>
        </w:tc>
        <w:tc>
          <w:tcPr>
            <w:tcW w:w="1340" w:type="dxa"/>
            <w:vAlign w:val="bottom"/>
            <w:shd w:val="clear" w:color="auto" w:fill="CFF0FC"/>
          </w:tcPr>
          <w:p>
            <w:pPr>
              <w:jc w:val="right"/>
              <w:ind w:right="294"/>
              <w:spacing w:after="0"/>
              <w:rPr>
                <w:sz w:val="20"/>
                <w:szCs w:val="20"/>
                <w:color w:val="auto"/>
              </w:rPr>
            </w:pPr>
            <w:r>
              <w:rPr>
                <w:rFonts w:ascii="Arial" w:cs="Arial" w:eastAsia="Arial" w:hAnsi="Arial"/>
                <w:sz w:val="18"/>
                <w:szCs w:val="18"/>
                <w:color w:val="auto"/>
              </w:rPr>
              <w:t>(78.7)</w:t>
            </w:r>
          </w:p>
        </w:tc>
        <w:tc>
          <w:tcPr>
            <w:tcW w:w="114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219.8</w:t>
            </w:r>
          </w:p>
        </w:tc>
        <w:tc>
          <w:tcPr>
            <w:tcW w:w="1300" w:type="dxa"/>
            <w:vAlign w:val="bottom"/>
          </w:tcPr>
          <w:p>
            <w:pPr>
              <w:jc w:val="right"/>
              <w:ind w:right="293"/>
              <w:spacing w:after="0"/>
              <w:rPr>
                <w:sz w:val="20"/>
                <w:szCs w:val="20"/>
                <w:color w:val="auto"/>
              </w:rPr>
            </w:pPr>
            <w:r>
              <w:rPr>
                <w:rFonts w:ascii="Arial" w:cs="Arial" w:eastAsia="Arial" w:hAnsi="Arial"/>
                <w:sz w:val="18"/>
                <w:szCs w:val="18"/>
                <w:color w:val="auto"/>
              </w:rPr>
              <w:t>(43.7)</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i w:val="1"/>
                <w:iCs w:val="1"/>
                <w:color w:val="auto"/>
              </w:rPr>
              <w:t>Effective income tax rate</w:t>
            </w: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83.9%</w:t>
            </w: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i w:val="1"/>
                <w:iCs w:val="1"/>
                <w:color w:val="auto"/>
              </w:rPr>
              <w:t>32.1%</w:t>
            </w:r>
          </w:p>
        </w:tc>
        <w:tc>
          <w:tcPr>
            <w:tcW w:w="1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465.7</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(94.9)</w:t>
            </w: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(94.9)</w:t>
            </w:r>
          </w:p>
        </w:tc>
        <w:tc>
          <w:tcPr>
            <w:tcW w:w="114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0.41</w:t>
            </w:r>
          </w:p>
        </w:tc>
        <w:tc>
          <w:tcPr>
            <w:tcW w:w="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rPr>
              <w:t>7.72</w:t>
            </w:r>
          </w:p>
        </w:tc>
        <w:tc>
          <w:tcPr>
            <w:tcW w:w="130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18"/>
                <w:szCs w:val="18"/>
                <w:color w:val="auto"/>
              </w:rPr>
              <w:t>(94.7)</w:t>
            </w:r>
          </w:p>
        </w:tc>
        <w:tc>
          <w:tcPr>
            <w:tcW w:w="1340" w:type="dxa"/>
            <w:vAlign w:val="bottom"/>
            <w:tcBorders>
              <w:bottom w:val="single" w:sz="8" w:color="auto"/>
            </w:tcBorders>
            <w:shd w:val="clear" w:color="auto" w:fill="CFF0FC"/>
          </w:tcPr>
          <w:p>
            <w:pPr>
              <w:jc w:val="right"/>
              <w:ind w:right="294"/>
              <w:spacing w:after="0"/>
              <w:rPr>
                <w:sz w:val="20"/>
                <w:szCs w:val="20"/>
                <w:color w:val="auto"/>
              </w:rPr>
            </w:pPr>
            <w:r>
              <w:rPr>
                <w:rFonts w:ascii="Arial" w:cs="Arial" w:eastAsia="Arial" w:hAnsi="Arial"/>
                <w:sz w:val="18"/>
                <w:szCs w:val="18"/>
                <w:color w:val="auto"/>
              </w:rPr>
              <w:t>(94.8)</w:t>
            </w:r>
          </w:p>
        </w:tc>
        <w:tc>
          <w:tcPr>
            <w:tcW w:w="1140" w:type="dxa"/>
            <w:vAlign w:val="bottom"/>
            <w:tcBorders>
              <w:bottom w:val="single" w:sz="8" w:color="auto"/>
            </w:tcBorders>
            <w:shd w:val="clear" w:color="auto" w:fill="CFF0FC"/>
          </w:tcPr>
          <w:p>
            <w:pPr>
              <w:spacing w:after="0"/>
              <w:rPr>
                <w:sz w:val="19"/>
                <w:szCs w:val="19"/>
                <w:color w:val="auto"/>
              </w:rPr>
            </w:pPr>
          </w:p>
        </w:tc>
      </w:tr>
      <w:tr>
        <w:trPr>
          <w:trHeight w:val="22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diluted</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60.3</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w:t>
            </w: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13.7% (-13.9% in constant currency and -13.5% in organic constant currency) was attributed to:</w:t>
      </w:r>
    </w:p>
    <w:p>
      <w:pPr>
        <w:spacing w:after="0" w:line="262" w:lineRule="exact"/>
        <w:rPr>
          <w:sz w:val="20"/>
          <w:szCs w:val="20"/>
          <w:color w:val="auto"/>
        </w:rPr>
      </w:pPr>
    </w:p>
    <w:p>
      <w:pPr>
        <w:ind w:left="460" w:right="140" w:hanging="277"/>
        <w:spacing w:after="0" w:line="29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revenue decrease in Southern Europe of 14.6% (-16.7% in constant currency; -17.5% in organic constant currency). This included a revenue decrease in France of 20.8% (-22.8% in constant currency), which was primarily due to a decrease in our Manpower staffing services and a 23.4% decrease (-24.6% in constant currency) in the permanent recruitment business, both due to the impact of the COVID-19 crisis. The decrease also includes a decrease in Italy of 9.1% (-11.3% in constant currency), which was primarily due to the decreased demand for our Manpower staffing services and a 28.4% decrease (-29.8% in constant currency) in the permanent recruitment business, both due to the impact of the COVID-19 crisis;</w:t>
      </w:r>
    </w:p>
    <w:p>
      <w:pPr>
        <w:spacing w:after="0" w:line="174" w:lineRule="exact"/>
        <w:rPr>
          <w:rFonts w:ascii="Arial" w:cs="Arial" w:eastAsia="Arial" w:hAnsi="Arial"/>
          <w:sz w:val="16"/>
          <w:szCs w:val="16"/>
          <w:color w:val="auto"/>
        </w:rPr>
      </w:pPr>
    </w:p>
    <w:p>
      <w:pPr>
        <w:ind w:left="460" w:right="240" w:hanging="277"/>
        <w:spacing w:after="0" w:line="25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within Northern Europe, where revenues decreased 16.0% (-16.1% in constant currency; -15.9% in organic constant currency), primarily due to reduced demand for our Manpower staffing services and a 30.0% decrease (-30.2% in constant currency) in the permanent recruitment business as a result of the impact of the COVID-19 crisis. We experienced revenue declines in the United Kingdom, Germany, the Nordics, the Netherlands and Belgium of 12.2%, 25.4%, 14.3%, 17.5% and 25.5%, respectively (-12.7%, -26.6%, -12.7%, -19.1%, and -27.0%, respectively, in constant currency);</w:t>
      </w:r>
    </w:p>
    <w:p>
      <w:pPr>
        <w:spacing w:after="0" w:line="201" w:lineRule="exact"/>
        <w:rPr>
          <w:rFonts w:ascii="Arial" w:cs="Arial" w:eastAsia="Arial" w:hAnsi="Arial"/>
          <w:sz w:val="18"/>
          <w:szCs w:val="18"/>
          <w:color w:val="auto"/>
        </w:rPr>
      </w:pPr>
    </w:p>
    <w:p>
      <w:pPr>
        <w:jc w:val="both"/>
        <w:ind w:left="460" w:right="260" w:hanging="277"/>
        <w:spacing w:after="0" w:line="31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revenue decrease in the United States of 10.2% (-12.0% on an organic basis) primarily driven by a decline in demand for our Manpower staffing services and a 9.6% (-10.0% on an organic basis) decrease in the permanent recruitment business, both due to the impact of the COVID-19 crisis, partially offset by an increase in our Talent Solutions business, primarily within our MSP offering and career transition services;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460" w:right="20" w:hanging="277"/>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APME of 10.5% (-10.5% in constant currency; -2.3% in organic constant currency) due to the Deconsolidation and a 27.4% decrease (-27.0% in constant currency; -13.5% in organic constant currency) in the permanent recruitment business as a result of the impact of the COVID-19 crisis, partially offset by an increase in revenues in Japan and an increase in demand for our Talent-Based Outsourcing services within the Manpower business; partially offset by</w:t>
      </w:r>
    </w:p>
    <w:p>
      <w:pPr>
        <w:spacing w:after="0" w:line="200" w:lineRule="exact"/>
        <w:rPr>
          <w:rFonts w:ascii="Arial" w:cs="Arial" w:eastAsia="Arial" w:hAnsi="Arial"/>
          <w:sz w:val="18"/>
          <w:szCs w:val="18"/>
          <w:color w:val="auto"/>
        </w:rPr>
      </w:pPr>
    </w:p>
    <w:p>
      <w:pPr>
        <w:ind w:left="460" w:hanging="277"/>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0.2% increase due to the impact of changes in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50 basis point decrease in gross profit margin was primarily attributed to:</w:t>
      </w:r>
    </w:p>
    <w:p>
      <w:pPr>
        <w:spacing w:after="0" w:line="239" w:lineRule="exact"/>
        <w:rPr>
          <w:sz w:val="20"/>
          <w:szCs w:val="20"/>
          <w:color w:val="auto"/>
        </w:rPr>
      </w:pPr>
    </w:p>
    <w:p>
      <w:pPr>
        <w:ind w:left="540" w:hanging="357"/>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30 basis point unfavorable impact due to the decrease in our permanent recruitment business of 25.2% (-25.1% in constant currency and -22.4% in organic constant currency);</w:t>
      </w:r>
    </w:p>
    <w:p>
      <w:pPr>
        <w:spacing w:after="0" w:line="183" w:lineRule="exact"/>
        <w:rPr>
          <w:rFonts w:ascii="Arial" w:cs="Arial" w:eastAsia="Arial" w:hAnsi="Arial"/>
          <w:sz w:val="18"/>
          <w:szCs w:val="18"/>
          <w:color w:val="auto"/>
        </w:rPr>
      </w:pPr>
    </w:p>
    <w:p>
      <w:pPr>
        <w:ind w:left="540" w:right="140" w:hanging="357"/>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20 basis point unfavorable impact due to the margin decrease in our Proservia business primarily related to the lower utilization of consultants in Germany; and</w:t>
      </w:r>
    </w:p>
    <w:p>
      <w:pPr>
        <w:spacing w:after="0" w:line="183" w:lineRule="exact"/>
        <w:rPr>
          <w:rFonts w:ascii="Arial" w:cs="Arial" w:eastAsia="Arial" w:hAnsi="Arial"/>
          <w:sz w:val="18"/>
          <w:szCs w:val="18"/>
          <w:color w:val="auto"/>
        </w:rPr>
      </w:pPr>
    </w:p>
    <w:p>
      <w:pPr>
        <w:ind w:left="540" w:right="20" w:hanging="357"/>
        <w:spacing w:after="0" w:line="27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20 basis point unfavorable impact from a deterioration in our staffing/interim margin in the Americas and Southern Europe due to the higher mix of our lower-margin enterprise client business and higher rates of sickness and absenteeism in certain countries and increased direct costs associated with early termination of client contracts during the COVID-19 crisis. These unfavorable impacts were partially offset by reduced direct costs in certain countries due to government crisis response programs, a direct cost accrual adjustment in France related to a payroll tax audit recorded in 2020, and our execution of various bill/pay yield initiatives due to the COVID-19 crisis; partially offset by</w:t>
      </w:r>
    </w:p>
    <w:p>
      <w:pPr>
        <w:spacing w:after="0" w:line="189" w:lineRule="exact"/>
        <w:rPr>
          <w:rFonts w:ascii="Arial" w:cs="Arial" w:eastAsia="Arial" w:hAnsi="Arial"/>
          <w:sz w:val="17"/>
          <w:szCs w:val="17"/>
          <w:color w:val="auto"/>
        </w:rPr>
      </w:pPr>
    </w:p>
    <w:p>
      <w:pPr>
        <w:ind w:left="540" w:hanging="357"/>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20 basis point favorable impact by growth in our higher-margin MSP offering and career transition services.</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3.4% decrease in selling and administrative expenses in 2020 (-3.6% in constant currency and -2.9% in organic constant currency) was primarily attributed to:</w:t>
      </w:r>
    </w:p>
    <w:p>
      <w:pPr>
        <w:spacing w:after="0" w:line="184" w:lineRule="exact"/>
        <w:rPr>
          <w:sz w:val="20"/>
          <w:szCs w:val="20"/>
          <w:color w:val="auto"/>
        </w:rPr>
      </w:pPr>
    </w:p>
    <w:p>
      <w:pPr>
        <w:jc w:val="both"/>
        <w:ind w:left="420" w:hanging="210"/>
        <w:spacing w:after="0" w:line="286"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8.3% decrease (-8.5% in constant currency and -7.7% in organic constant currency) in personnel costs due to a reduction of salary-related costs as a result of lower headcount and a decrease in variable incentive costs due to a decline in profitability in most markets, and the benefits related to the transition of full-time equivalent employees onto government temporary unemployment programs in 2020;</w:t>
      </w:r>
    </w:p>
    <w:p>
      <w:pPr>
        <w:spacing w:after="0" w:line="178" w:lineRule="exact"/>
        <w:rPr>
          <w:rFonts w:ascii="Arial" w:cs="Arial" w:eastAsia="Arial" w:hAnsi="Arial"/>
          <w:sz w:val="17"/>
          <w:szCs w:val="17"/>
          <w:color w:val="auto"/>
        </w:rPr>
      </w:pPr>
    </w:p>
    <w:p>
      <w:pPr>
        <w:jc w:val="both"/>
        <w:ind w:left="420" w:hanging="210"/>
        <w:spacing w:after="0" w:line="263"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6.7% decrease (-6.9% in constant currency and -5.6% in organic constant currency) in non-personnel related costs, excluding goodwill and other impairment charges, restructuring costs, loss on disposition of subsidiaries, and gain related to Deconsolidation, due to cost management actions taken across all segments as a result of revenue declines;</w:t>
      </w:r>
    </w:p>
    <w:p>
      <w:pPr>
        <w:spacing w:after="0" w:line="197" w:lineRule="exact"/>
        <w:rPr>
          <w:rFonts w:ascii="Arial" w:cs="Arial" w:eastAsia="Arial" w:hAnsi="Arial"/>
          <w:sz w:val="18"/>
          <w:szCs w:val="18"/>
          <w:color w:val="auto"/>
        </w:rPr>
      </w:pPr>
    </w:p>
    <w:p>
      <w:pPr>
        <w:ind w:left="420" w:right="20" w:hanging="210"/>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$38.9 million as a result of the Deconsolidation in 2019 and other dispositions of subsidiaries in 2019 and 2020; and</w:t>
      </w:r>
    </w:p>
    <w:p>
      <w:pPr>
        <w:spacing w:after="0" w:line="183" w:lineRule="exact"/>
        <w:rPr>
          <w:rFonts w:ascii="Arial" w:cs="Arial" w:eastAsia="Arial" w:hAnsi="Arial"/>
          <w:sz w:val="18"/>
          <w:szCs w:val="18"/>
          <w:color w:val="auto"/>
        </w:rPr>
      </w:pPr>
    </w:p>
    <w:p>
      <w:pPr>
        <w:ind w:left="420" w:hanging="21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0.2% increase due to the impact of changes in currency exchange rates; partially offset by</w:t>
      </w:r>
    </w:p>
    <w:p>
      <w:pPr>
        <w:spacing w:after="0" w:line="238" w:lineRule="exact"/>
        <w:rPr>
          <w:rFonts w:ascii="Arial" w:cs="Arial" w:eastAsia="Arial" w:hAnsi="Arial"/>
          <w:sz w:val="18"/>
          <w:szCs w:val="18"/>
          <w:color w:val="auto"/>
        </w:rPr>
      </w:pPr>
    </w:p>
    <w:p>
      <w:pPr>
        <w:ind w:left="420" w:hanging="21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costs of $110.7 million incurred in 2020 compared to $39.8 million incurred in 2019;</w:t>
      </w:r>
    </w:p>
    <w:p>
      <w:pPr>
        <w:spacing w:after="0" w:line="238" w:lineRule="exact"/>
        <w:rPr>
          <w:rFonts w:ascii="Arial" w:cs="Arial" w:eastAsia="Arial" w:hAnsi="Arial"/>
          <w:sz w:val="18"/>
          <w:szCs w:val="18"/>
          <w:color w:val="auto"/>
        </w:rPr>
      </w:pPr>
    </w:p>
    <w:p>
      <w:pPr>
        <w:ind w:left="420" w:hanging="21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$30.4 million gain related to the Deconsolidation in 2019;</w:t>
      </w:r>
    </w:p>
    <w:p>
      <w:pPr>
        <w:spacing w:after="0" w:line="238" w:lineRule="exact"/>
        <w:rPr>
          <w:rFonts w:ascii="Arial" w:cs="Arial" w:eastAsia="Arial" w:hAnsi="Arial"/>
          <w:sz w:val="18"/>
          <w:szCs w:val="18"/>
          <w:color w:val="auto"/>
        </w:rPr>
      </w:pPr>
    </w:p>
    <w:p>
      <w:pPr>
        <w:ind w:left="420" w:hanging="210"/>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$18.2 million incurred as a result of the acquisition of Manpower Switzerland in Southern Europe and franchise acquisitions in the United States in August and October 2019;</w:t>
      </w:r>
    </w:p>
    <w:p>
      <w:pPr>
        <w:spacing w:after="0" w:line="183" w:lineRule="exact"/>
        <w:rPr>
          <w:rFonts w:ascii="Arial" w:cs="Arial" w:eastAsia="Arial" w:hAnsi="Arial"/>
          <w:sz w:val="18"/>
          <w:szCs w:val="18"/>
          <w:color w:val="auto"/>
        </w:rPr>
      </w:pPr>
    </w:p>
    <w:p>
      <w:pPr>
        <w:ind w:left="420" w:hanging="21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 in goodwill and other impairment charges to $72.8 million in 2020 from $65.6 million in 2019; and</w:t>
      </w:r>
    </w:p>
    <w:p>
      <w:pPr>
        <w:spacing w:after="0" w:line="238" w:lineRule="exact"/>
        <w:rPr>
          <w:rFonts w:ascii="Arial" w:cs="Arial" w:eastAsia="Arial" w:hAnsi="Arial"/>
          <w:sz w:val="18"/>
          <w:szCs w:val="18"/>
          <w:color w:val="auto"/>
        </w:rPr>
      </w:pPr>
    </w:p>
    <w:p>
      <w:pPr>
        <w:ind w:left="420" w:hanging="210"/>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$5.8 million loss on the disposition of subsidiaries in 2020.</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and administrative expenses as a percent of revenues increased 150 basis points in 2020 compared to 2019. The change in selling and administrative expenses as a percent of revenues consisted of:</w:t>
      </w:r>
    </w:p>
    <w:p>
      <w:pPr>
        <w:spacing w:after="0" w:line="143" w:lineRule="exact"/>
        <w:rPr>
          <w:sz w:val="20"/>
          <w:szCs w:val="20"/>
          <w:color w:val="auto"/>
        </w:rPr>
      </w:pPr>
    </w:p>
    <w:p>
      <w:pPr>
        <w:ind w:left="420" w:hanging="210"/>
        <w:spacing w:after="0" w:line="308" w:lineRule="auto"/>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80 basis point unfavorable impact from expense deleveraging, excluding goodwill and other impairment charges, restructuring costs, and gain related to Deconsolidation, as we were unable to decrease selling and administrative expenses at the same rate as our revenue decline;</w:t>
      </w:r>
    </w:p>
    <w:p>
      <w:pPr>
        <w:spacing w:after="0" w:line="105" w:lineRule="exact"/>
        <w:rPr>
          <w:rFonts w:ascii="Arial" w:cs="Arial" w:eastAsia="Arial" w:hAnsi="Arial"/>
          <w:sz w:val="17"/>
          <w:szCs w:val="17"/>
          <w:color w:val="auto"/>
        </w:rPr>
      </w:pPr>
    </w:p>
    <w:p>
      <w:pPr>
        <w:ind w:left="420" w:hanging="210"/>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40 basis point unfavorable impact from the increase in restructuring costs in 2020 compared to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left="420" w:hanging="210"/>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20 basis point unfavorable impact from the gain related to the Deconsolidation in 2019; and</w:t>
      </w:r>
    </w:p>
    <w:p>
      <w:pPr>
        <w:spacing w:after="0" w:line="184" w:lineRule="exact"/>
        <w:rPr>
          <w:rFonts w:ascii="Arial" w:cs="Arial" w:eastAsia="Arial" w:hAnsi="Arial"/>
          <w:sz w:val="18"/>
          <w:szCs w:val="18"/>
          <w:color w:val="auto"/>
        </w:rPr>
      </w:pPr>
    </w:p>
    <w:p>
      <w:pPr>
        <w:ind w:left="420" w:hanging="210"/>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 basis point unfavorable impact from the increase in goodwill and other impairment charges.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other expenses (income), net is comprised of interest, foreign exchange gains and losses and other miscellaneous non-operating income and expenses, including noncontrolling interests. Interest and other expenses (income), net was expenses of $39.9 million in 2020 compared to income of $40.6 million in 2019. Net interest expense decreased $8.2 million in 2020 to $30.2 million from $38.4 million in 2019 primarily due to an increase in interest income as a result of higher cash balances. Miscellaneous expense (income), net was an expense $4.8 million in 2020 compared to income of $85.7 million in 2019. The change is primarily due to the $80.4 million gain from the acquisition of Manpower Switzerland in 2019, the pension settlement expenses of $10.2 million recorded in 2020 related to one of our United States plans and the decrease in noncontrolling interest expense as a result of a decrease in earnings in a joint venture in Germany.</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income tax expense at an effective rate of 83.9% in 2020, as compared to an effective rate of 32.1% in 2019. The 2020 rate was unfavorably impacted by the relatively low level and mix of pre-tax earnings, the recognition of discrete valuation allowances in Germany and the Netherlands, the non-deductible goodwill impairment charge in Germany, and the French business tax. The French business tax had a more significant unfavorable impact in 2020 due to French pre-tax earnings decreasing at a greater rate than revenues, which is the primary basis for the tax calculation. The effective tax rate of 83.9% for 2020 was significantly higher than the United States Federal statutory rate of 21% primarily due to the factors noted above. In 2021, we expect our effective tax rate to be approximately 35%. The 2021 rate considers the previously scheduled reduction in the French corporate tax rate to 27.5%, the recently enacted 50% reduction in the French business tax rate, and the extension of the Work Opportunity Tax Credit.</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earnings per share - diluted was $0.41 in 2020 compared to $7.72 in 2019. Foreign currency exchange rates favorably impacted net earnings per share - diluted by approximately $0.01 in 2020. Restructuring costs recorded in 2020 and 2019 negatively impacted net earnings per share – diluted by approximately $1.56 and $0.52 per share, net of tax, in 2020 and 2019, respectively. Goodwill and other impairment charges recorded in 2020 and 2019 negatively impacted net earnings per share - diluted by approximately $1.14 and $1.08 per share in 2020 and 2019, respectively. The pension settlement expense recorded in 2020 related to one of our United States plans negatively impacted net earnings per share – diluted by approximately $0.11, net of tax, in 2020. The loss from the disposition of subsidiaries in 2020 negatively impacted net earnings per share – diluted by approximately $0.09, net of tax, in 2020. The gain from the acquisition of Manpower Switzerland recorded in 2019 positively impacted net earnings per share – diluted by approximately $1.32 per share in 2019. The gain from the Deconsolidation recorded in 2019 positively impacted net earnings per share – diluted by $0.50 per share in 2019.</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shares - diluted decreased 3.4% to 58.3 million in 2020 from 60.3 million in 2019. This decrease was due to the impact of share repurchases completed in 2020 and the full weighting of the repurchases completed in 2019, partially offset by shares issued as a result of exercises and vesting of share-based awards in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2020, our segment reporting was realigned due to our Right Management business being combined with each of our respective country business units. Accordingly, our former reportable segment, Right Management, is now reported within each of our respective reportable segments. We began reporting on the new realigned segments in the first quarter of 2020. All previously reported results have been restated to conform to the new presentation.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Americas, revenues from services decreased 11.4% (-7.6% in constant currency, -8.8% in organic constant currency) in 2020 compared to 2019. In the United States, revenues from services decreased 10.2% (-12.0% on 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organic basis) in 2020 compared to 2019, primarily driven by decreased demand for our Manpower staffing services and a decrease in our permanent recruitment business of 9.6% (-10.0% on an organic basis), both due to the impacts of the COVID-19 crisis. These decreases in the United States were partially offset by increased demand for our MSP offering and career transition services. In Other Americas, revenues from services decreased 13.2% (-3.7% in constant currency) in 2020 compared to 2019 primarily due to the impacts of the COVID-19 crisis. This decline was driven by decreases in Mexico, Canada, Peru, Colombia and Brazil of 15.3%, 5.6%,16.7%, 32.8% and 17.2%, respectively (-6.3%, -4.7%, -12.8%, -24.7% and increase of 7.8%, respectively, in constant currency). These decreases were partially offset by the increase in Argentina of 5.7% (55.9% in constant currency) primarily due to inflation.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increased in 2020 compared to 2019 primarily due to gross profit margin increase in the United States from the increase in revenues from our higher-margin career transition services and MSP offering. This increase was partially offset by the decrease in our permanent recruitment business of 13.6% (-12.3% in constant currency) and a decline in the staffing/interim margin due to client mix changes, as a higher percentage of revenues came from our lower margin enterprise clients.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selling and administrative expenses increased 0.4% (2.9% in constant currency and 1.9% in organic constant currency), primarily due to the increase in restructuring costs to $29.5 million in 2020 compared to $9.8 million in 2019, the impairment charge of $6.0 million recorded in the United States related to capitalized software in 2020, a bad debt expense and a state sales tax related charge incurred 2020, and the additional recurring selling and administrative costs incurred as a result of the franchise acquisitions in the United States. These increases were partially offset by decreases in salary-related costs, due to lower headcount, and discretionary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OUP margin in the Americas was 3.1% and 4.8% for 2020 and 2019, respectively. In the United States, OUP margin decreased to 2.6% for 2020 from 4.9% in 2019 primarily due to the increase in restructuring costs, the software impairment charge and expense deleveraging. These decreases were partially offset by the increase in the gross profit margin. Other Americas OUP margin decreased to 3.8% in 2020 from 4.5% in 2019 primarily due to a decline in the gross profit margin and expense deleveraging.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Southern Europe, which includes operations in France and Italy, revenues from services decreased 14.6% (-16.7% in constant currency) in 2020 compared to 2019. In 2020, revenues from services decreased 20.8% (-22.8% in constant currency) in France and decreased 9.1% (-11.3% in constant currency) in Italy. The decrease in France is due to decreased demand for our Manpower staffing services and a 23.4% (-24.6% in constant currency) decrease in our permanent recruitment business, both due to the impact of the COVID-19 crisis. The decrease in Italy was primarily due to decreased demand for our Manpower staffing services and a 28.4% (-29.8% in constant currency) decrease in our permanent recruitment business, both due to the impact of the COVID-19 crisis. In Other Southern Europe, revenues from services decreased 2.7% (-5.2% in constant currency) during 2020 compared to 2019, due to decreased demand for our Manpower staffing services and a decrease in our permanent recruitment business of 32.5% (-33.1% in constant currency), both due to the impact of the COVID-19 crisis.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profit margin decreased in 2020 compared to 2019 primarily due to the decline of 28.2% (-29.3% in constant currency) in the permanent recruitment business and a decrease in the staffing/interim gross profit margin in France, Italy and certain countries within Other Southern Europe primarily due to the higher mix of our lower-margin enterprise client business, partially offset by a direct cost accrual adjustment in France recorded in 2020.</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and administrative expenses decreased 4.4% (-6.4% in constant currency) in 2020 compared to 2019. In 2020, we took significant actions in France and Italy in March and April to reduce our costs to help offset the materially reduced revenues. In both France and Italy, we transitioned full-time equivalent employees onto government temporary unemployment programs and other initiatives and eliminated a significant amount of discretionary spend to manage through the COVID-19 crisis. The decrease in selling and administrative expenses in 2020 was primarily due to the decrease in personnel costs, as a result of a reduction in headcount, a decrease in variable incentive costs due to a decline in profitability in most markets, and the benefits related to the transition of full-time equivalent employees onto government temporary unemployment programs in certain markets that mostly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occurred in the second quarter of 2020. The decrease is also due to the reduction of our discretionary expenses. These decreases were offset by the increase in restructuring costs to $24.5 million in 2020 compared to $5.4 million in 2019, the loss on the disposition of subsidiaries and the additional recurring selling and administrative costs from our acquisition of the remaining interest in Manpower Switzerland.</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OUP margin in Southern Europe was 3.0% for 2020 compared to 5.0% in 2019. In France, the OUP margin decreased to 3.4% in 2020 compared to 5.2% in 2019. In Italy, the OUP margin decreased to 4.7% in 2020 compared to 6.8% in 2019. The decreases in France and Italy were primarily due to the decline in the gross profit margin and expense deleveraging. Other Southern Europe’s OUP margin decreased to 1.1% in 2020 compared to 3.1% in 2019, due to the decrease in the gross profit margin, the increase in restructuring costs to $24.5 million in 2020 from $3.1 million in 2019, the loss from the disposition of subsidiaries in 2020 and expense deleveraging.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Northern Europe, which includes operations in the United Kingdom, Germany, the Nordics, the Netherlands and Belgium (comprising 35%, 15%, 21%, 11%, and 8%, respectively, of Northern Europe’s revenues), revenues from services decreased 16.0% (-16.1% in constant currency) in 2020 compared to 2019. We experienced revenue declines in the United Kingdom, Germany, the Nordics, the Netherlands and Belgium of 12.2%, 25.4%, 14.3%, 17.5% and 25.5% (-12.7%, -26.6%, -12.7%, -19.1% and -27.0%, respectively, in constant currency). The Northern Europe revenue decrease is primarily due to reduced demand for our Manpower staffing services and a 30.0% decrease (-30.2% in constant currency) in the permanent recruitment business, both primarily due to the impact of the COVID-19 crisis.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margin decreased in 2020 compared to 2019 due to the decrease in our permanent recruitment business in 2020 compared to 2019, and the decline in the Experis interim margins due to client mix changes, as a higher percentage of revenues consisted of revenues from our lower-margin enterprise clients, and the margin decrease in our Proservia business primarily related to the lower utilization of consultants in Germany.</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and administrative expenses decreased 8.2% (-8.8% in constant currency) in 2020 compared to 2019 primarily due to the decrease in personnel costs, as a result of a reduction in headcount, a decrease in variable incentive costs due to decline in profitability in most markets, and the benefits related to the transition of full-time equivalent employees onto government temporary unemployment programs in certain markets, mostly in the second quarter of 2020. The decrease is also due to the decline in office-related expenses driven by a decrease in the number of offices, and a reduction of our discretionary expenses. These decreases were partially offset by increase of restructuring costs to $52.4 million in 2020 from $18.7 million in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Northern Europe experienced a decrease to an operating unit loss margin of (0.7%) in 2020 from an OUP margin of 1.6% in 2019. The decrease was primarily due to the decline in the gross profit margins, the increase in restructuring costs, and expense deleveraging.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from services decreased 10.5% (-10.5% in constant currency and -2.3% in organic constant currency) in 2020 compared to 2019. In Japan (which represents 45% of APME’s revenues), revenues from services increased 8.8% (6.5% in constant currency) due to increased demand for our staffing/interim services, an increase in our Talent Solutions business and the favorable impact of approximately one additional billing day in 2020 compared to 2019. These increases were partially offset by a 5.7% decrease (-7.7% in constant currency) in our permanent recruitment business. In Australia (which represents 16% of APME’s revenues), revenues from services decreased 14.6% (-13.9% in constant currency) due to the decrease in our staffing/interim revenues, as a result of our decision to exit certain low margin businesses to improve profitability and the impact of the COVID-19 crisis, and the 9.4% (-8.2% in constant currency) decline in our permanent recruitment business due to the COVID-19 crisis. These decreases were partially offset by the favorable impact of approximately one additional billing day. The revenue decrease in the remaining markets in APME is due to the Deconsolidation, and the decline in demand for our staffing/interim services and the decrease in our permanent recruitment business, both due to the COVID-19 crisis, partially offset by the increase in demand for our Talent-Based Outsourcing services within our Manpower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Gross profit margin decreased in 2020 compared to 2019 due to the decrease in our permanent recruitment business of 27.4% (-27.0% in constant currency and -13.5% in organic constant currency), partially offset by the increase in our staffing/interim margin, mostly in Japan.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administrative expenses increased 2.2% (1.9% in constant currency and 15.5% in organic constant currency) in 2020 compared to 2019 primarily due to the gain from the Deconsolidation in 2019 and an increase in costs to support the increase in revenues in certain markets. These increases were partially offset by the reduction of recurring selling and administrative costs as a result of the Deconsolidation and the decrease of restructuring costs to $4.1 million in 2020 compared to $4.4 million in 2019.</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OUP margin decreased to 2.9% in 2020 from 4.8% in 2019 due to the gain from the Deconsolidation in the third quarter of 2019, a decline in the gross profit margin and expense deleveraging.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 31 for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Impact of</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Amounts represent 2020</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w w:val="96"/>
              </w:rPr>
              <w:t>Acquisitions and</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9"/>
              </w:rPr>
              <w:t>Reported</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w w:val="99"/>
              </w:rPr>
              <w:t>Variance in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Dispositions</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w w:val="89"/>
              </w:rPr>
              <w:t>Percentages represent 2020 compared to 2019</w:t>
            </w:r>
          </w:p>
        </w:tc>
        <w:tc>
          <w:tcPr>
            <w:tcW w:w="26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Reported</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Impact of</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Constant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(in Constant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(in millions)</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Variance</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Currency</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Currency</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Currency)</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Variance</w:t>
            </w: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from Services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2,327.2</w:t>
            </w: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(10.2)%</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1,465.2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(13.2)</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3,792.4</w:t>
            </w:r>
          </w:p>
        </w:tc>
        <w:tc>
          <w:tcPr>
            <w:tcW w:w="12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(11.4)</w:t>
            </w:r>
          </w:p>
        </w:tc>
        <w:tc>
          <w:tcPr>
            <w:tcW w:w="11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(3.8)</w:t>
            </w:r>
          </w:p>
        </w:tc>
        <w:tc>
          <w:tcPr>
            <w:tcW w:w="12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(7.6)</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580" w:type="dxa"/>
            <w:vAlign w:val="bottom"/>
          </w:tcPr>
          <w:p>
            <w:pPr>
              <w:ind w:left="140"/>
              <w:spacing w:after="0"/>
              <w:rPr>
                <w:sz w:val="20"/>
                <w:szCs w:val="20"/>
                <w:color w:val="auto"/>
              </w:rPr>
            </w:pPr>
            <w:r>
              <w:rPr>
                <w:rFonts w:ascii="Arial" w:cs="Arial" w:eastAsia="Arial" w:hAnsi="Arial"/>
                <w:sz w:val="18"/>
                <w:szCs w:val="18"/>
                <w:color w:val="auto"/>
              </w:rPr>
              <w:t>Southern Europe: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4,338.1</w:t>
            </w:r>
          </w:p>
        </w:tc>
        <w:tc>
          <w:tcPr>
            <w:tcW w:w="12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(20.8)</w:t>
            </w:r>
          </w:p>
        </w:tc>
        <w:tc>
          <w:tcPr>
            <w:tcW w:w="11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2.0</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(22.8)</w:t>
            </w:r>
          </w:p>
        </w:tc>
        <w:tc>
          <w:tcPr>
            <w:tcW w:w="1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1,370.7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2,146.4</w:t>
            </w:r>
          </w:p>
        </w:tc>
        <w:tc>
          <w:tcPr>
            <w:tcW w:w="12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(2.7)</w:t>
            </w:r>
          </w:p>
        </w:tc>
        <w:tc>
          <w:tcPr>
            <w:tcW w:w="11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(5.2)</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7,855.2</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(14.6)</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(16.7)</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0.8</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Northern Europe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3,976.7</w:t>
            </w:r>
          </w:p>
        </w:tc>
        <w:tc>
          <w:tcPr>
            <w:tcW w:w="12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(16.0)</w:t>
            </w:r>
          </w:p>
        </w:tc>
        <w:tc>
          <w:tcPr>
            <w:tcW w:w="11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0.1</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(16.1)</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2,376.7</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(10.5)</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ManpowerGroup</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18,001.0</w:t>
            </w: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(13.7)%</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Gross Profit - ManpowerGroup</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2,824.7</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Unit Profit (Loss)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60.9</w:t>
            </w: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(52.4)%</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55.1</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(26.9)</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116.0</w:t>
            </w:r>
          </w:p>
        </w:tc>
        <w:tc>
          <w:tcPr>
            <w:tcW w:w="12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(43.0)</w:t>
            </w:r>
          </w:p>
        </w:tc>
        <w:tc>
          <w:tcPr>
            <w:tcW w:w="11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(2.6)</w:t>
            </w:r>
          </w:p>
        </w:tc>
        <w:tc>
          <w:tcPr>
            <w:tcW w:w="12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(40.4)</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0.5</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3580" w:type="dxa"/>
            <w:vAlign w:val="bottom"/>
          </w:tcPr>
          <w:p>
            <w:pPr>
              <w:ind w:left="140"/>
              <w:spacing w:after="0"/>
              <w:rPr>
                <w:sz w:val="20"/>
                <w:szCs w:val="20"/>
                <w:color w:val="auto"/>
              </w:rPr>
            </w:pPr>
            <w:r>
              <w:rPr>
                <w:rFonts w:ascii="Arial" w:cs="Arial" w:eastAsia="Arial" w:hAnsi="Arial"/>
                <w:sz w:val="18"/>
                <w:szCs w:val="18"/>
                <w:color w:val="auto"/>
              </w:rPr>
              <w:t>Southern Europe: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149.0</w:t>
            </w:r>
          </w:p>
        </w:tc>
        <w:tc>
          <w:tcPr>
            <w:tcW w:w="12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(47.7)</w:t>
            </w:r>
          </w:p>
        </w:tc>
        <w:tc>
          <w:tcPr>
            <w:tcW w:w="11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2.1</w:t>
            </w:r>
          </w:p>
        </w:tc>
        <w:tc>
          <w:tcPr>
            <w:tcW w:w="12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(49.8)</w:t>
            </w:r>
          </w:p>
        </w:tc>
        <w:tc>
          <w:tcPr>
            <w:tcW w:w="1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64.2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(37.4)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(39.1)</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23.8</w:t>
            </w:r>
          </w:p>
        </w:tc>
        <w:tc>
          <w:tcPr>
            <w:tcW w:w="126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(65.0)</w:t>
            </w:r>
          </w:p>
        </w:tc>
        <w:tc>
          <w:tcPr>
            <w:tcW w:w="11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(66.8)</w:t>
            </w:r>
          </w:p>
        </w:tc>
        <w:tc>
          <w:tcPr>
            <w:tcW w:w="16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0.5</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237.0</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(48.0)</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(50.0)</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Northern Europe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(27.6)</w:t>
            </w:r>
          </w:p>
        </w:tc>
        <w:tc>
          <w:tcPr>
            <w:tcW w:w="12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N/A</w:t>
            </w:r>
          </w:p>
        </w:tc>
        <w:tc>
          <w:tcPr>
            <w:tcW w:w="16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APME</w:t>
            </w:r>
          </w:p>
        </w:tc>
        <w:tc>
          <w:tcPr>
            <w:tcW w:w="2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70.1</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(45.4)</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Profit - ManpowerGroup</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395.5</w:t>
            </w: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(70.9)%</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6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Cash Sources and Uses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2020, we had $1,425.1 million of cash held by foreign subsidiaries. We have historically made and anticipate future cash repatriations to the United States from certain foreign subsidiaries to fund corporate activities. With the enactment of the Tax Act in December 2017, we have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 As of December 31, 2020, deferred taxes related to non-United States withholding and other taxes were provided on $2,077.6 million of unremitted earnings of non-United States subsidiaries that may be remitted to the United States. As of December 31, 2020 and 2019, we have recorded a deferred tax liability of $10.0 million and $8.8 million, respectively, related to these non-United States earnings that may be remitted. We have an additional $439.0 million of unremitted earnings of non-United States subsidiaries for which we have not currently provided deferred taxes as amounts are deemed indefinitely reinvested. We have not estimated the deferred tax liability on these earnings as such estimation is not practicable to determine.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was $936.4 million, $814.4 million and $483.1 million for 2020, 2019 and 2018, respectively. Changes in operating assets and liabilities generated $703.6 million and $313.2 million of cash in 2020 and 2019, respectively, compared to $198.3 million utilized in 2018. The change in 2020 from 2019 was primarily attributable to a decrease in accounts receivable, due to collections and the receivables not being replaced at the same level as a result of a decrease in demand for our services, and the benefit of certain government payment deferral measures introduced as part of the COVID-19 crisis. These improvements in our cash flows were partially offset by the decrease in our payroll-related liabilities due to lower activity. The change in 2019 from 2018 was primarily attributable to the timing of collections and payments, a decrease in CICE receivables resulting from the transition from the CICE program to a new subsidy program in January 2019, and the contingent consideration of $24.1 million paid in 2018 in excess of the original liability recorded at acquisition date for the acquisitions in the Netherlands. The increase was partially offset by lower net proceeds from the sale of our CICE payroll tax credits.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CICE payroll tax credits are creditable against our current French income tax payable, with any remaining amount being paid after three years. In April 2019, we sold a portion of our CICE earned in 2018 for net proceeds of $103.5 million (€92.0 million) with the remaining amount to be used against future tax payments. In April 2018, we sold substantially all of our CICE earned in 2017 for net proceeds of $234.5 million (€190.9 million). We derecognized these receivables upon the sale as the terms of the agreement are such that the transaction 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receivable decreased to $4,901.7 million as of December 31, 2020 from $5,273.1 million as of December 31, 2019. This decrease is primarily due to successful collection efforts and the revenue decline, partially offset by the impact of changes in currency exchange rates. Days Sales Outstanding ("DSO") decreased by approximately three days from December 31, 2019 to approximately 54 days as of December 31, 2020 due to successful collection efforts and favorable mix changes, as a higher percentage of our consolidated revenues were generated in countries with a lower average DSO.</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were $50.7 million, $52.9 million and $64.7 million during 2020, 2019 and 2018, respectively. These expenditures were primarily comprised of purchases of computer equipment, office furniture and other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related to office openings and refurbishments, as well as capitalized software costs of $14.0 million in 2020, $2.0 million in 2019 and $5.6 million in 2018. The lower expenditures in 2020 compared to 2019 are primarily due to overall scale-back of activities in 2020 due to the COVID-19 crisis, completion of a software development project in 2019, and the timing of capital expenditures, partially offset by additional technology investments. The higher expenditures in 2018 compared to 2019 was primarily due to additional technology investment and the timing of capital expenditures.</w:t>
      </w:r>
    </w:p>
    <w:p>
      <w:pPr>
        <w:spacing w:after="0" w:line="18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September 30, 2020 we disposed of four businesses (Serbia, Croatia, Slovenia, Bulgaria) in our Southern Europe segment for $5.8 million, subject to normal post close working capital adjustments, and simultaneously entered into franchise agreements with the new ownership of these businesses. In connection with the disposition, we recognized a one-time loss on disposition of $5.8 million, which was included in the selling and administrative expenses in the Consolidated Statement of Operations for the year ended December 31, 2020. Occasionally, we dispose of parts of our operations to optimize our global strategic and geographic footprint and synergies.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million and was funded through cash on hand. Of the total consideration paid, $58.3 million was for the acquired interests and the remaining $161.2 million was for cash and cash equivalents. The aggregate cash consideration paid reflects a post-closing settlement of net debt and net working capital adjustments of $6.8 million, which we paid out during the third quarter of 2019. The acquisition of the remaining interest of Experis AG was accounted for as an equity transaction as we previously consolidated the entity.</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20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aggregate of the consideration paid and the fair value of previously held equity interest totaled $415.1 million, or $97.6 million net of cash acquired. In connection with the business combination, we recognized a one-time, non-cash gain on the disposition of our previously held equity interest in Manpower Switzerland of $80.4 million, which is included within interest and other expenses (income), net on the Consolidated Statements of Operations. Of the $80.4 million, $32.5 million represented the reclassification of foreign currency translation adjustments related to the previously held equity interest, from accumulated other comprehensive loss. As of December 31, 2019, the carrying value of intangible assets and goodwill resulting from the Manpower Switzerland acquisition was $44.5 million and $34.2 million, respectively.</w:t>
      </w:r>
    </w:p>
    <w:p>
      <w:pPr>
        <w:spacing w:after="0" w:line="19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paid for acquisitions excluding Manpower Switzerland and Experis AG, net of cash acquired, for the years ended December 31, 2020, 2019 and 2018 was $2.6 million, $47.7 million and $51.8 million, respectively. The 2020 balance includes consideration payments for franchises in the United States and contingent consideration payments related to previous acquisitions, of which $1.9 million had been recognized as a liability at the acquisition date. The 2020 and 2019 balances include consideration payments for franchises in the United States and contingent consideration payments related to previous acquisitions, of which $1.9 million and $13.0 million, respectively, had been recognized as a liability at the acquisition date. The 2018 balance includes initial acquisition payments of $9.1 million and contingent consideration payments of $42.7 million, of which $18.6 million had been recognized as a liability at the acquisition date. As of December 31, 2020, no goodwill and intangible assets were recognized from the 2020 acquisitions. As of December 31, 2019, goodwill and intangible assets resulting from the 2019 acquisitions, excluding Manpower Switzerland, were $14.2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1" w:name="page42"/>
    <w:bookmarkEnd w:id="41"/>
    <w:p>
      <w:pPr>
        <w:ind w:right="80"/>
        <w:spacing w:after="0" w:line="288" w:lineRule="auto"/>
        <w:rPr>
          <w:sz w:val="20"/>
          <w:szCs w:val="20"/>
          <w:color w:val="auto"/>
        </w:rPr>
      </w:pPr>
      <w:r>
        <w:rPr>
          <w:rFonts w:ascii="Arial" w:cs="Arial" w:eastAsia="Arial" w:hAnsi="Arial"/>
          <w:sz w:val="16"/>
          <w:szCs w:val="16"/>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million, which was included in selling and administrative expenses in the Consolidated Statement of Operations in the year ended December 31, 2019. Included in the $30.4 million was foreign currency translation adjustment losses of $6.2 million related to the joint venture from accumulated other comprehensive loss.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payments were $38.5 million in 2020 compared to cash provided by net debt borrowings of $19.5 million and $178.2 million in 2019 and 2018, respectively. In June 2018, we offered and sold €500.0 million aggregate principal amount of the Company’s 1.750% notes due June 22, 2026, with the net proceeds of €495.7 million predominantly used to repay our €350.0 million notes due June 22, 2018. (See the "Euro Notes" section below for further information.)</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Board of Directors authorized the repurchase of 6.0 million shares of our common stock in August 2019, August 2018 and July 2016. Share repurchases may be made from time to time through a variety of methods, including open market purchases, block transactions, privately negotiated transactions or similar facilities. During 2020, we repurchased a total of 3.4 million shares comprised of 0.8 million shares under the 2018 authorization and 2.6 million shares under the 2019 authorization, at a total cost of $264.7 million. The repurchases in 2020 occurred within the first quarter and fourth quarter of 2020. In 2019, we repurchased a total of 2.4 million shares at a total cost of $203.0 million under the 2018 authorization. In 2018, we repurchased a total of 5.7 million shares, comprised of 2.9 million shares under the 2018 authorization and 2.8 million shares under the 2016 authorization, at a total cost of $500.7 million. As of December 31, 2020, there were 3.4 million shares remaining authorized for repurchase under the 2019 authorization and no shares remaining authorized for repurchase under either the 2018 or 2016 authorizations.</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2020, 2019 and 2018, the Board of Directors declared total cash dividends of $2.26, $2.18 and $2.02 per share, respectively, resulting in total dividend payments of $129.1 million, $129.3 million and $127.3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aggregate commitments of $2,140.8 million related to debt, operating leases, severances and office closure costs, transition tax resulting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Act and certain other commitments,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2022–2023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2024–2025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Thereafter</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including interest</w:t>
            </w:r>
          </w:p>
        </w:tc>
        <w:tc>
          <w:tcPr>
            <w:tcW w:w="1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1,132.4</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Short-term borrowings</w:t>
            </w:r>
          </w:p>
        </w:tc>
        <w:tc>
          <w:tcPr>
            <w:tcW w:w="14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4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461.3</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77.3</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Severance and other costs</w:t>
            </w:r>
          </w:p>
        </w:tc>
        <w:tc>
          <w:tcPr>
            <w:tcW w:w="14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4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Transition tax resulting from the Tax Act</w:t>
            </w:r>
          </w:p>
        </w:tc>
        <w:tc>
          <w:tcPr>
            <w:tcW w:w="14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113.4</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369.5</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23"/>
        </w:trPr>
        <w:tc>
          <w:tcPr>
            <w:tcW w:w="40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2,140.8</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372.6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880.9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685.3</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liability for unrecognized tax benefits, including related interest and penalties, of $56.8 million is excluded from the commitments above as we cannot determine the years in which these positions might ultimately be settled.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restructuring costs of $110.7 million and $42.0 million during 2020 and 2019, respectively, in selling and administrative expenses, primarily related to severances and office closures and consolidations in multiple countries and territories. As a result of the adoption of the new accounting guidance on leases as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January 1, 2019, the office closure costs of $27.3 million during 2020 were recorded as an impairment to the operating lease right-of-use asset and, thus, are not included in the restructuring reserve balance as of December 31, 2020. The costs paid, utilized or transferred out of our restructuring reserve were $71.9 million during 2020.</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guarantee contracts and stand-by letters of credit that total $890.0 million as of December 31, 2020 ($838.4 million for guarantees and $51.6 million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$1.9 million for 2020.</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capitalization as of December 31, 2020 was $3,577.4 million, comprised of $1,123.9 million in debt and $2,453.5 million in equity. Debt as a percentage of total capitalization was 31% as of December 31, 2020 and 28% as of both December 31, 2019 and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rank equally with all of the Company’s existing and future senior unsecured debt and other liabilities.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€400.0 million aggregate principal amount 1.875% notes (the "€400.0 million notes") are due September 2022.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notes or the €400.0 million notes.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Both the €500.0 million notes and €400.0 million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our foreign subsidiaries with Euro-functional currency as of December 31, 2020. For this portion of the Euro-denominated notes, since our net investment in these subsidiaries exceeds the respective amount of the designated borrowings, both net of taxes,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18, 2018, we amended and restated our Five-Year Credit Agreement with a syndicate of commercial banks, principally to revise the termination date of the facility from September 16, 2020 to June 18, 2023. The remaining material terms and conditions of the Agreement are substantially similar to the previous agreement. The Credit Agreement allows for borrowing of $600.0 million in various currencies, and up to $150.0 million may be used for the issuance of stand-by letters of credit, with an option to request an increase to the total availability by an additional $200 million and each lender may participate in the requested increase at their discretion. We had no borrowings under this facility as of both December 31, 2020 and 2019. Outstanding letters of credit issued under the Credit Agreement totaled $0.5 million as of both December 31, 2020 and 2019. Additional borrowings of $599.5 million were available to us under the facility as of both December 31, 2020 and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facility fees and result in additional costs ranging from approximately $0.2 million to $0.8 million annually.</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In the Credit Agreement, Net Debt is defined as total debt less cash in excess of $400 million.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defined in the Credit Agreement, we had a net Debt-to-EBITDA ratio of (0.12) to 1 (compared to the maximum allowable ratio of 3.5 to 1) and a Fixed Charge Coverage ratio of 3.04 to 1 (compared to the minimum required ratio of 1.5 to 1) as of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2020, such uncommitted credit lines totaled $340.3 million, of which $310.9 million was unused. Under the Credit Agreement, total subsidiary borrowings cannot exceed $300.0 million in the first, second and fourth quarters, and $600.0 million in the third quarter of each year. Due to these limitations, additional borrowings of $270.6 million could have been made under these lines as of December 31,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assessed what impact the COVID-19 crisis has had or may have on our liquidity position as of December 31, 2020 and for the near future. As of December 31, 2020, our cash and cash equivalents balance was $1,567.1 million. We also have access to the previously mentioned revolving credit facility that could immediately provide us with up to $600 million of additional cash, which remains unused as of December 31, 2020, and we have an option to request an increase to the total availability under the revolving credit facility by an additional $200 million and each lender may participate in the requested increase at their discretion. In addition, we have access to the previously mentioned credit lines of up to $300 million ($600 million in the third quarter) to meet the working capital needs of our subsidiaries, of which $270.6 million was available to use as of December 31, 2020. Our €500.0 million notes and €400.0 million notes that total $1,094.5 million as of December 31, 2020 mature in 2022 and 2026, thus, there are no payments due in the very near term except for annual interest payments. Based on the above, we believe we have sufficient liquidity and capital resources to satisfy future requirements and meet our obligations currently and in the near future should the COVID-19 crisis cause any additional cash flow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Defined Benefit Pension Plans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Switzerland, the United Kingdom, the Netherlands, Germany and France. Annual expense relating to these plans was $34.1 million, $17.2 million and $13.9 million in 2020, 2019 and 2018, respectively, and is estimated to be approximately $22.0 million in 2021. The increase in 2020 pension expense is primarily due to the settlement of a U.S. pension plan in the first quarter of 2020.</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determining the estimated 2021 pension expense for non-United States plans, we used a weighted-average discount rate of 0.6% compared to 1.1% for 2020, reflecting the current interest rate environment. We have selected a weighted-average expected return on plan assets of 1.5% for the non-United States plans in determining the 2021 estimated pension expense compared to 2.2% used for the calculation of the 2020 pension expense. Absent any other changes, a 25 basis point increase and decrease in the weighted-average discount rate would impact our 2021 consolidated pension expense by a decrease of $0.9 million and an increase of $3.3 million, respectively. Absent any other changes, a 25 basis point increase or decrease in the weighted-average expected return on plan assets would correspondingly decrease or increase our 2021 consolidated pension expense by $1.7 million.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found in Item 8. "Financial Statements and Supplementary Data"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the accounting guidance on income taxes. 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resulting from the ongoing decline and increased uncertainty in the outlook of the manufacturing sector, particularly the automotive sector in Germany, coupled with the significant implications of the COVID-19 crisis.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we determined that it was more likely than not that the fair value of the Germany reporting unit was below its carrying amount, we performed an interim impairment test on this reporting unit as of June 30, 2020. As a result of our interim test, we recognized a non-cash impairment loss of $66.8 million, which resulted in full impairment of the remaining goodwill in the Germany reporting unit.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impairment test of our goodwill during the third quarter of 2020 and determined that there was no impairment.</w:t>
      </w:r>
    </w:p>
    <w:p>
      <w:pPr>
        <w:spacing w:after="0" w:line="19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table below provides our reporting units’ estimated fair values and carrying values, determined as part of our annual goodwill impairment test performed in the third quarter, representing approximately 80% of our consolidated goodwill balance as of 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Right</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7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France</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8"/>
              </w:rPr>
              <w:t>United States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Management</w:t>
            </w: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Netherlands</w:t>
            </w:r>
          </w:p>
        </w:tc>
      </w:tr>
      <w:tr>
        <w:trPr>
          <w:trHeight w:val="223"/>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values</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2,367.8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1,194.0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383.3</w:t>
            </w:r>
          </w:p>
        </w:tc>
        <w:tc>
          <w:tcPr>
            <w:tcW w:w="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r>
      <w:tr>
        <w:trPr>
          <w:trHeight w:val="229"/>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values</w:t>
            </w: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1,320.7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758.2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w:t>
            </w: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bl>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reporting unit was at least 20% in excess of the respective reporting unit’s carrying value with the exception of the United Kingdom and Netherlands reporting units. The United Kingdom reporting unit had a fair value exceeding carrying value of approximately 12%. Key assumptions included in the United Kingdom (Northern Europe Segment) discounted cash flow valuation performed during the third quarter of 2020 were a discount rate of 11.5%, a terminal value revenue growth rate of 1.0%, and a terminal value OUP margin of 3.1%. The Netherlands reporting unit fair value exceeded its carrying value by less than 10%, approximating 3.3%. The Netherlands is part of the Northern Europe Segment. Key assumptions included in the Netherlands discounted cash flow valuation performed during the third quarter of 2020 included a discount rate of 10.9%, a terminal value revenue growth rate of 2.0%, and a terminal value OUP margin of 3.5%. Should the operations of the United Kingdom and Netherlands businesses incur further decreases in the operating results, including declines in profitability and cash flow due to continued deterioration in macroeconomic, industry and market conditions, including uncertainty of the financial impacts from COVID-19, some or all of the recorded goodwill for the Netherlands or United Kingdom reporting units, which were $119.3 million and $100.2 million, respectively, as of December 31, 2020 could be subject to impairment.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given the uncertainty of the financial impacts from the COVID-19 pandemic, there could be significant further decreases in the operating results of our reporting units for a sustained period, which may result in a recognition of goodwill impairment that could be material to the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6" w:name="page47"/>
    <w:bookmarkEnd w:id="46"/>
    <w:p>
      <w:pPr>
        <w:ind w:right="5600"/>
        <w:spacing w:after="0" w:line="464"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u w:val="single" w:color="auto"/>
          <w:color w:val="auto"/>
        </w:rPr>
        <w:t>Significant Matters Affecting Results of Operations</w:t>
      </w:r>
    </w:p>
    <w:p>
      <w:pPr>
        <w:spacing w:after="0"/>
        <w:rPr>
          <w:sz w:val="20"/>
          <w:szCs w:val="20"/>
          <w:color w:val="auto"/>
        </w:rPr>
      </w:pPr>
      <w:r>
        <w:rPr>
          <w:rFonts w:ascii="Arial" w:cs="Arial" w:eastAsia="Arial" w:hAnsi="Arial"/>
          <w:sz w:val="18"/>
          <w:szCs w:val="18"/>
          <w:i w:val="1"/>
          <w:iCs w:val="1"/>
          <w:u w:val="single" w:color="auto"/>
          <w:color w:val="auto"/>
        </w:rPr>
        <w:t>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Approximately 87% of our revenues and profits are generated outside of the United States, with 46%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States dollar strengthened in the first half of 2020 and weakened in the second half of 2020 against many of the currencies of our major markets during 2020, whereas it generally strengthened in 2019. Revenues from services in constant currency were 0.2% lower and 4.2% higher than reported revenues in 2020 and 2019, respectively. A change in the strength of the United States dollar by an additional 10% would have impacted our revenues from services by approximately 8.7% from the amounts reported in both 2020 and 2019.</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weakened relative to many foreign currencies as of December 31, 2020 compared to December 31, 2019, particularly in Euro- and GBP-functional currencies. Consequently, shareholders’ equity increased by $82.3 million as a result of the foreign currency translation as of December 31, 2020. If the United States dollar had weakened an additional 10% as of December 31, 2020, resulting translation adjustments recorded in shareholders’ equity would have increased by approximately $124.0 million from the amounts reported.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United States dollar strengthened relative to many foreign currencies compared to December 31, 2018. Consequently, shareholders’ equity decreased by $22.5 million as a result of the foreign currency translation as of December 31, 2019. If the United States dollar had strengthened an additional 10% as of December 31, 2019, resulting translation adjustments recorded in shareholders’ equity would have decreased by approximately $186.2 million from the amounts reported.</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had outstanding $1,094.5 million in principal amount of Euro-denominated notes (€900.0 million). These notes have been designated as a hedge of our net investment in subsidiaries with a Euro-functional currency as of December 31, 2020. Since our net investment in these subsidiaries exceeds the respective amount of the designated borrowings, both net of tax, the related translation gains or losses 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included as a component of accumulated other comprehensive loss. Shareholders’ equity decreased by $69.9 million, net of tax, due to changes in accumulated other comprehensive loss during 2020, due to the currency impact on these designated borrowings.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gridSpan w:val="4"/>
          </w:tcPr>
          <w:p>
            <w:pPr>
              <w:spacing w:after="0"/>
              <w:rPr>
                <w:sz w:val="20"/>
                <w:szCs w:val="20"/>
                <w:color w:val="auto"/>
              </w:rPr>
            </w:pPr>
            <w:r>
              <w:rPr>
                <w:rFonts w:ascii="Arial" w:cs="Arial" w:eastAsia="Arial" w:hAnsi="Arial"/>
                <w:sz w:val="18"/>
                <w:szCs w:val="18"/>
                <w:color w:val="auto"/>
                <w:w w:val="91"/>
              </w:rPr>
              <w:t>The hypothetical impact of the stated change in rates on 2020 total other comprehensive income (loss) for the Euro Notes is as follows:</w:t>
            </w:r>
          </w:p>
        </w:tc>
        <w:tc>
          <w:tcPr>
            <w:tcW w:w="1400" w:type="dxa"/>
            <w:vAlign w:val="bottom"/>
          </w:tcPr>
          <w:p>
            <w:pPr>
              <w:spacing w:after="0"/>
              <w:rPr>
                <w:sz w:val="19"/>
                <w:szCs w:val="19"/>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8"/>
                <w:szCs w:val="18"/>
                <w:i w:val="1"/>
                <w:iCs w:val="1"/>
                <w:color w:val="auto"/>
              </w:rPr>
              <w:t>(in millions)</w:t>
            </w:r>
          </w:p>
        </w:tc>
        <w:tc>
          <w:tcPr>
            <w:tcW w:w="4060" w:type="dxa"/>
            <w:vAlign w:val="bottom"/>
            <w:gridSpan w:val="2"/>
          </w:tcPr>
          <w:p>
            <w:pPr>
              <w:jc w:val="right"/>
              <w:ind w:right="150"/>
              <w:spacing w:after="0"/>
              <w:rPr>
                <w:sz w:val="20"/>
                <w:szCs w:val="20"/>
                <w:color w:val="auto"/>
              </w:rPr>
            </w:pPr>
            <w:r>
              <w:rPr>
                <w:rFonts w:ascii="Arial" w:cs="Arial" w:eastAsia="Arial" w:hAnsi="Arial"/>
                <w:sz w:val="18"/>
                <w:szCs w:val="18"/>
                <w:color w:val="auto"/>
              </w:rPr>
              <w:t>10% Depreciation in</w:t>
            </w:r>
          </w:p>
        </w:tc>
        <w:tc>
          <w:tcPr>
            <w:tcW w:w="1820" w:type="dxa"/>
            <w:vAlign w:val="bottom"/>
            <w:gridSpan w:val="2"/>
          </w:tcPr>
          <w:p>
            <w:pPr>
              <w:jc w:val="right"/>
              <w:ind w:right="50"/>
              <w:spacing w:after="0"/>
              <w:rPr>
                <w:sz w:val="20"/>
                <w:szCs w:val="20"/>
                <w:color w:val="auto"/>
              </w:rPr>
            </w:pPr>
            <w:r>
              <w:rPr>
                <w:rFonts w:ascii="Arial" w:cs="Arial" w:eastAsia="Arial" w:hAnsi="Arial"/>
                <w:sz w:val="18"/>
                <w:szCs w:val="18"/>
                <w:color w:val="auto"/>
              </w:rPr>
              <w:t>10% Appreciation in</w:t>
            </w:r>
          </w:p>
        </w:tc>
      </w:tr>
      <w:tr>
        <w:trPr>
          <w:trHeight w:val="230"/>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Sensitive Instrument</w:t>
            </w:r>
          </w:p>
        </w:tc>
        <w:tc>
          <w:tcPr>
            <w:tcW w:w="2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Exchange Rates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Exchange Rates</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Euro Notes:</w:t>
            </w:r>
          </w:p>
        </w:tc>
        <w:tc>
          <w:tcPr>
            <w:tcW w:w="2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€500.0, 1.81% Notes due June 2026</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61.1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€400.0, 1.91% Notes due September 2022</w:t>
            </w:r>
          </w:p>
        </w:tc>
        <w:tc>
          <w:tcPr>
            <w:tcW w:w="2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48.9</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5360" w:type="dxa"/>
            <w:vAlign w:val="bottom"/>
          </w:tcPr>
          <w:p>
            <w:pPr>
              <w:spacing w:after="0"/>
              <w:rPr>
                <w:sz w:val="20"/>
                <w:szCs w:val="20"/>
                <w:color w:val="auto"/>
              </w:rPr>
            </w:pPr>
            <w:r>
              <w:rPr>
                <w:rFonts w:ascii="Arial" w:cs="Arial" w:eastAsia="Arial" w:hAnsi="Arial"/>
                <w:sz w:val="18"/>
                <w:szCs w:val="18"/>
                <w:b w:val="1"/>
                <w:bCs w:val="1"/>
                <w:color w:val="auto"/>
              </w:rPr>
              <w:t>Forward contracts:</w:t>
            </w:r>
          </w:p>
        </w:tc>
        <w:tc>
          <w:tcPr>
            <w:tcW w:w="2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£0.6 to $0.8</w:t>
            </w:r>
          </w:p>
        </w:tc>
        <w:tc>
          <w:tcPr>
            <w:tcW w:w="2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€(130.3) to $(159.0)</w:t>
            </w:r>
          </w:p>
        </w:tc>
        <w:tc>
          <w:tcPr>
            <w:tcW w:w="25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16.0</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¥182.4 to $1.8</w:t>
            </w:r>
          </w:p>
        </w:tc>
        <w:tc>
          <w:tcPr>
            <w:tcW w:w="2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exposure to market risk for changes in interest rates relates primarily to our variable rate long-term debt obligations. We have historically managed interest rates through the use of a combination of fixed- and variable-rate borrowings. As of December 31, 2020, we had the following fixed- and variable-rate borrowings: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Weighted-</w:t>
            </w:r>
          </w:p>
        </w:tc>
      </w:tr>
      <w:tr>
        <w:trPr>
          <w:trHeight w:val="216"/>
        </w:trPr>
        <w:tc>
          <w:tcPr>
            <w:tcW w:w="4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Average</w:t>
            </w:r>
          </w:p>
        </w:tc>
      </w:tr>
      <w:tr>
        <w:trPr>
          <w:trHeight w:val="230"/>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Interest Rate</w:t>
            </w:r>
            <w:r>
              <w:rPr>
                <w:rFonts w:ascii="Arial" w:cs="Arial" w:eastAsia="Arial" w:hAnsi="Arial"/>
                <w:sz w:val="15"/>
                <w:szCs w:val="15"/>
                <w:color w:val="auto"/>
              </w:rPr>
              <w:t>(1)</w:t>
            </w: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Variable-rate borrowings</w:t>
            </w:r>
          </w:p>
        </w:tc>
        <w:tc>
          <w:tcPr>
            <w:tcW w:w="34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20.4</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Fixed-rate borrowings</w:t>
            </w:r>
          </w:p>
        </w:tc>
        <w:tc>
          <w:tcPr>
            <w:tcW w:w="3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1,103.5</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34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1,123.9</w:t>
            </w:r>
          </w:p>
        </w:tc>
        <w:tc>
          <w:tcPr>
            <w:tcW w:w="1700" w:type="dxa"/>
            <w:vAlign w:val="bottom"/>
            <w:tcBorders>
              <w:bottom w:val="single" w:sz="8" w:color="auto"/>
            </w:tcBorders>
            <w:shd w:val="clear" w:color="auto" w:fill="CFF0FC"/>
          </w:tcPr>
          <w:p>
            <w:pPr>
              <w:spacing w:after="0"/>
              <w:rPr>
                <w:sz w:val="19"/>
                <w:szCs w:val="19"/>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82A32"/>
        </w:rPr>
        <w:t>(1) The rates are impacted by currency exchange rate movements.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Economic Conditions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found in 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320" w:type="dxa"/>
            <w:vAlign w:val="bottom"/>
          </w:tcPr>
          <w:p>
            <w:pPr>
              <w:jc w:val="right"/>
              <w:ind w:right="4330"/>
              <w:spacing w:after="0"/>
              <w:rPr>
                <w:sz w:val="20"/>
                <w:szCs w:val="20"/>
                <w:color w:val="auto"/>
              </w:rPr>
            </w:pPr>
            <w:r>
              <w:rPr>
                <w:rFonts w:ascii="Arial" w:cs="Arial" w:eastAsia="Arial" w:hAnsi="Arial"/>
                <w:sz w:val="18"/>
                <w:szCs w:val="18"/>
                <w:b w:val="1"/>
                <w:bCs w:val="1"/>
                <w:color w:val="auto"/>
                <w:w w:val="97"/>
              </w:rPr>
              <w:t>Financial Statements and Supplementary Data</w:t>
            </w:r>
          </w:p>
        </w:tc>
        <w:tc>
          <w:tcPr>
            <w:tcW w:w="2040" w:type="dxa"/>
            <w:vAlign w:val="bottom"/>
          </w:tcPr>
          <w:p>
            <w:pPr>
              <w:spacing w:after="0"/>
              <w:rPr>
                <w:sz w:val="20"/>
                <w:szCs w:val="20"/>
                <w:color w:val="auto"/>
              </w:rPr>
            </w:pPr>
          </w:p>
        </w:tc>
      </w:tr>
      <w:tr>
        <w:trPr>
          <w:trHeight w:val="445"/>
        </w:trPr>
        <w:tc>
          <w:tcPr>
            <w:tcW w:w="8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Page Number</w:t>
            </w:r>
          </w:p>
        </w:tc>
      </w:tr>
      <w:tr>
        <w:trPr>
          <w:trHeight w:val="216"/>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Index to Consolidated Financial Statements:</w:t>
            </w:r>
          </w:p>
        </w:tc>
        <w:tc>
          <w:tcPr>
            <w:tcW w:w="2040" w:type="dxa"/>
            <w:vAlign w:val="bottom"/>
            <w:shd w:val="clear" w:color="auto" w:fill="CFF0FC"/>
          </w:tcPr>
          <w:p>
            <w:pPr>
              <w:spacing w:after="0"/>
              <w:rPr>
                <w:sz w:val="18"/>
                <w:szCs w:val="18"/>
                <w:color w:val="auto"/>
              </w:rPr>
            </w:pPr>
          </w:p>
        </w:tc>
      </w:tr>
      <w:tr>
        <w:trPr>
          <w:trHeight w:val="216"/>
        </w:trPr>
        <w:tc>
          <w:tcPr>
            <w:tcW w:w="9200" w:type="dxa"/>
            <w:vAlign w:val="bottom"/>
            <w:gridSpan w:val="2"/>
          </w:tcPr>
          <w:p>
            <w:pPr>
              <w:ind w:left="4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Report of Independent Registered Public Accounting Firm</w:t>
              </w:r>
            </w:hyperlink>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89"/>
              </w:rPr>
              <w:t>50</w:t>
            </w:r>
          </w:p>
        </w:tc>
      </w:tr>
      <w:tr>
        <w:trPr>
          <w:trHeight w:val="216"/>
        </w:trPr>
        <w:tc>
          <w:tcPr>
            <w:tcW w:w="9200" w:type="dxa"/>
            <w:vAlign w:val="bottom"/>
            <w:gridSpan w:val="2"/>
            <w:shd w:val="clear" w:color="auto" w:fill="CFF0FC"/>
          </w:tcPr>
          <w:p>
            <w:pPr>
              <w:ind w:left="4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Statements of Operations for the years ended December 31, 2020, 2019 and 2018</w:t>
              </w:r>
            </w:hyperlink>
          </w:p>
        </w:tc>
        <w:tc>
          <w:tcPr>
            <w:tcW w:w="2040" w:type="dxa"/>
            <w:vAlign w:val="bottom"/>
            <w:shd w:val="clear" w:color="auto" w:fill="CFF0FC"/>
          </w:tcPr>
          <w:p>
            <w:pPr>
              <w:jc w:val="center"/>
              <w:ind w:left="890"/>
              <w:spacing w:after="0"/>
              <w:rPr>
                <w:sz w:val="20"/>
                <w:szCs w:val="20"/>
                <w:color w:val="auto"/>
              </w:rPr>
            </w:pPr>
            <w:r>
              <w:rPr>
                <w:rFonts w:ascii="Arial" w:cs="Arial" w:eastAsia="Arial" w:hAnsi="Arial"/>
                <w:sz w:val="18"/>
                <w:szCs w:val="18"/>
                <w:color w:val="auto"/>
                <w:w w:val="89"/>
              </w:rPr>
              <w:t>53</w:t>
            </w:r>
          </w:p>
        </w:tc>
      </w:tr>
      <w:tr>
        <w:trPr>
          <w:trHeight w:val="216"/>
        </w:trPr>
        <w:tc>
          <w:tcPr>
            <w:tcW w:w="9200" w:type="dxa"/>
            <w:vAlign w:val="bottom"/>
            <w:gridSpan w:val="2"/>
          </w:tcPr>
          <w:p>
            <w:pPr>
              <w:ind w:left="4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Consolidated Statements of Comprehensive Income for the years ended December 31, 2020, 2019 and 2018</w:t>
              </w:r>
            </w:hyperlink>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89"/>
              </w:rPr>
              <w:t>53</w:t>
            </w:r>
          </w:p>
        </w:tc>
      </w:tr>
      <w:tr>
        <w:trPr>
          <w:trHeight w:val="216"/>
        </w:trPr>
        <w:tc>
          <w:tcPr>
            <w:tcW w:w="9200" w:type="dxa"/>
            <w:vAlign w:val="bottom"/>
            <w:gridSpan w:val="2"/>
            <w:shd w:val="clear" w:color="auto" w:fill="CFF0FC"/>
          </w:tcPr>
          <w:p>
            <w:pPr>
              <w:ind w:left="4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Consolidated Balance Sheets as of December 31, 2020 and 2019</w:t>
              </w:r>
            </w:hyperlink>
          </w:p>
        </w:tc>
        <w:tc>
          <w:tcPr>
            <w:tcW w:w="2040" w:type="dxa"/>
            <w:vAlign w:val="bottom"/>
            <w:shd w:val="clear" w:color="auto" w:fill="CFF0FC"/>
          </w:tcPr>
          <w:p>
            <w:pPr>
              <w:jc w:val="center"/>
              <w:ind w:left="890"/>
              <w:spacing w:after="0"/>
              <w:rPr>
                <w:sz w:val="20"/>
                <w:szCs w:val="20"/>
                <w:color w:val="auto"/>
              </w:rPr>
            </w:pPr>
            <w:r>
              <w:rPr>
                <w:rFonts w:ascii="Arial" w:cs="Arial" w:eastAsia="Arial" w:hAnsi="Arial"/>
                <w:sz w:val="18"/>
                <w:szCs w:val="18"/>
                <w:color w:val="auto"/>
                <w:w w:val="89"/>
              </w:rPr>
              <w:t>54</w:t>
            </w:r>
          </w:p>
        </w:tc>
      </w:tr>
      <w:tr>
        <w:trPr>
          <w:trHeight w:val="216"/>
        </w:trPr>
        <w:tc>
          <w:tcPr>
            <w:tcW w:w="9200" w:type="dxa"/>
            <w:vAlign w:val="bottom"/>
            <w:gridSpan w:val="2"/>
          </w:tcPr>
          <w:p>
            <w:pPr>
              <w:ind w:left="4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Consolidated Statements of Cash Flows for the years ended December 31, 2020, 2019 and 2018</w:t>
              </w:r>
            </w:hyperlink>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89"/>
              </w:rPr>
              <w:t>55</w:t>
            </w:r>
          </w:p>
        </w:tc>
      </w:tr>
      <w:tr>
        <w:trPr>
          <w:trHeight w:val="216"/>
        </w:trPr>
        <w:tc>
          <w:tcPr>
            <w:tcW w:w="9200" w:type="dxa"/>
            <w:vAlign w:val="bottom"/>
            <w:gridSpan w:val="2"/>
            <w:shd w:val="clear" w:color="auto" w:fill="CFF0FC"/>
          </w:tcPr>
          <w:p>
            <w:pPr>
              <w:ind w:left="4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Consolidated Statements of Shareholders’ Equity for the years ended December 31, 2020, 2019 and 2018</w:t>
              </w:r>
            </w:hyperlink>
          </w:p>
        </w:tc>
        <w:tc>
          <w:tcPr>
            <w:tcW w:w="2040" w:type="dxa"/>
            <w:vAlign w:val="bottom"/>
            <w:shd w:val="clear" w:color="auto" w:fill="CFF0FC"/>
          </w:tcPr>
          <w:p>
            <w:pPr>
              <w:jc w:val="center"/>
              <w:ind w:left="890"/>
              <w:spacing w:after="0"/>
              <w:rPr>
                <w:sz w:val="20"/>
                <w:szCs w:val="20"/>
                <w:color w:val="auto"/>
              </w:rPr>
            </w:pPr>
            <w:r>
              <w:rPr>
                <w:rFonts w:ascii="Arial" w:cs="Arial" w:eastAsia="Arial" w:hAnsi="Arial"/>
                <w:sz w:val="18"/>
                <w:szCs w:val="18"/>
                <w:color w:val="auto"/>
                <w:w w:val="89"/>
              </w:rPr>
              <w:t>56</w:t>
            </w:r>
          </w:p>
        </w:tc>
      </w:tr>
      <w:tr>
        <w:trPr>
          <w:trHeight w:val="230"/>
        </w:trPr>
        <w:tc>
          <w:tcPr>
            <w:tcW w:w="9200" w:type="dxa"/>
            <w:vAlign w:val="bottom"/>
            <w:gridSpan w:val="2"/>
          </w:tcPr>
          <w:p>
            <w:pPr>
              <w:ind w:left="4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Notes to Consolidated Financial Statements</w:t>
              </w:r>
            </w:hyperlink>
          </w:p>
        </w:tc>
        <w:tc>
          <w:tcPr>
            <w:tcW w:w="2040" w:type="dxa"/>
            <w:vAlign w:val="bottom"/>
          </w:tcPr>
          <w:p>
            <w:pPr>
              <w:jc w:val="center"/>
              <w:ind w:left="890"/>
              <w:spacing w:after="0"/>
              <w:rPr>
                <w:sz w:val="20"/>
                <w:szCs w:val="20"/>
                <w:color w:val="auto"/>
              </w:rPr>
            </w:pPr>
            <w:r>
              <w:rPr>
                <w:rFonts w:ascii="Arial" w:cs="Arial" w:eastAsia="Arial" w:hAnsi="Arial"/>
                <w:sz w:val="18"/>
                <w:szCs w:val="18"/>
                <w:color w:val="auto"/>
                <w:w w:val="89"/>
              </w:rPr>
              <w:t>57</w:t>
            </w:r>
          </w:p>
        </w:tc>
      </w:tr>
      <w:tr>
        <w:trPr>
          <w:trHeight w:val="661"/>
        </w:trPr>
        <w:tc>
          <w:tcPr>
            <w:tcW w:w="880" w:type="dxa"/>
            <w:vAlign w:val="bottom"/>
          </w:tcPr>
          <w:p>
            <w:pPr>
              <w:spacing w:after="0"/>
              <w:rPr>
                <w:sz w:val="24"/>
                <w:szCs w:val="24"/>
                <w:color w:val="auto"/>
              </w:rPr>
            </w:pPr>
          </w:p>
        </w:tc>
        <w:tc>
          <w:tcPr>
            <w:tcW w:w="8320" w:type="dxa"/>
            <w:vAlign w:val="bottom"/>
          </w:tcPr>
          <w:p>
            <w:pPr>
              <w:jc w:val="right"/>
              <w:ind w:right="3390"/>
              <w:spacing w:after="0"/>
              <w:rPr>
                <w:sz w:val="20"/>
                <w:szCs w:val="20"/>
                <w:color w:val="auto"/>
              </w:rPr>
            </w:pPr>
            <w:r>
              <w:rPr>
                <w:rFonts w:ascii="Arial" w:cs="Arial" w:eastAsia="Arial" w:hAnsi="Arial"/>
                <w:sz w:val="18"/>
                <w:szCs w:val="18"/>
                <w:color w:val="auto"/>
              </w:rPr>
              <w:t>49</w:t>
            </w:r>
          </w:p>
        </w:tc>
        <w:tc>
          <w:tcPr>
            <w:tcW w:w="204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9" w:name="page50"/>
    <w:bookmarkEnd w:id="49"/>
    <w:p>
      <w:pPr>
        <w:ind w:right="506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ManpowerGroup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internal control over financial reporting of ManpowerGroup Inc. and subsidiaries (the “Company”) as of 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 — Integrated Framework (2013) issued by COSO.</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19, 2021, expressed an unqualified opinion on those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ind w:right="5040"/>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ManpowerGroup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audited the accompanying consolidated balance sheets of ManpowerGroup Inc. and subsidiaries (the "Company") as of December 31, 2020 and December 31, 2019, the related consolidated statements of operations, comprehensive income, shareholders' equity, and cash flows for each of the three years in the period ended December 31, 2020, and the related notes and the schedule listed in the Index at Item 15(a)(2) (collectively referred to as the "financial statements"). In our opinion, the financial statements present fairly, in all material respects, the financial position of the Company as of December 31, 2020 and December 31, 2019, and the results of its operations and its cash flows for each of the three years in the period ended December 31, 2020, in conformity with accounting principles generally accepted in the United States of America.</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19, 2021,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6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discussed in Note 1 to the financial statements, the Company has changed its method of accounting for leases, effective January 1, 2019, due to the adoption of Accounting Standards Update ASU No. 2016-02, Leases (Topic 842), using the modified retrospective transition approach.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7" w:lineRule="exact"/>
        <w:rPr>
          <w:sz w:val="20"/>
          <w:szCs w:val="20"/>
          <w:color w:val="auto"/>
        </w:rPr>
      </w:pPr>
    </w:p>
    <w:p>
      <w:pPr>
        <w:ind w:right="1700"/>
        <w:spacing w:after="0" w:line="422" w:lineRule="auto"/>
        <w:rPr>
          <w:sz w:val="20"/>
          <w:szCs w:val="20"/>
          <w:color w:val="auto"/>
        </w:rPr>
      </w:pPr>
      <w:r>
        <w:rPr>
          <w:rFonts w:ascii="Arial" w:cs="Arial" w:eastAsia="Arial" w:hAnsi="Arial"/>
          <w:sz w:val="18"/>
          <w:szCs w:val="18"/>
          <w:b w:val="1"/>
          <w:bCs w:val="1"/>
          <w:i w:val="1"/>
          <w:iCs w:val="1"/>
          <w:color w:val="auto"/>
        </w:rPr>
        <w:t xml:space="preserve">Goodwill - United Kingdom, United States, and Netherlands Reporting Units – Refer to Notes 1 and 7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evaluation of goodwill for impairment involves the comparison of the estimated fair value of each reporting unit to its carrying value. The annual impairment test of goodwill at a reporting unit level is performed annually during the third quarter, or more frequently if events or circumstances indicate the fair value of a reporting unit may be below its respective carrying value. The Company used the discounted cash flow model to estimate fair value,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spacing w:after="0" w:line="273" w:lineRule="auto"/>
        <w:rPr>
          <w:sz w:val="20"/>
          <w:szCs w:val="20"/>
          <w:color w:val="auto"/>
        </w:rPr>
      </w:pPr>
      <w:r>
        <w:rPr>
          <w:rFonts w:ascii="Arial" w:cs="Arial" w:eastAsia="Arial" w:hAnsi="Arial"/>
          <w:sz w:val="17"/>
          <w:szCs w:val="17"/>
          <w:color w:val="auto"/>
        </w:rPr>
        <w:t>Given that forecasted revenues and operating unit profit margins for the Netherlands, United Kingdom, and United States reporting units are highly sensitive to changes in demand and efficiency of operations, and considering the low excess fair value of these reporting units, auditing these estimates and assumptions including the selected discount rates involved especially subjective judgment. As a result, we identified the Company’s evaluation of goodwill impairment for the Netherlands, United Kingdom, and United States reporting units as a critical audit matter due to the high degree of auditor judgment and the increased extent of effort that was required when performing audit procedures to evaluate the reasonableness of management’s significant estimates and assumptions, including the need to involve our fair value specialists.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audit procedures related to forecasts of future revenues and operating unit profit margins, and the selection of discount rates for the Netherlands, United Kingdom, and United States reporting units included the following, among others:</w:t>
      </w:r>
    </w:p>
    <w:p>
      <w:pPr>
        <w:spacing w:after="0" w:line="103" w:lineRule="exact"/>
        <w:rPr>
          <w:sz w:val="20"/>
          <w:szCs w:val="20"/>
          <w:color w:val="auto"/>
        </w:rPr>
      </w:pPr>
    </w:p>
    <w:p>
      <w:pPr>
        <w:ind w:left="740" w:right="300" w:hanging="368"/>
        <w:spacing w:after="0" w:line="258"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including controls over the forecasts related to revenue and operating unit profit margin and selection of discount rates.</w:t>
      </w:r>
    </w:p>
    <w:p>
      <w:pPr>
        <w:spacing w:after="0" w:line="1"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 and operating unit margins by performing a retrospective comparison of prior forecasts to actual results.</w:t>
      </w:r>
    </w:p>
    <w:p>
      <w:pPr>
        <w:ind w:left="740" w:right="240" w:hanging="368"/>
        <w:spacing w:after="0" w:line="250"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reasonableness of management’s current revenue and operating unit margin forecasts by comparing the forecasts to (1) historical results (2) internal communications to management and the Board of Directors, and (3) forecasted information included in Company press releases, analyst and industry reports of the Company and companies in its peer group.</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management’s fair value estimate by:</w:t>
      </w:r>
    </w:p>
    <w:p>
      <w:pPr>
        <w:spacing w:after="0" w:line="143" w:lineRule="exact"/>
        <w:rPr>
          <w:sz w:val="20"/>
          <w:szCs w:val="20"/>
          <w:color w:val="auto"/>
        </w:rPr>
      </w:pPr>
    </w:p>
    <w:p>
      <w:pPr>
        <w:ind w:left="1500" w:right="140" w:hanging="372"/>
        <w:spacing w:after="0" w:line="249" w:lineRule="auto"/>
        <w:tabs>
          <w:tab w:leader="none" w:pos="1500" w:val="left"/>
        </w:tabs>
        <w:numPr>
          <w:ilvl w:val="0"/>
          <w:numId w:val="31"/>
        </w:numPr>
        <w:rPr>
          <w:rFonts w:ascii="Courier New" w:cs="Courier New" w:eastAsia="Courier New" w:hAnsi="Courier New"/>
          <w:sz w:val="18"/>
          <w:szCs w:val="18"/>
          <w:color w:val="auto"/>
        </w:rPr>
      </w:pPr>
      <w:r>
        <w:rPr>
          <w:rFonts w:ascii="Arial" w:cs="Arial" w:eastAsia="Arial" w:hAnsi="Arial"/>
          <w:sz w:val="18"/>
          <w:szCs w:val="18"/>
          <w:color w:val="auto"/>
        </w:rPr>
        <w:t>Developing an independent range of fair values based on market multiples of similar companies and comparing this to the company’s estimated fair values.</w:t>
      </w:r>
    </w:p>
    <w:p>
      <w:pPr>
        <w:ind w:left="1500" w:hanging="372"/>
        <w:spacing w:after="0"/>
        <w:tabs>
          <w:tab w:leader="none" w:pos="1500" w:val="left"/>
        </w:tabs>
        <w:numPr>
          <w:ilvl w:val="0"/>
          <w:numId w:val="31"/>
        </w:numPr>
        <w:rPr>
          <w:rFonts w:ascii="Courier New" w:cs="Courier New" w:eastAsia="Courier New" w:hAnsi="Courier New"/>
          <w:sz w:val="16"/>
          <w:szCs w:val="16"/>
          <w:color w:val="auto"/>
        </w:rPr>
      </w:pP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17" w:lineRule="exact"/>
        <w:rPr>
          <w:rFonts w:ascii="Courier New" w:cs="Courier New" w:eastAsia="Courier New" w:hAnsi="Courier New"/>
          <w:sz w:val="16"/>
          <w:szCs w:val="16"/>
          <w:color w:val="auto"/>
        </w:rPr>
      </w:pPr>
    </w:p>
    <w:p>
      <w:pPr>
        <w:ind w:left="1500" w:hanging="372"/>
        <w:spacing w:after="0"/>
        <w:tabs>
          <w:tab w:leader="none" w:pos="1500" w:val="left"/>
        </w:tabs>
        <w:numPr>
          <w:ilvl w:val="0"/>
          <w:numId w:val="31"/>
        </w:numPr>
        <w:rPr>
          <w:rFonts w:ascii="Courier New" w:cs="Courier New" w:eastAsia="Courier New" w:hAnsi="Courier New"/>
          <w:sz w:val="16"/>
          <w:szCs w:val="16"/>
          <w:color w:val="auto"/>
        </w:rPr>
      </w:pPr>
      <w:r>
        <w:rPr>
          <w:rFonts w:ascii="Arial" w:cs="Arial" w:eastAsia="Arial" w:hAnsi="Arial"/>
          <w:sz w:val="16"/>
          <w:szCs w:val="16"/>
          <w:color w:val="auto"/>
        </w:rPr>
        <w:t>Developing a range of independent estimates of discount rates and comparing those to the discount rates selected by management.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282A32"/>
        </w:rPr>
        <w:t>CONSOLIDATED STATEMENTS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9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9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18,001.0</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20,863.5</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21,991.2</w:t>
            </w:r>
          </w:p>
        </w:tc>
      </w:tr>
      <w:tr>
        <w:trPr>
          <w:trHeight w:val="23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15,176.3</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17,488.4</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18,412.2</w:t>
            </w:r>
          </w:p>
        </w:tc>
      </w:tr>
      <w:tr>
        <w:trPr>
          <w:trHeight w:val="22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2,824.7</w:t>
            </w: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3,375.1</w:t>
            </w: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3,579.0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w w:val="99"/>
              </w:rPr>
              <w:t>Selling and administrative expenses, excluding goodwill impairment charges</w:t>
            </w:r>
          </w:p>
        </w:tc>
        <w:tc>
          <w:tcPr>
            <w:tcW w:w="9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2,570.3</w:t>
            </w:r>
          </w:p>
        </w:tc>
        <w:tc>
          <w:tcPr>
            <w:tcW w:w="5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2,666.2</w:t>
            </w:r>
          </w:p>
        </w:tc>
        <w:tc>
          <w:tcPr>
            <w:tcW w:w="4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2,782.3</w:t>
            </w:r>
          </w:p>
        </w:tc>
      </w:tr>
      <w:tr>
        <w:trPr>
          <w:trHeight w:val="229"/>
        </w:trPr>
        <w:tc>
          <w:tcPr>
            <w:tcW w:w="6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impairment charges</w:t>
            </w:r>
          </w:p>
        </w:tc>
        <w:tc>
          <w:tcPr>
            <w:tcW w:w="9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5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64.0</w:t>
            </w:r>
          </w:p>
        </w:tc>
        <w:tc>
          <w:tcPr>
            <w:tcW w:w="4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and administrative expenses</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2,637.1</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2,730.2</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2,782.3</w:t>
            </w:r>
          </w:p>
        </w:tc>
      </w:tr>
      <w:tr>
        <w:trPr>
          <w:trHeight w:val="22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187.6</w:t>
            </w: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644.9</w:t>
            </w: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796.7</w:t>
            </w:r>
          </w:p>
        </w:tc>
      </w:tr>
      <w:tr>
        <w:trPr>
          <w:trHeight w:val="229"/>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expenses (income), net</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42.0</w:t>
            </w:r>
          </w:p>
        </w:tc>
      </w:tr>
      <w:tr>
        <w:trPr>
          <w:trHeight w:val="22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147.7</w:t>
            </w: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685.5</w:t>
            </w: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754.7</w:t>
            </w:r>
          </w:p>
        </w:tc>
      </w:tr>
      <w:tr>
        <w:trPr>
          <w:trHeight w:val="229"/>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123.9</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198.0</w:t>
            </w:r>
          </w:p>
        </w:tc>
      </w:tr>
      <w:tr>
        <w:trPr>
          <w:trHeight w:val="223"/>
        </w:trPr>
        <w:tc>
          <w:tcPr>
            <w:tcW w:w="60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9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465.7</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556.7</w:t>
            </w:r>
          </w:p>
        </w:tc>
      </w:tr>
      <w:tr>
        <w:trPr>
          <w:trHeight w:val="22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basic</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8.62</w:t>
            </w:r>
          </w:p>
        </w:tc>
      </w:tr>
      <w:tr>
        <w:trPr>
          <w:trHeight w:val="223"/>
        </w:trPr>
        <w:tc>
          <w:tcPr>
            <w:tcW w:w="6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9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7.72</w:t>
            </w:r>
          </w:p>
        </w:tc>
        <w:tc>
          <w:tcPr>
            <w:tcW w:w="4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8.56</w:t>
            </w:r>
          </w:p>
        </w:tc>
      </w:tr>
      <w:tr>
        <w:trPr>
          <w:trHeight w:val="22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basic</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64.6</w:t>
            </w:r>
          </w:p>
        </w:tc>
      </w:tr>
      <w:tr>
        <w:trPr>
          <w:trHeight w:val="223"/>
        </w:trPr>
        <w:tc>
          <w:tcPr>
            <w:tcW w:w="6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9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c>
          <w:tcPr>
            <w:tcW w:w="5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60.3</w:t>
            </w:r>
          </w:p>
        </w:tc>
        <w:tc>
          <w:tcPr>
            <w:tcW w:w="4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65.1</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82A32"/>
        </w:rPr>
        <w:t>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82A32"/>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465.7</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556.7</w:t>
            </w: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r>
      <w:tr>
        <w:trPr>
          <w:trHeight w:val="215"/>
        </w:trPr>
        <w:tc>
          <w:tcPr>
            <w:tcW w:w="8200" w:type="dxa"/>
            <w:vAlign w:val="bottom"/>
          </w:tcPr>
          <w:p>
            <w:pPr>
              <w:ind w:left="260"/>
              <w:spacing w:after="0"/>
              <w:rPr>
                <w:sz w:val="20"/>
                <w:szCs w:val="20"/>
                <w:color w:val="auto"/>
              </w:rPr>
            </w:pPr>
            <w:r>
              <w:rPr>
                <w:rFonts w:ascii="Arial" w:cs="Arial" w:eastAsia="Arial" w:hAnsi="Arial"/>
                <w:sz w:val="18"/>
                <w:szCs w:val="18"/>
                <w:color w:val="auto"/>
              </w:rPr>
              <w:t>Translation adjustments on derivative instruments, net of income taxes of $(25.8), $3.8 and $10.2,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w:t>
            </w: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35.2</w:t>
            </w:r>
          </w:p>
        </w:tc>
      </w:tr>
      <w:tr>
        <w:trPr>
          <w:trHeight w:val="215"/>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Reclassification of currency translation adjustment to income related to disposition of Manpower Switzerland</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30"/>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partially held equity interest (see Note 4)</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8200" w:type="dxa"/>
            <w:vAlign w:val="bottom"/>
          </w:tcPr>
          <w:p>
            <w:pPr>
              <w:ind w:left="260"/>
              <w:spacing w:after="0"/>
              <w:rPr>
                <w:sz w:val="20"/>
                <w:szCs w:val="20"/>
                <w:color w:val="auto"/>
              </w:rPr>
            </w:pPr>
            <w:r>
              <w:rPr>
                <w:rFonts w:ascii="Arial" w:cs="Arial" w:eastAsia="Arial" w:hAnsi="Arial"/>
                <w:sz w:val="18"/>
                <w:szCs w:val="18"/>
                <w:color w:val="auto"/>
                <w:w w:val="97"/>
              </w:rPr>
              <w:t>Reclassification of currency translation adjustment to income related to disposition of ManpowerGroup</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Greater China Limited partially held equity interest (see Note 4)</w:t>
            </w:r>
          </w:p>
        </w:tc>
        <w:tc>
          <w:tcPr>
            <w:tcW w:w="32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adjustments on long-term intercompany loans</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8200" w:type="dxa"/>
            <w:vAlign w:val="bottom"/>
          </w:tcPr>
          <w:p>
            <w:pPr>
              <w:ind w:left="260"/>
              <w:spacing w:after="0"/>
              <w:rPr>
                <w:sz w:val="20"/>
                <w:szCs w:val="20"/>
                <w:color w:val="auto"/>
              </w:rPr>
            </w:pPr>
            <w:r>
              <w:rPr>
                <w:rFonts w:ascii="Arial" w:cs="Arial" w:eastAsia="Arial" w:hAnsi="Arial"/>
                <w:sz w:val="18"/>
                <w:szCs w:val="18"/>
                <w:color w:val="auto"/>
                <w:w w:val="93"/>
              </w:rPr>
              <w:t>Defined benefit pension plans and retiree health care plan, net of income taxes of $(11.6), $(8.1) and $4.6,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30"/>
        </w:trPr>
        <w:tc>
          <w:tcPr>
            <w:tcW w:w="82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Pension settlements, net of taxes of $4.5</w:t>
            </w: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23"/>
        </w:trPr>
        <w:tc>
          <w:tcPr>
            <w:tcW w:w="8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3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424.5</w:t>
            </w:r>
          </w:p>
        </w:tc>
        <w:tc>
          <w:tcPr>
            <w:tcW w:w="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460.4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ind w:left="4060"/>
        <w:spacing w:after="0"/>
        <w:rPr>
          <w:sz w:val="20"/>
          <w:szCs w:val="20"/>
          <w:color w:val="auto"/>
        </w:rPr>
      </w:pPr>
      <w:r>
        <w:rPr>
          <w:rFonts w:ascii="Arial" w:cs="Arial" w:eastAsia="Arial" w:hAnsi="Arial"/>
          <w:sz w:val="18"/>
          <w:szCs w:val="18"/>
          <w:b w:val="1"/>
          <w:bCs w:val="1"/>
          <w:color w:val="282A32"/>
        </w:rPr>
        <w:t>CONSOLIDATED BALANCE SHEETS</w:t>
      </w:r>
    </w:p>
    <w:p>
      <w:pPr>
        <w:spacing w:after="0" w:line="1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i w:val="1"/>
          <w:iCs w:val="1"/>
          <w:color w:val="282A32"/>
        </w:rPr>
        <w:t>in millions, except share and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1,567.1</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1,025.8</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w w:val="99"/>
              </w:rPr>
              <w:t>Accounts receivable, less allowance for doubtful accounts of $128.1 and $113.5, respectively</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4,912.4</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5,273.1</w:t>
            </w:r>
          </w:p>
        </w:tc>
      </w:tr>
      <w:tr>
        <w:trPr>
          <w:trHeight w:val="229"/>
        </w:trPr>
        <w:tc>
          <w:tcPr>
            <w:tcW w:w="75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186.9</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185.6</w:t>
            </w: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6,666.4</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6,484.5</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1,225.8</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1,260.1</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Intangible assets, less accumulated amortization of $425.4 and $389.4, respectively</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248.6</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268.6</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Operating lease right-of-use asset</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400.7</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448.5</w:t>
            </w:r>
          </w:p>
        </w:tc>
      </w:tr>
      <w:tr>
        <w:trPr>
          <w:trHeight w:val="229"/>
        </w:trPr>
        <w:tc>
          <w:tcPr>
            <w:tcW w:w="75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651.6</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618.8</w:t>
            </w: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 other assets</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2,526.7</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2,596.0</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Land, buildings, leasehold improvements and equipment</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614.7</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605.5</w:t>
            </w:r>
          </w:p>
        </w:tc>
      </w:tr>
      <w:tr>
        <w:trPr>
          <w:trHeight w:val="229"/>
        </w:trPr>
        <w:tc>
          <w:tcPr>
            <w:tcW w:w="75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479.6</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462.2</w:t>
            </w:r>
          </w:p>
        </w:tc>
      </w:tr>
      <w:tr>
        <w:trPr>
          <w:trHeight w:val="223"/>
        </w:trPr>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Net property and equipment</w:t>
            </w: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135.1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143.3</w:t>
            </w:r>
          </w:p>
        </w:tc>
      </w:tr>
      <w:tr>
        <w:trPr>
          <w:trHeight w:val="223"/>
        </w:trPr>
        <w:tc>
          <w:tcPr>
            <w:tcW w:w="754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9,328.2</w:t>
            </w:r>
          </w:p>
        </w:tc>
        <w:tc>
          <w:tcPr>
            <w:tcW w:w="6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9,223.8</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2,527.4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2,474.9</w:t>
            </w: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compensation payable</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231.8</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206.4</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602.1</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545.4</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payroll taxes and insurance</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752.0</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649.7</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Value added taxes payable</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551.1</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504.0</w:t>
            </w:r>
          </w:p>
        </w:tc>
      </w:tr>
      <w:tr>
        <w:trPr>
          <w:trHeight w:val="230"/>
        </w:trPr>
        <w:tc>
          <w:tcPr>
            <w:tcW w:w="75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Short-term borrowings and current maturities of long-term debt</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20.4</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61.0</w:t>
            </w:r>
          </w:p>
        </w:tc>
      </w:tr>
      <w:tr>
        <w:trPr>
          <w:trHeight w:val="223"/>
        </w:trPr>
        <w:tc>
          <w:tcPr>
            <w:tcW w:w="75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4,684.8</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4,441.4</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1,103.5</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1,012.4</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Long-term operating lease liability</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305.1</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336.7</w:t>
            </w:r>
          </w:p>
        </w:tc>
      </w:tr>
      <w:tr>
        <w:trPr>
          <w:trHeight w:val="229"/>
        </w:trPr>
        <w:tc>
          <w:tcPr>
            <w:tcW w:w="7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long-term liabilities</w:t>
            </w: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781.2</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671.8</w:t>
            </w:r>
          </w:p>
        </w:tc>
      </w:tr>
      <w:tr>
        <w:trPr>
          <w:trHeight w:val="223"/>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liabilities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2,189.8</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2,020.9</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Shareholders’ Equity</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7540" w:type="dxa"/>
            <w:vAlign w:val="bottom"/>
          </w:tcPr>
          <w:p>
            <w:pPr>
              <w:ind w:left="140"/>
              <w:spacing w:after="0"/>
              <w:rPr>
                <w:sz w:val="20"/>
                <w:szCs w:val="20"/>
                <w:color w:val="auto"/>
              </w:rPr>
            </w:pPr>
            <w:r>
              <w:rPr>
                <w:rFonts w:ascii="Arial" w:cs="Arial" w:eastAsia="Arial" w:hAnsi="Arial"/>
                <w:sz w:val="18"/>
                <w:szCs w:val="18"/>
                <w:color w:val="auto"/>
                <w:w w:val="91"/>
              </w:rPr>
              <w:t>Common stock, $.01 par value, authorized 125,000,000 shares, issued 117,555,991 and 117,190,883</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shares, respectively</w:t>
            </w:r>
          </w:p>
        </w:tc>
        <w:tc>
          <w:tcPr>
            <w:tcW w:w="7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3,402.5</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3,370.6</w:t>
            </w: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3,388.8</w:t>
            </w:r>
          </w:p>
        </w:tc>
        <w:tc>
          <w:tcPr>
            <w:tcW w:w="6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3,494.1</w:t>
            </w:r>
          </w:p>
        </w:tc>
      </w:tr>
      <w:tr>
        <w:trPr>
          <w:trHeight w:val="229"/>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(397.3)</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r>
      <w:tr>
        <w:trPr>
          <w:trHeight w:val="230"/>
        </w:trPr>
        <w:tc>
          <w:tcPr>
            <w:tcW w:w="7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at cost, 61,990,021 and 58,517,128 shares, respectively</w:t>
            </w: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(3,954.2)</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w:t>
            </w:r>
          </w:p>
        </w:tc>
      </w:tr>
      <w:tr>
        <w:trPr>
          <w:trHeight w:val="223"/>
        </w:trPr>
        <w:tc>
          <w:tcPr>
            <w:tcW w:w="75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Total ManpowerGroup shareholders' equity</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2,441.0</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2,743.0</w:t>
            </w:r>
          </w:p>
        </w:tc>
      </w:tr>
      <w:tr>
        <w:trPr>
          <w:trHeight w:val="223"/>
        </w:trPr>
        <w:tc>
          <w:tcPr>
            <w:tcW w:w="7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Noncontrolling interests</w:t>
            </w: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w:t>
            </w:r>
          </w:p>
        </w:tc>
      </w:tr>
      <w:tr>
        <w:trPr>
          <w:trHeight w:val="223"/>
        </w:trPr>
        <w:tc>
          <w:tcPr>
            <w:tcW w:w="754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2,453.6</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2,761.5</w:t>
            </w:r>
          </w:p>
        </w:tc>
      </w:tr>
      <w:tr>
        <w:trPr>
          <w:trHeight w:val="223"/>
        </w:trPr>
        <w:tc>
          <w:tcPr>
            <w:tcW w:w="75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9,328.2</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9,223.8</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282A32"/>
        </w:rPr>
        <w:t>The accompanying Notes to Consolidated Financial Statements are an integral part of these statements.</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earnings</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465.7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556.7</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w w:val="96"/>
              </w:rPr>
              <w:t>Adjustments to reconcile net earnings to net cash provided by operating activities: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76.3</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77.2</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85.8</w:t>
            </w: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gain on disposition of previously held equity interest</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(80.4)</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Non-cash gain on disposition of previously held controlling interest</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goodwill and other impairment charges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71.3</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64.0</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Non-cash operating lease right-of-use assets impairment</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27.3</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(43.0)</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23.0</w:t>
            </w:r>
          </w:p>
        </w:tc>
      </w:tr>
      <w:tr>
        <w:trPr>
          <w:trHeight w:val="229"/>
        </w:trPr>
        <w:tc>
          <w:tcPr>
            <w:tcW w:w="6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Share-based compensation</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26.3</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27.8</w:t>
            </w: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w w:val="98"/>
              </w:rPr>
              <w:t>Change in operating assets and liabilities, excluding the impact of acquisitions:</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586.9</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(80.2)</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29.9</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122.3</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58.7</w:t>
            </w:r>
          </w:p>
        </w:tc>
      </w:tr>
      <w:tr>
        <w:trPr>
          <w:trHeight w:val="230"/>
        </w:trPr>
        <w:tc>
          <w:tcPr>
            <w:tcW w:w="6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86.8</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271.1</w:t>
            </w: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r>
      <w:tr>
        <w:trPr>
          <w:trHeight w:val="223"/>
        </w:trPr>
        <w:tc>
          <w:tcPr>
            <w:tcW w:w="63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Cash provided by operating activities</w:t>
            </w: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936.4</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814.4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483.1</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Acquisitions of businesses, net of cash acquired</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77.8</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Impact to cash resulting from deconsolidation of subsidiaries</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9.0</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16.8</w:t>
            </w: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r>
      <w:tr>
        <w:trPr>
          <w:trHeight w:val="223"/>
        </w:trPr>
        <w:tc>
          <w:tcPr>
            <w:tcW w:w="63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Cash used in investing activities</w:t>
            </w: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583.3</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(408.6)</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Payments for debt issuance costs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Payments of contingent consideration for acquisitions</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share-based awards and sale of subsidiaries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Payments to noncontrolling interests</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share-based award transactions</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(264.7)</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(500.7)</w:t>
            </w:r>
          </w:p>
        </w:tc>
      </w:tr>
      <w:tr>
        <w:trPr>
          <w:trHeight w:val="229"/>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(129.1)</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(129.3)</w:t>
            </w: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w:t>
            </w:r>
          </w:p>
        </w:tc>
      </w:tr>
      <w:tr>
        <w:trPr>
          <w:trHeight w:val="223"/>
        </w:trPr>
        <w:tc>
          <w:tcPr>
            <w:tcW w:w="6300" w:type="dxa"/>
            <w:vAlign w:val="bottom"/>
          </w:tcPr>
          <w:p>
            <w:pPr>
              <w:ind w:left="380"/>
              <w:spacing w:after="0"/>
              <w:rPr>
                <w:sz w:val="20"/>
                <w:szCs w:val="20"/>
                <w:color w:val="auto"/>
              </w:rPr>
            </w:pPr>
            <w:r>
              <w:rPr>
                <w:rFonts w:ascii="Arial" w:cs="Arial" w:eastAsia="Arial" w:hAnsi="Arial"/>
                <w:sz w:val="18"/>
                <w:szCs w:val="18"/>
                <w:color w:val="auto"/>
              </w:rPr>
              <w:t>Cash used in financing activities</w:t>
            </w:r>
          </w:p>
        </w:tc>
        <w:tc>
          <w:tcPr>
            <w:tcW w:w="7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(435.2)</w:t>
            </w:r>
          </w:p>
        </w:tc>
        <w:tc>
          <w:tcPr>
            <w:tcW w:w="5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(337.4)</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(484.9)</w:t>
            </w:r>
          </w:p>
        </w:tc>
      </w:tr>
      <w:tr>
        <w:trPr>
          <w:trHeight w:val="229"/>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82.5</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(26.9)</w:t>
            </w: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7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541.3</w:t>
            </w:r>
          </w:p>
        </w:tc>
        <w:tc>
          <w:tcPr>
            <w:tcW w:w="5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433.9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7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1,025.8</w:t>
            </w: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591.9</w:t>
            </w: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689.0</w:t>
            </w:r>
          </w:p>
        </w:tc>
      </w:tr>
      <w:tr>
        <w:trPr>
          <w:trHeight w:val="22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1,567.1</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1,025.8</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591.9</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7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40.8</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42.4</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49.9</w:t>
            </w:r>
          </w:p>
        </w:tc>
      </w:tr>
      <w:tr>
        <w:trPr>
          <w:trHeight w:val="223"/>
        </w:trPr>
        <w:tc>
          <w:tcPr>
            <w:tcW w:w="6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Income taxes, net</w:t>
            </w: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149.8</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184.6</w:t>
            </w:r>
          </w:p>
        </w:tc>
      </w:tr>
      <w:tr>
        <w:trPr>
          <w:trHeight w:val="223"/>
        </w:trPr>
        <w:tc>
          <w:tcPr>
            <w:tcW w:w="6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7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142.0</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150.1</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Non-cash operating activity:</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7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63.6</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129.3</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ManpowerGroup Shareholders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7"/>
        </w:trPr>
        <w:tc>
          <w:tcPr>
            <w:tcW w:w="3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30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color w:val="auto"/>
                <w:w w:val="95"/>
              </w:rPr>
              <w:t>Capital in</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60"/>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7"/>
        </w:trPr>
        <w:tc>
          <w:tcPr>
            <w:tcW w:w="3040" w:type="dxa"/>
            <w:vAlign w:val="bottom"/>
          </w:tcPr>
          <w:p>
            <w:pPr>
              <w:spacing w:after="0"/>
              <w:rPr>
                <w:sz w:val="11"/>
                <w:szCs w:val="11"/>
                <w:color w:val="auto"/>
              </w:rPr>
            </w:pPr>
          </w:p>
        </w:tc>
        <w:tc>
          <w:tcPr>
            <w:tcW w:w="1040" w:type="dxa"/>
            <w:vAlign w:val="bottom"/>
          </w:tcPr>
          <w:p>
            <w:pPr>
              <w:jc w:val="right"/>
              <w:ind w:right="302"/>
              <w:spacing w:after="0" w:line="137" w:lineRule="exact"/>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201"/>
              <w:spacing w:after="0" w:line="137" w:lineRule="exact"/>
              <w:rPr>
                <w:sz w:val="20"/>
                <w:szCs w:val="20"/>
                <w:color w:val="auto"/>
              </w:rPr>
            </w:pPr>
            <w:r>
              <w:rPr>
                <w:rFonts w:ascii="Arial" w:cs="Arial" w:eastAsia="Arial" w:hAnsi="Arial"/>
                <w:sz w:val="14"/>
                <w:szCs w:val="14"/>
                <w:color w:val="auto"/>
                <w:w w:val="92"/>
              </w:rPr>
              <w:t>Excess of</w:t>
            </w:r>
          </w:p>
        </w:tc>
        <w:tc>
          <w:tcPr>
            <w:tcW w:w="200" w:type="dxa"/>
            <w:vAlign w:val="bottom"/>
          </w:tcPr>
          <w:p>
            <w:pPr>
              <w:spacing w:after="0"/>
              <w:rPr>
                <w:sz w:val="11"/>
                <w:szCs w:val="11"/>
                <w:color w:val="auto"/>
              </w:rPr>
            </w:pPr>
          </w:p>
        </w:tc>
        <w:tc>
          <w:tcPr>
            <w:tcW w:w="860" w:type="dxa"/>
            <w:vAlign w:val="bottom"/>
          </w:tcPr>
          <w:p>
            <w:pPr>
              <w:jc w:val="right"/>
              <w:ind w:right="220"/>
              <w:spacing w:after="0" w:line="137" w:lineRule="exact"/>
              <w:rPr>
                <w:sz w:val="20"/>
                <w:szCs w:val="20"/>
                <w:color w:val="auto"/>
              </w:rPr>
            </w:pPr>
            <w:r>
              <w:rPr>
                <w:rFonts w:ascii="Arial" w:cs="Arial" w:eastAsia="Arial" w:hAnsi="Arial"/>
                <w:sz w:val="14"/>
                <w:szCs w:val="14"/>
                <w:color w:val="auto"/>
                <w:w w:val="96"/>
              </w:rPr>
              <w:t>Retained</w:t>
            </w:r>
          </w:p>
        </w:tc>
        <w:tc>
          <w:tcPr>
            <w:tcW w:w="112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940" w:type="dxa"/>
            <w:vAlign w:val="bottom"/>
            <w:gridSpan w:val="2"/>
          </w:tcPr>
          <w:p>
            <w:pPr>
              <w:jc w:val="center"/>
              <w:ind w:right="360"/>
              <w:spacing w:after="0" w:line="137"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3040" w:type="dxa"/>
            <w:vAlign w:val="bottom"/>
          </w:tcPr>
          <w:p>
            <w:pPr>
              <w:spacing w:after="0"/>
              <w:rPr>
                <w:sz w:val="14"/>
                <w:szCs w:val="14"/>
                <w:color w:val="auto"/>
              </w:rPr>
            </w:pPr>
          </w:p>
        </w:tc>
        <w:tc>
          <w:tcPr>
            <w:tcW w:w="1040" w:type="dxa"/>
            <w:vAlign w:val="bottom"/>
          </w:tcPr>
          <w:p>
            <w:pPr>
              <w:jc w:val="right"/>
              <w:ind w:right="322"/>
              <w:spacing w:after="0"/>
              <w:rPr>
                <w:sz w:val="20"/>
                <w:szCs w:val="20"/>
                <w:color w:val="auto"/>
              </w:rPr>
            </w:pPr>
            <w:r>
              <w:rPr>
                <w:rFonts w:ascii="Arial" w:cs="Arial" w:eastAsia="Arial" w:hAnsi="Arial"/>
                <w:sz w:val="14"/>
                <w:szCs w:val="14"/>
                <w:color w:val="auto"/>
              </w:rPr>
              <w:t>Issued</w:t>
            </w:r>
          </w:p>
        </w:tc>
        <w:tc>
          <w:tcPr>
            <w:tcW w:w="220" w:type="dxa"/>
            <w:vAlign w:val="bottom"/>
          </w:tcPr>
          <w:p>
            <w:pPr>
              <w:spacing w:after="0"/>
              <w:rPr>
                <w:sz w:val="14"/>
                <w:szCs w:val="14"/>
                <w:color w:val="auto"/>
              </w:rPr>
            </w:pPr>
          </w:p>
        </w:tc>
        <w:tc>
          <w:tcPr>
            <w:tcW w:w="820" w:type="dxa"/>
            <w:vAlign w:val="bottom"/>
          </w:tcPr>
          <w:p>
            <w:pPr>
              <w:jc w:val="right"/>
              <w:ind w:right="161"/>
              <w:spacing w:after="0"/>
              <w:rPr>
                <w:sz w:val="20"/>
                <w:szCs w:val="20"/>
                <w:color w:val="auto"/>
              </w:rPr>
            </w:pPr>
            <w:r>
              <w:rPr>
                <w:rFonts w:ascii="Arial" w:cs="Arial" w:eastAsia="Arial" w:hAnsi="Arial"/>
                <w:sz w:val="14"/>
                <w:szCs w:val="14"/>
                <w:color w:val="auto"/>
                <w:w w:val="91"/>
              </w:rPr>
              <w:t>Par Value</w:t>
            </w:r>
          </w:p>
        </w:tc>
        <w:tc>
          <w:tcPr>
            <w:tcW w:w="220" w:type="dxa"/>
            <w:vAlign w:val="bottom"/>
          </w:tcPr>
          <w:p>
            <w:pPr>
              <w:spacing w:after="0"/>
              <w:rPr>
                <w:sz w:val="14"/>
                <w:szCs w:val="14"/>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color w:val="auto"/>
                <w:w w:val="91"/>
              </w:rPr>
              <w:t>Par Value</w:t>
            </w:r>
          </w:p>
        </w:tc>
        <w:tc>
          <w:tcPr>
            <w:tcW w:w="200" w:type="dxa"/>
            <w:vAlign w:val="bottom"/>
          </w:tcPr>
          <w:p>
            <w:pPr>
              <w:spacing w:after="0"/>
              <w:rPr>
                <w:sz w:val="14"/>
                <w:szCs w:val="14"/>
                <w:color w:val="auto"/>
              </w:rPr>
            </w:pPr>
          </w:p>
        </w:tc>
        <w:tc>
          <w:tcPr>
            <w:tcW w:w="860" w:type="dxa"/>
            <w:vAlign w:val="bottom"/>
          </w:tcPr>
          <w:p>
            <w:pPr>
              <w:jc w:val="right"/>
              <w:ind w:right="220"/>
              <w:spacing w:after="0"/>
              <w:rPr>
                <w:sz w:val="20"/>
                <w:szCs w:val="20"/>
                <w:color w:val="auto"/>
              </w:rPr>
            </w:pPr>
            <w:r>
              <w:rPr>
                <w:rFonts w:ascii="Arial" w:cs="Arial" w:eastAsia="Arial" w:hAnsi="Arial"/>
                <w:sz w:val="14"/>
                <w:szCs w:val="14"/>
                <w:color w:val="auto"/>
                <w:w w:val="97"/>
              </w:rPr>
              <w:t>Earnings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4"/>
              </w:rPr>
              <w:t>(Loss) Income</w:t>
            </w:r>
          </w:p>
        </w:tc>
        <w:tc>
          <w:tcPr>
            <w:tcW w:w="2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Stock</w:t>
            </w: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Interests</w:t>
            </w:r>
          </w:p>
        </w:tc>
        <w:tc>
          <w:tcPr>
            <w:tcW w:w="100" w:type="dxa"/>
            <w:vAlign w:val="bottom"/>
          </w:tcPr>
          <w:p>
            <w:pPr>
              <w:spacing w:after="0"/>
              <w:rPr>
                <w:sz w:val="14"/>
                <w:szCs w:val="14"/>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color w:val="auto"/>
              </w:rPr>
              <w:t>Total</w:t>
            </w:r>
          </w:p>
        </w:tc>
      </w:tr>
      <w:tr>
        <w:trPr>
          <w:trHeight w:val="210"/>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January 1, 2018</w:t>
            </w:r>
          </w:p>
        </w:tc>
        <w:tc>
          <w:tcPr>
            <w:tcW w:w="10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116,303,729</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3,302.6</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ind w:right="80"/>
              <w:spacing w:after="0"/>
              <w:rPr>
                <w:sz w:val="20"/>
                <w:szCs w:val="20"/>
                <w:color w:val="auto"/>
              </w:rPr>
            </w:pPr>
            <w:r>
              <w:rPr>
                <w:rFonts w:ascii="Arial" w:cs="Arial" w:eastAsia="Arial" w:hAnsi="Arial"/>
                <w:sz w:val="16"/>
                <w:szCs w:val="16"/>
                <w:color w:val="auto"/>
              </w:rPr>
              <w:t>2,713.0</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(288.2)</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(2,953.7)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82.7</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2,857.6</w:t>
            </w:r>
          </w:p>
        </w:tc>
      </w:tr>
      <w:tr>
        <w:trPr>
          <w:trHeight w:val="206"/>
        </w:trPr>
        <w:tc>
          <w:tcPr>
            <w:tcW w:w="3040" w:type="dxa"/>
            <w:vAlign w:val="bottom"/>
          </w:tcPr>
          <w:p>
            <w:pPr>
              <w:ind w:left="140"/>
              <w:spacing w:after="0"/>
              <w:rPr>
                <w:sz w:val="20"/>
                <w:szCs w:val="20"/>
                <w:color w:val="auto"/>
              </w:rPr>
            </w:pPr>
            <w:r>
              <w:rPr>
                <w:rFonts w:ascii="Arial" w:cs="Arial" w:eastAsia="Arial" w:hAnsi="Arial"/>
                <w:sz w:val="16"/>
                <w:szCs w:val="16"/>
                <w:color w:val="auto"/>
              </w:rPr>
              <w:t>Unrealized gain reclassified due to new</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3040" w:type="dxa"/>
            <w:vAlign w:val="bottom"/>
          </w:tcPr>
          <w:p>
            <w:pPr>
              <w:ind w:left="140"/>
              <w:spacing w:after="0"/>
              <w:rPr>
                <w:sz w:val="20"/>
                <w:szCs w:val="20"/>
                <w:color w:val="auto"/>
              </w:rPr>
            </w:pPr>
            <w:r>
              <w:rPr>
                <w:rFonts w:ascii="Arial" w:cs="Arial" w:eastAsia="Arial" w:hAnsi="Arial"/>
                <w:sz w:val="16"/>
                <w:szCs w:val="16"/>
                <w:color w:val="auto"/>
              </w:rPr>
              <w:t>accounting guidance on investments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15.3</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556.7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556.7</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Issuances under equity plans</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492,170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27.8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($2.02 per share)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(500.7)</w:t>
            </w:r>
          </w:p>
        </w:tc>
      </w:tr>
      <w:tr>
        <w:trPr>
          <w:trHeight w:val="216"/>
        </w:trPr>
        <w:tc>
          <w:tcPr>
            <w:tcW w:w="30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3040" w:type="dxa"/>
            <w:vAlign w:val="bottom"/>
          </w:tcPr>
          <w:p>
            <w:pPr>
              <w:spacing w:after="0"/>
              <w:rPr>
                <w:sz w:val="20"/>
                <w:szCs w:val="20"/>
                <w:color w:val="auto"/>
              </w:rPr>
            </w:pPr>
            <w:r>
              <w:rPr>
                <w:rFonts w:ascii="Arial" w:cs="Arial" w:eastAsia="Arial" w:hAnsi="Arial"/>
                <w:sz w:val="16"/>
                <w:szCs w:val="16"/>
                <w:color w:val="auto"/>
              </w:rPr>
              <w:t>Balance, December 31, 2018</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116,795,899</w:t>
            </w:r>
          </w:p>
        </w:tc>
        <w:tc>
          <w:tcPr>
            <w:tcW w:w="22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3,337.5</w:t>
            </w:r>
          </w:p>
        </w:tc>
        <w:tc>
          <w:tcPr>
            <w:tcW w:w="20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3,157.7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(399.8)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2,698.5</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465.7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465.7</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Issuances under equity plans</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394,984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($2.18 per share)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(203.0)</w:t>
            </w:r>
          </w:p>
        </w:tc>
      </w:tr>
      <w:tr>
        <w:trPr>
          <w:trHeight w:val="216"/>
        </w:trPr>
        <w:tc>
          <w:tcPr>
            <w:tcW w:w="30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r>
              <w:rPr>
                <w:rFonts w:ascii="Arial" w:cs="Arial" w:eastAsia="Arial" w:hAnsi="Arial"/>
                <w:sz w:val="16"/>
                <w:szCs w:val="16"/>
                <w:u w:val="single" w:color="auto"/>
                <w:color w:val="auto"/>
              </w:rPr>
              <w:t>3)</w:t>
            </w: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Balance, December 31, 2019</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117,190,883</w:t>
            </w:r>
          </w:p>
        </w:tc>
        <w:tc>
          <w:tcPr>
            <w:tcW w:w="22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3,370.6</w:t>
            </w:r>
          </w:p>
        </w:tc>
        <w:tc>
          <w:tcPr>
            <w:tcW w:w="20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3,494.1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(441.0)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2,761.5</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Other comprehensive gain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43.7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Issuances under equity plans</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365,108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24.2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($2.26 per share)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w:t>
            </w: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(264.7)</w:t>
            </w:r>
          </w:p>
        </w:tc>
      </w:tr>
      <w:tr>
        <w:trPr>
          <w:trHeight w:val="216"/>
        </w:trPr>
        <w:tc>
          <w:tcPr>
            <w:tcW w:w="30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 transactions</w:t>
            </w:r>
          </w:p>
        </w:tc>
        <w:tc>
          <w:tcPr>
            <w:tcW w:w="10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December 31, 2020</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117,555,991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3,388.8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(3,954.2)</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2,453.6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319"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ManpowerGroup Inc. is a world leader in the innovative workforce solutions and services industry. Our global network of over 2,200 offices in 75 countries and territories allows us to meet the needs of our global, multinational and local clients across all major industry segments. Our largest operations, based on revenues, are located in France, the United States, the United Kingdom and Italy.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spread of COVID-19, which was declared a global pandemic by the World Health Organization in March 2020, has created significant volatility, uncertainty and global macroeconomic disruption. Our business, operations and consolidated financial statements for 2020 were significantly negatively impacted by the COVID-19 crisis. By the end of March, significant lockdown measures had been implemented in our main markets in Europe and North America, as well as in certain other countries. At the beginning of the third quarter, the impact of the COVID-19 crisis stabilized in many parts of the world, and economies slowly reopened. However, in late 2020, a number of countries started to see increased cases of COVID-19 that led to the implementation of new restrictions in an effort to mitigate the spread. Unlike the lockdowns and restrictions experienced earlier in the year, the same country-wide lockdowns did not occur, but more targeted and localized restrictions. Continued uncertainty remains as to the future impact of the pandemic on global and local economies.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$106.6 and $97.8 as of December 31, 2020 and 2019, respectively,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7"/>
          <w:szCs w:val="17"/>
          <w:color w:val="auto"/>
        </w:rPr>
        <w:t>are included in other assets in the Consolidated Balance Sheets. Included in shareholders’ equity as of December 31, 2020 and 2019 are $8.0 and $3.4, respectively, of unremitted earnings from investments accounted for using the equity method. The remaining amounts as of December 31, 2020 relate to accounting for our remaining interest in ManpowerGroup Greater China under the equity method subsequent to deconsolidation (see Note 4 for further information). All significant intercompany accounts and transactions have been eliminated in consolidation.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further in Note 14, effective in the first quarter of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January 1, 2018, we adopted the new accounting guidance on revenue recognition using the modified retrospective approach applied to those contracts that were not completed as of January 1, 2018. We determined that no cumulative effect adjustment to retained earnings was necessary upon adoption as there were no significant revenue recognition differences identified between the new and previous accounting guidance.</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new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allowed under the new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2020 related to remaining performance obligations, which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deferred revenue was $34.9 at December 31, 2020 and $44.5 at December 31, 2019. We recognized the entire amount of the deferred revenue balance as of December 31, 2019 as revenue during the year ended December 31, 2020. We expect to recognize the entire amount of deferred revenue balance as of December 31, 2020 as revenue during the year ended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market conditions and a specific review for potential bad debts. Items that affect this balance mainly include bad debt expense and the write-off of accounts receivable balances.</w:t>
      </w:r>
    </w:p>
    <w:tbl>
      <w:tblPr>
        <w:tblLayout w:type="fixed"/>
        <w:tblInd w:w="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Provisions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2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Reclassifications</w:t>
            </w:r>
          </w:p>
        </w:tc>
        <w:tc>
          <w:tcPr>
            <w:tcW w:w="180" w:type="dxa"/>
            <w:vAlign w:val="bottom"/>
          </w:tcPr>
          <w:p>
            <w:pPr>
              <w:spacing w:after="0"/>
              <w:rPr>
                <w:sz w:val="12"/>
                <w:szCs w:val="12"/>
                <w:color w:val="auto"/>
              </w:rPr>
            </w:pPr>
          </w:p>
        </w:tc>
        <w:tc>
          <w:tcPr>
            <w:tcW w:w="980" w:type="dxa"/>
            <w:vAlign w:val="bottom"/>
          </w:tcPr>
          <w:p>
            <w:pPr>
              <w:jc w:val="center"/>
              <w:ind w:right="239"/>
              <w:spacing w:after="0" w:line="142"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98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jc w:val="right"/>
              <w:ind w:right="171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3820" w:type="dxa"/>
            <w:vAlign w:val="bottom"/>
          </w:tcPr>
          <w:p>
            <w:pPr>
              <w:jc w:val="right"/>
              <w:ind w:right="17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jc w:val="right"/>
              <w:ind w:right="171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and was $20.3, $21.8 and $23.0 in 2020, 2019 and, 2018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$17.8, $19.1 and $12.0 for 2020, 2019 and 2018,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98" w:lineRule="exact"/>
        <w:rPr>
          <w:sz w:val="20"/>
          <w:szCs w:val="20"/>
          <w:color w:val="auto"/>
        </w:rPr>
      </w:pPr>
    </w:p>
    <w:p>
      <w:pPr>
        <w:ind w:right="180"/>
        <w:spacing w:after="0" w:line="453" w:lineRule="auto"/>
        <w:rPr>
          <w:sz w:val="20"/>
          <w:szCs w:val="20"/>
          <w:color w:val="auto"/>
        </w:rPr>
      </w:pPr>
      <w:r>
        <w:rPr>
          <w:rFonts w:ascii="Arial" w:cs="Arial" w:eastAsia="Arial" w:hAnsi="Arial"/>
          <w:sz w:val="18"/>
          <w:szCs w:val="18"/>
          <w:color w:val="auto"/>
        </w:rPr>
        <w:t xml:space="preserve">We expense production costs of advertising as they are incurred. Advertising expenses were $22.2, $25.7 and $27.9 in 2020, 2019 and 2018, respectively. </w:t>
      </w:r>
      <w:r>
        <w:rPr>
          <w:rFonts w:ascii="Arial" w:cs="Arial" w:eastAsia="Arial" w:hAnsi="Arial"/>
          <w:sz w:val="18"/>
          <w:szCs w:val="18"/>
          <w:i w:val="1"/>
          <w:iCs w:val="1"/>
          <w:color w:val="auto"/>
        </w:rPr>
        <w:t>Restructuring Costs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restructuring costs of $110.7, $42.0 and $39.3 in 2020, 2019 and 2018, respectively, in selling and administrative expenses, primarily related to severances and office closures and consolidations in multiple countries and territories. As a result of the adoption of the new accounting guidance on leases as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7"/>
          <w:szCs w:val="17"/>
          <w:color w:val="auto"/>
        </w:rPr>
        <w:t>January 1, 2019, the office closure costs of $27.3 during 2020 were recorded as an impairment to the operating lease right-of-use asset and, thus, are not included in the restructuring reserve balance as of December 31, 2020. The costs paid, utilized or transferred out of our restructuring reserve were $71.9 and $50.2 in 2020 and 2019, respectively. We expect a majority of the remaining $46.1 reserve will be paid by the end of 2021.</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further in Note 14, effective in the first quarter of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Southern</w:t>
            </w:r>
          </w:p>
        </w:tc>
        <w:tc>
          <w:tcPr>
            <w:tcW w:w="24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Northern</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38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Americas</w:t>
            </w:r>
            <w:r>
              <w:rPr>
                <w:rFonts w:ascii="Arial" w:cs="Arial" w:eastAsia="Arial" w:hAnsi="Arial"/>
                <w:sz w:val="15"/>
                <w:szCs w:val="15"/>
                <w:color w:val="auto"/>
              </w:rPr>
              <w:t>(1)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Europe</w:t>
            </w:r>
            <w:r>
              <w:rPr>
                <w:rFonts w:ascii="Arial" w:cs="Arial" w:eastAsia="Arial" w:hAnsi="Arial"/>
                <w:sz w:val="15"/>
                <w:szCs w:val="15"/>
                <w:color w:val="auto"/>
                <w:w w:val="96"/>
              </w:rPr>
              <w:t>(2)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APME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Corporate</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12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29"/>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w:t>
            </w: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r>
      <w:tr>
        <w:trPr>
          <w:trHeight w:val="229"/>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Costs paid or utilized</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3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r>
      <w:tr>
        <w:trPr>
          <w:trHeight w:val="223"/>
        </w:trPr>
        <w:tc>
          <w:tcPr>
            <w:tcW w:w="380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12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74.2</w:t>
            </w:r>
          </w:p>
        </w:tc>
      </w:tr>
      <w:tr>
        <w:trPr>
          <w:trHeight w:val="229"/>
        </w:trPr>
        <w:tc>
          <w:tcPr>
            <w:tcW w:w="3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w:t>
            </w: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Other costs</w:t>
            </w:r>
          </w:p>
        </w:tc>
        <w:tc>
          <w:tcPr>
            <w:tcW w:w="12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230"/>
        </w:trPr>
        <w:tc>
          <w:tcPr>
            <w:tcW w:w="38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Costs paid, utilized or transferred out</w:t>
            </w:r>
          </w:p>
        </w:tc>
        <w:tc>
          <w:tcPr>
            <w:tcW w:w="1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2020</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r>
    </w:tbl>
    <w:p>
      <w:pPr>
        <w:spacing w:after="0" w:line="31" w:lineRule="exact"/>
        <w:rPr>
          <w:sz w:val="20"/>
          <w:szCs w:val="20"/>
          <w:color w:val="auto"/>
        </w:rPr>
      </w:pPr>
    </w:p>
    <w:p>
      <w:pPr>
        <w:jc w:val="both"/>
        <w:ind w:firstLine="8"/>
        <w:spacing w:after="0" w:line="278"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Balance related to United States was $0.3 as of December 31, 2018. In 2019, United States incurred $1.3 for severance costs and $5.4 for office closure costs and paid/utilized $6.7, leaving a $0.3 liability as of December 31, 2019. In 2020, United States incurred $3.8 for severance costs, $17.8 for office closure costs and $4.2 for other costs and paid/utilized $24.7, leaving a $1.4 liability as of December 31, 2020.</w:t>
      </w:r>
    </w:p>
    <w:p>
      <w:pPr>
        <w:spacing w:after="0" w:line="8" w:lineRule="exact"/>
        <w:rPr>
          <w:rFonts w:ascii="Arial" w:cs="Arial" w:eastAsia="Arial" w:hAnsi="Arial"/>
          <w:sz w:val="16"/>
          <w:szCs w:val="16"/>
          <w:color w:val="auto"/>
        </w:rPr>
      </w:pPr>
    </w:p>
    <w:p>
      <w:pPr>
        <w:jc w:val="both"/>
        <w:ind w:firstLine="8"/>
        <w:spacing w:after="0" w:line="297" w:lineRule="auto"/>
        <w:tabs>
          <w:tab w:leader="none" w:pos="234"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Balance related to France was $1.1 as of December 31, 2018. In 2019, France paid/utilized $1.1, leaving no liability as of December 31, 2019. In 2020, France incurred $2.6 for office closure costs and $1.2 for other costs and paid/utilized $3.2, leaving a $0.6 liability as of December 31, 2020. Balance related to Italy was $0.5 as of December 31, 2018. In 2019, Italy incurred $2.3 for severance costs and paid/utilized $2.5, leaving a $0.3 liability as of December 31, 2019. In 2020, Italy incurred $1.9 for severance costs, $0.5 for office closure costs and $1.0 for other costs and paid/utilized $2.3, leaving a $1.4 liability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gridSpan w:val="5"/>
          </w:tcPr>
          <w:p>
            <w:pPr>
              <w:jc w:val="right"/>
              <w:ind w:right="220"/>
              <w:spacing w:after="0"/>
              <w:rPr>
                <w:sz w:val="20"/>
                <w:szCs w:val="20"/>
                <w:color w:val="auto"/>
              </w:rPr>
            </w:pPr>
            <w:r>
              <w:rPr>
                <w:rFonts w:ascii="Arial" w:cs="Arial" w:eastAsia="Arial" w:hAnsi="Arial"/>
                <w:sz w:val="16"/>
                <w:szCs w:val="16"/>
                <w:color w:val="auto"/>
                <w:w w:val="91"/>
              </w:rPr>
              <w:t>Fair Value Measurements Using</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4"/>
          </w:tcPr>
          <w:p>
            <w:pPr>
              <w:jc w:val="right"/>
              <w:ind w:right="39"/>
              <w:spacing w:after="0"/>
              <w:rPr>
                <w:sz w:val="20"/>
                <w:szCs w:val="20"/>
                <w:color w:val="auto"/>
              </w:rPr>
            </w:pPr>
            <w:r>
              <w:rPr>
                <w:rFonts w:ascii="Arial" w:cs="Arial" w:eastAsia="Arial" w:hAnsi="Arial"/>
                <w:sz w:val="16"/>
                <w:szCs w:val="16"/>
                <w:color w:val="auto"/>
                <w:w w:val="91"/>
              </w:rPr>
              <w:t>Fair Value Measurements Using</w:t>
            </w: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w w:val="88"/>
              </w:rPr>
              <w:t>Quoted Prices</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w w:val="88"/>
              </w:rPr>
              <w:t>Quoted Prices</w:t>
            </w: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in Active</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4"/>
              </w:rPr>
              <w:t>Significant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in Active</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4"/>
              </w:rPr>
              <w:t>Significant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Markets for</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Significant</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Markets for</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Identical</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Observable</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Unobservable</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Identical</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Observable</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w w:val="99"/>
              </w:rPr>
              <w:t>Unobservable</w:t>
            </w:r>
          </w:p>
        </w:tc>
      </w:tr>
      <w:tr>
        <w:trPr>
          <w:trHeight w:val="203"/>
        </w:trPr>
        <w:tc>
          <w:tcPr>
            <w:tcW w:w="246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color w:val="auto"/>
                <w:w w:val="97"/>
              </w:rPr>
              <w:t>December 31,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Inputs</w:t>
            </w:r>
          </w:p>
        </w:tc>
        <w:tc>
          <w:tcPr>
            <w:tcW w:w="1000" w:type="dxa"/>
            <w:vAlign w:val="bottom"/>
            <w:gridSpan w:val="2"/>
          </w:tcPr>
          <w:p>
            <w:pPr>
              <w:spacing w:after="0"/>
              <w:rPr>
                <w:sz w:val="20"/>
                <w:szCs w:val="20"/>
                <w:color w:val="auto"/>
              </w:rPr>
            </w:pPr>
            <w:r>
              <w:rPr>
                <w:rFonts w:ascii="Arial" w:cs="Arial" w:eastAsia="Arial" w:hAnsi="Arial"/>
                <w:sz w:val="16"/>
                <w:szCs w:val="16"/>
                <w:color w:val="auto"/>
                <w:w w:val="97"/>
              </w:rPr>
              <w:t>December 31,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Inputs</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9"/>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(Level 2)</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(Level 3)</w:t>
            </w:r>
          </w:p>
        </w:tc>
        <w:tc>
          <w:tcPr>
            <w:tcW w:w="3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(Level 2)</w:t>
            </w: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r>
        <w:trPr>
          <w:trHeight w:val="212"/>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w w:val="96"/>
              </w:rPr>
              <w:t>Deferred compensation plan assets</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119.4</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107.3</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Cross-currency swaps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Foreign currency forward contracts</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24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132.5</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13.1</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117.0</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2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Cross-currency swaps</w:t>
            </w:r>
          </w:p>
        </w:tc>
        <w:tc>
          <w:tcPr>
            <w:tcW w:w="460" w:type="dxa"/>
            <w:vAlign w:val="bottom"/>
            <w:tcBorders>
              <w:bottom w:val="single" w:sz="8" w:color="auto"/>
            </w:tcBorders>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30.5</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2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the fair value of our deferred compensation plan assets, comprised of publicly traded securities, by using market quotes as of the last day of the period.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$1,094.5 and $1,062.5 as of December 31, 2020 and 2019, respectively, compared to a carrying value of $1,159.1 and $1,002.9, respectively.</w:t>
      </w:r>
    </w:p>
    <w:p>
      <w:pPr>
        <w:sectPr>
          <w:pgSz w:w="11900" w:h="16838" w:orient="portrait"/>
          <w:cols w:equalWidth="0" w:num="1">
            <w:col w:w="11240"/>
          </w:cols>
          <w:pgMar w:left="320" w:top="530" w:right="3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had goodwill, finite-lived intangible assets and indefinite-lived intangible assets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w w:val="94"/>
              </w:rPr>
              <w:t>December 31, 2020</w:t>
            </w:r>
          </w:p>
        </w:tc>
      </w:tr>
      <w:tr>
        <w:trPr>
          <w:trHeight w:val="137"/>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line="137" w:lineRule="exact"/>
              <w:rPr>
                <w:sz w:val="20"/>
                <w:szCs w:val="20"/>
                <w:color w:val="auto"/>
              </w:rPr>
            </w:pPr>
            <w:r>
              <w:rPr>
                <w:rFonts w:ascii="Arial" w:cs="Arial" w:eastAsia="Arial" w:hAnsi="Arial"/>
                <w:sz w:val="14"/>
                <w:szCs w:val="14"/>
                <w:color w:val="auto"/>
              </w:rPr>
              <w:t>Accumulated</w:t>
            </w: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3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Gross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Net</w:t>
            </w:r>
          </w:p>
        </w:tc>
      </w:tr>
      <w:tr>
        <w:trPr>
          <w:trHeight w:val="22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1,225.8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1,225.8</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Finite-lived: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8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473.0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403.8</w:t>
            </w:r>
          </w:p>
        </w:tc>
        <w:tc>
          <w:tcPr>
            <w:tcW w:w="4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69.2</w:t>
            </w:r>
          </w:p>
        </w:tc>
      </w:tr>
      <w:tr>
        <w:trPr>
          <w:trHeight w:val="230"/>
        </w:trPr>
        <w:tc>
          <w:tcPr>
            <w:tcW w:w="38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r>
      <w:tr>
        <w:trPr>
          <w:trHeight w:val="223"/>
        </w:trPr>
        <w:tc>
          <w:tcPr>
            <w:tcW w:w="3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494.9</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69.5</w:t>
            </w:r>
          </w:p>
        </w:tc>
      </w:tr>
      <w:tr>
        <w:trPr>
          <w:trHeight w:val="224"/>
        </w:trPr>
        <w:tc>
          <w:tcPr>
            <w:tcW w:w="3820" w:type="dxa"/>
            <w:vAlign w:val="bottom"/>
          </w:tcPr>
          <w:p>
            <w:pPr>
              <w:ind w:left="140"/>
              <w:spacing w:after="0"/>
              <w:rPr>
                <w:sz w:val="20"/>
                <w:szCs w:val="20"/>
                <w:color w:val="auto"/>
              </w:rPr>
            </w:pPr>
            <w:r>
              <w:rPr>
                <w:rFonts w:ascii="Arial" w:cs="Arial" w:eastAsia="Arial" w:hAnsi="Arial"/>
                <w:sz w:val="18"/>
                <w:szCs w:val="18"/>
                <w:color w:val="auto"/>
              </w:rPr>
              <w:t>Indefinite-lived: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w w:val="95"/>
              </w:rPr>
              <w:t>December 31, 2019</w:t>
            </w:r>
          </w:p>
        </w:tc>
      </w:tr>
      <w:tr>
        <w:trPr>
          <w:trHeight w:val="137"/>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Arial" w:cs="Arial" w:eastAsia="Arial" w:hAnsi="Arial"/>
                <w:sz w:val="14"/>
                <w:szCs w:val="14"/>
                <w:color w:val="auto"/>
              </w:rPr>
              <w:t>Accumulated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7"/>
        </w:trPr>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Gross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Net</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1,260.1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1,260.1</w:t>
            </w:r>
          </w:p>
        </w:tc>
      </w:tr>
      <w:tr>
        <w:trPr>
          <w:trHeight w:val="681"/>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375.7</w:t>
            </w:r>
          </w:p>
        </w:tc>
        <w:tc>
          <w:tcPr>
            <w:tcW w:w="4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84.8</w:t>
            </w:r>
          </w:p>
        </w:tc>
      </w:tr>
      <w:tr>
        <w:trPr>
          <w:trHeight w:val="230"/>
        </w:trPr>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7.2</w:t>
            </w:r>
          </w:p>
        </w:tc>
      </w:tr>
      <w:tr>
        <w:trPr>
          <w:trHeight w:val="223"/>
        </w:trPr>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92.0</w:t>
            </w:r>
          </w:p>
        </w:tc>
      </w:tr>
    </w:tbl>
    <w:p>
      <w:pPr>
        <w:spacing w:after="0" w:line="231" w:lineRule="exact"/>
        <w:rPr>
          <w:sz w:val="20"/>
          <w:szCs w:val="20"/>
          <w:color w:val="auto"/>
        </w:rPr>
      </w:pPr>
    </w:p>
    <w:p>
      <w:pPr>
        <w:sectPr>
          <w:pgSz w:w="11900" w:h="16838" w:orient="portrait"/>
          <w:cols w:equalWidth="0" w:num="2">
            <w:col w:w="7440" w:space="120"/>
            <w:col w:w="3680"/>
          </w:cols>
          <w:pgMar w:left="320" w:top="530"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0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52.0</w:t>
            </w:r>
          </w:p>
        </w:tc>
      </w:tr>
      <w:tr>
        <w:trPr>
          <w:trHeight w:val="229"/>
        </w:trPr>
        <w:tc>
          <w:tcPr>
            <w:tcW w:w="30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Reacquired franchise rights</w:t>
            </w:r>
          </w:p>
        </w:tc>
        <w:tc>
          <w:tcPr>
            <w:tcW w:w="10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c>
          <w:tcPr>
            <w:tcW w:w="4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124.6</w:t>
            </w:r>
          </w:p>
        </w:tc>
      </w:tr>
      <w:tr>
        <w:trPr>
          <w:trHeight w:val="223"/>
        </w:trPr>
        <w:tc>
          <w:tcPr>
            <w:tcW w:w="3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176.6</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176.6</w:t>
            </w:r>
          </w:p>
        </w:tc>
      </w:tr>
      <w:tr>
        <w:trPr>
          <w:trHeight w:val="223"/>
        </w:trPr>
        <w:tc>
          <w:tcPr>
            <w:tcW w:w="3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674.0</w:t>
            </w:r>
          </w:p>
        </w:tc>
        <w:tc>
          <w:tcPr>
            <w:tcW w:w="4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425.4</w:t>
            </w:r>
          </w:p>
        </w:tc>
        <w:tc>
          <w:tcPr>
            <w:tcW w:w="4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658.0</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268.6</w:t>
            </w:r>
          </w:p>
        </w:tc>
      </w:tr>
    </w:tbl>
    <w:p>
      <w:pPr>
        <w:spacing w:after="0" w:line="31"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$644.2 and $577.4 as of December 31, 2020 and 2019, respectively.</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Balances were net of accumulated impairment loss of $139.5 as of both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61" w:name="page62"/>
    <w:bookmarkEnd w:id="61"/>
    <w:p>
      <w:pPr>
        <w:ind w:right="60"/>
        <w:spacing w:after="0" w:line="271" w:lineRule="auto"/>
        <w:rPr>
          <w:sz w:val="20"/>
          <w:szCs w:val="20"/>
          <w:color w:val="auto"/>
        </w:rPr>
      </w:pPr>
      <w:r>
        <w:rPr>
          <w:rFonts w:ascii="Arial" w:cs="Arial" w:eastAsia="Arial" w:hAnsi="Arial"/>
          <w:sz w:val="17"/>
          <w:szCs w:val="17"/>
          <w:color w:val="auto"/>
        </w:rPr>
        <w:t>The consolidated amortization expense related to intangibles was $27.2, $29.8 and $35.1 in 2020, 2019 and 2018, respectively. Amortization expense expected in each of the next five years related to acquisitions completed as of December 31, 2020 is as follows: 2021 - $16.8, 2022 - $13.4, 2023 - $10.7, 2024 - $8.4 and 2025 - $6.3. The weighted-average useful lives of the customer relationships and other are approximately 12 and 3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 (See Note 4 to the Consolidated Financial Statements for further information on our acquisition of the remaining controlling interest in Manpower Switzerland.)</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We performed our annual impairment test of our goodwill and indefinite-lived intangible assets during the third quarter of 2020, 2019 and 2018, and determined that there was no impairment of our goodwill or indefinite-lived intangible as a result of our annual tests.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reporting unit was at least 20% in excess of the respective reporting unit’s carrying value with the exception of the United Kingdom and Netherlands reporting units. The United Kingdom reporting unit had a fair value exceeding carrying value of approximately 12%. Key assumptions included in the United Kingdom (Northern Europe Segment) discounted cash flow valuation performed during the third quarter of 2020 were a discount rate of 11.5%, a terminal value revenue growth rate of 1.0%, and a terminal value OUP margin of 3.1%. The Netherlands reporting unit fair value exceeded its carrying value by less than 10%, approximating 3.3%. The Netherlands is part of the Northern Europe Segment. Key assumptions included in the Netherlands discounted cash flow valuation performed during the third quarter of 2020 included a discount rate of 10.9%, a terminal value revenue growth rate of 2.0%, and a terminal value OUP margin of 3.5%. Should the operations of the United Kingdom and Netherlands businesses incur further decreases in the operating results, including declines in profitability and cash flow due to continued deterioration in macroeconomic, industry and market conditions, including uncertainty of the financial impacts from COVID-19, some or all of the recorded goodwill for the Netherlands or United Kingdom reporting units, which were $119.3 and $100.2, respectively, as of December 31, 2020 could be subject to impairment.</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 the fair value of the reporting unit by utilizing an income approach derived from a discounted cash flow methodology. The income approach is developed from management’s forecasted cash flow data. Significant assumptions used in our annual goodwill impairment test during the third quarter of 2020 included: expected future revenue growth rates, operating unit profit (“OUP”) margins, working capital levels, discount rates ranging from 9.1% to 13.5%, and a terminal value multiple. The expected future revenue growth rates and OUP margins were determined after taking into consideration our historical revenue growth rates and OUP margins, our assessment of future market potential, and our expectations of future business performance. We would record a goodwill impairment charge by the amount for which a reporting unit's carrying value exceeds its fair value, not to exceed the carrying amount of the goodwill.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resulted from the ongoing decline and increased uncertainty in the outlook of the manufacturing sector, particularly the automotive sector in Germany, coupled with the significant implications of COVID-19.</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determined that it was more likely than not that the fair value of the Germany reporting unit was below its carrying amount, we performed an interim impairment test on this reporting unit as of June 30, 2020. As a result 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right="40"/>
        <w:spacing w:after="0" w:line="301" w:lineRule="auto"/>
        <w:rPr>
          <w:sz w:val="20"/>
          <w:szCs w:val="20"/>
          <w:color w:val="auto"/>
        </w:rPr>
      </w:pPr>
      <w:r>
        <w:rPr>
          <w:rFonts w:ascii="Arial" w:cs="Arial" w:eastAsia="Arial" w:hAnsi="Arial"/>
          <w:sz w:val="16"/>
          <w:szCs w:val="16"/>
          <w:color w:val="auto"/>
        </w:rPr>
        <w:t>our interim test, we recognized a non-cash impairment loss of $66.8, which resulted in full impairment of the remaining goodwill in the Germany reporting unit.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to its estimated fair value and recognized a non-cash impairment charge loss of $60.2 during the second quarter of 2019.</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during the second quarter of 2019, we recorded a goodwill impairment charge of $3.8 related to our New Zealand operations as a result of it not meeting profitability expectations. The New Zealand reporting unit is included in the APME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 to April 2019, when we acquired the remaining 51% controlling interest in our Swiss franchise to obtain full ownership of the entity, we accounted for our 49% interest in our Swiss franchise under the equity method of accounting. The Swiss franchise maintained an investment portfolio with a market value of $219.9 as of December 31, 2018. The portfolio was comprised of a wide variety of European and United States debt and equity securities and various professionally-managed funds, all of which were classified as available-for-sale, as well as cash and cash equivalents. Since January 1, 2018, upon adoption of the new accounting guidance on financial instruments, we recognized all the changes in fair value on the investment portfolio in the current period earnings. Our share of net unrealized gains and unrealized losses that were determined to be temporary related to these investments was included in accumulated other comprehensive loss, with the offsetting amount increasing or decreasing our investment in the franchise. For the years ended December 31, 2020, 2019 and 2018, realized gains totaled $0.0, $0.3 and $12.7, respectively, and realized losses totaled $0.0, $0.2 and $2.1, respectively. Other-than-temporary impairment amounts were insignificant for 2020, 2019 and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for Internal Use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$19.2 and $7.5 as of December 31, 2020 and 2019, respectively, is included in other assets in the Consolidated Balance Sheets. Amortization expense related to the capitalized software costs was $1.8, $2.0 and $1.5 for 2020,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2020</w:t>
            </w:r>
          </w:p>
        </w:tc>
        <w:tc>
          <w:tcPr>
            <w:tcW w:w="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2019</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4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0.5</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Buildings</w:t>
            </w:r>
          </w:p>
        </w:tc>
        <w:tc>
          <w:tcPr>
            <w:tcW w:w="344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autos</w:t>
            </w:r>
          </w:p>
        </w:tc>
        <w:tc>
          <w:tcPr>
            <w:tcW w:w="3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167.1</w:t>
            </w:r>
          </w:p>
        </w:tc>
        <w:tc>
          <w:tcPr>
            <w:tcW w:w="7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164.8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Computer equipment</w:t>
            </w:r>
          </w:p>
        </w:tc>
        <w:tc>
          <w:tcPr>
            <w:tcW w:w="344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133.8</w:t>
            </w:r>
          </w:p>
        </w:tc>
        <w:tc>
          <w:tcPr>
            <w:tcW w:w="7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130.3</w:t>
            </w:r>
          </w:p>
        </w:tc>
      </w:tr>
      <w:tr>
        <w:trPr>
          <w:trHeight w:val="230"/>
        </w:trPr>
        <w:tc>
          <w:tcPr>
            <w:tcW w:w="4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306.2</w:t>
            </w:r>
          </w:p>
        </w:tc>
        <w:tc>
          <w:tcPr>
            <w:tcW w:w="7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299.7</w:t>
            </w:r>
          </w:p>
        </w:tc>
      </w:tr>
      <w:tr>
        <w:trPr>
          <w:trHeight w:val="223"/>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and equipment</w:t>
            </w:r>
          </w:p>
        </w:tc>
        <w:tc>
          <w:tcPr>
            <w:tcW w:w="3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614.7</w:t>
            </w:r>
          </w:p>
        </w:tc>
        <w:tc>
          <w:tcPr>
            <w:tcW w:w="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605.5</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- 2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spacing w:after="0" w:line="301" w:lineRule="auto"/>
        <w:rPr>
          <w:sz w:val="20"/>
          <w:szCs w:val="20"/>
          <w:color w:val="auto"/>
        </w:rPr>
      </w:pPr>
      <w:r>
        <w:rPr>
          <w:rFonts w:ascii="Arial" w:cs="Arial" w:eastAsia="Arial" w:hAnsi="Arial"/>
          <w:sz w:val="16"/>
          <w:szCs w:val="16"/>
          <w:color w:val="auto"/>
        </w:rPr>
        <w:t>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1, 2019, we adopted the new accounting guidance on leases, which requires a lessee to recognize right-of-use (“ROU”) assets and lease liabilities of the balance sheet for leases with lease terms longer than 12 months. The recognition, measurement and presentation of lease expenses and cash flows depend on the classification by the lessee as a finance or operating lease. Results for reporting periods beginning after January 1, 2019 are presented under the new guidance, while prior periods continue to be reported in accordance with previous accounting guidance. We determined that no cumulative effect adjustment to retained earnings was necessary upon adoption.</w:t>
      </w: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operating leases for real estate, vehicles, and equipment. Our leases have remaining lease terms of 1 month to 11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We have lease agreements with both lease and non-lease components that are treated as a single lease component for all underlying asset classes.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all expenses associated with a lease contract are accounted for as lease expenses.</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elected the package of three practical expedients which lessened the transitional burden of implementing the new guidance. Accordingly, we did not reassess: 1) whether any expired or existing contracts are or contain leases; 2) the lease classification for any expired or existing leases; or 3) the initial direct costs for any existing leases. We have also elected the practical expedient to not separate lease and non-lease components. Lastly, we have elected to apply the short-term lease exception for all underlying asset classes. That is, 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2020, we did not have any material additional operating leases that have not yet commenced.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our non-United States subsidiaries have been translated in accordance with the accounting guidance on foreign currency translation. Under the accounting guidance, 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1, 2018, the Argentina economy was designated as highly-inflationary and was treated as such for accounting purposes starting in the third quarter of 2018.</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Equity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of Directors authorized the repurchase of 6.0 million shares of our common stock in each of August 2019, August 2018 and July 2016. Share repurchases may be made from time to time through a variety of methods, including open market purchases, block transactions, privately negotiated transactions or similar facilities. During 2020, we repurchased a total of 3.4 million shares comprised of 0.8 million shares under the 2018 authorization and 2.6 million shares under the 2019 authorization, at a total cost of $264.7. The repurchases in 2020 occurred within the first quarter and fourth quarter of 2020. In 2019, we repurchased a total of 2.4 million shares at a total cost of $203.0 under the 2018 authorization. In 2018, we repurchased a total of 5.7 million shares, comprised of 2.9 million shares under the 2018 authorization and 2.8 million shares under the 2016 authorization, at a total cost of $500.7. As of December 31, 2020, there were 3.4 million shares remaining authorized for repurchase under the 2019 authorization and no shares remaining authorized for repurchase under either the 2018 or 2016 authorization.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2019 and 2018, the Board of Directors declared total cash dividends of $2.26, $2.18 and $2.02 per share, respectively, resulting in total dividend payments of $129.1, $129.3 and $127.3, respectively.</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$4.7 and $4.9 for 2020 and 2018, respectively, and expense of $1.8 for 2019. The income recorded in 2020 was due to losses in a joint venture in Germany. The income recorded in 2018 was due to a revision in one of our joint venture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the French government passed legislation, Credit d’Impôt pour la Compétitivité et l’Emploi (“CICE”), that provided payroll tax credits based on a percentage of wages paid to employees receiving less than two-and-a-half times the French minimum wage. The payroll tax credit was equal to 4% of eligible wages in 2013, 6% of eligible wages in 2014 to 2016, 7% of eligible wages in 2017, and 6% of eligible wages in 2018. The CICE payroll tax credit was accounted for as a reduction of our cost of services in the period earned. In January 2019, the French government replaced the CICE program with a new subsidy program.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payroll tax credit was creditable against our current French income tax payable, with any remaining amount being paid after three years. Given the amount of our current income taxes payable, we would generally receive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5" w:name="page66"/>
    <w:bookmarkEnd w:id="65"/>
    <w:p>
      <w:pPr>
        <w:jc w:val="both"/>
        <w:spacing w:after="0" w:line="275" w:lineRule="auto"/>
        <w:rPr>
          <w:sz w:val="20"/>
          <w:szCs w:val="20"/>
          <w:color w:val="auto"/>
        </w:rPr>
      </w:pPr>
      <w:r>
        <w:rPr>
          <w:rFonts w:ascii="Arial" w:cs="Arial" w:eastAsia="Arial" w:hAnsi="Arial"/>
          <w:sz w:val="17"/>
          <w:szCs w:val="17"/>
          <w:color w:val="auto"/>
        </w:rPr>
        <w:t>the vast majority of these payroll tax credits after the three-year period. In April 2019 and April 2018, we entered into agreements to sell the credits earned in 2018 and 2017, respectively, for net proceeds of $103.5 (€92.0) and $234.5 (€190.9),respectively, which represented approximately half of the credits earned in 2018 and substantially all the credits earned in 2017. We derecognized these receivables upon the sale as the terms of the agreement were such that the transaction qualified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2020</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loss has been incurred. The new guidance was effective for us as of January 1, 2020. The adoption of this guidance did not have a material impact on our Consolidated Financial Statements.</w:t>
      </w:r>
    </w:p>
    <w:p>
      <w:pPr>
        <w:spacing w:after="0" w:line="21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was effective for us as of January 1, 2020. The adoption of this guidance had no impact on our Consolidated Financial Statements.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was effective for us as of January 1, 2020. The adoption of this guidance had no impact on our Consolidated Financial Statements.</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was effective for us as of January 1, 2020. The adoption of this guidance had no impact on our Consolidated Financial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is effective upon issuance and can be applied to applicable contract modifications through December 31, 2022. We are currently assessing the impact of the transition from LIBOR to alternative reference interest rates. We do not expect a material impact on our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is effective for us as of January 1, 2021. We do not expect the adoption of this guidance to have a material impact on our Consolidated Financial Statements.</w:t>
      </w:r>
    </w:p>
    <w:p>
      <w:pPr>
        <w:spacing w:after="0" w:line="1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is effective for us as of January 1, 2021. We do not expect the adoption of this guidance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6" w:name="page67"/>
    <w:bookmarkEnd w:id="66"/>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Service Types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Staffing and Interim</w:t>
      </w:r>
    </w:p>
    <w:p>
      <w:pPr>
        <w:spacing w:after="0" w:line="185"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185" w:lineRule="exact"/>
        <w:rPr>
          <w:sz w:val="20"/>
          <w:szCs w:val="20"/>
          <w:color w:val="auto"/>
        </w:rPr>
      </w:pPr>
    </w:p>
    <w:p>
      <w:pPr>
        <w:jc w:val="both"/>
        <w:ind w:left="520"/>
        <w:spacing w:after="0" w:line="271"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Permanent Recruitment</w:t>
      </w:r>
    </w:p>
    <w:p>
      <w:pPr>
        <w:spacing w:after="0" w:line="198"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36" w:lineRule="exact"/>
        <w:rPr>
          <w:sz w:val="20"/>
          <w:szCs w:val="20"/>
          <w:color w:val="auto"/>
        </w:rPr>
      </w:pPr>
    </w:p>
    <w:p>
      <w:pPr>
        <w:jc w:val="both"/>
        <w:ind w:left="520"/>
        <w:spacing w:after="0" w:line="289" w:lineRule="auto"/>
        <w:rPr>
          <w:sz w:val="20"/>
          <w:szCs w:val="20"/>
          <w:color w:val="auto"/>
        </w:rPr>
      </w:pPr>
      <w:r>
        <w:rPr>
          <w:rFonts w:ascii="Arial" w:cs="Arial" w:eastAsia="Arial" w:hAnsi="Arial"/>
          <w:sz w:val="16"/>
          <w:szCs w:val="16"/>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spacing w:after="0" w:line="126"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i w:val="1"/>
          <w:iCs w:val="1"/>
          <w:color w:val="auto"/>
        </w:rPr>
        <w:t>Other Services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185" w:lineRule="exact"/>
        <w:rPr>
          <w:sz w:val="20"/>
          <w:szCs w:val="20"/>
          <w:color w:val="auto"/>
        </w:rPr>
      </w:pPr>
    </w:p>
    <w:p>
      <w:pPr>
        <w:jc w:val="both"/>
        <w:ind w:left="920" w:hanging="170"/>
        <w:spacing w:after="0" w:line="254"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2" w:lineRule="exact"/>
        <w:rPr>
          <w:rFonts w:ascii="Arial" w:cs="Arial" w:eastAsia="Arial" w:hAnsi="Arial"/>
          <w:sz w:val="18"/>
          <w:szCs w:val="18"/>
          <w:color w:val="auto"/>
        </w:rPr>
      </w:pPr>
    </w:p>
    <w:p>
      <w:pPr>
        <w:jc w:val="both"/>
        <w:ind w:left="920" w:hanging="197"/>
        <w:spacing w:after="0" w:line="265"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jc w:val="both"/>
        <w:ind w:left="920" w:hanging="197"/>
        <w:spacing w:after="0" w:line="250"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1" w:lineRule="exact"/>
        <w:rPr>
          <w:rFonts w:ascii="Arial" w:cs="Arial" w:eastAsia="Arial" w:hAnsi="Arial"/>
          <w:sz w:val="18"/>
          <w:szCs w:val="18"/>
          <w:color w:val="auto"/>
        </w:rPr>
      </w:pPr>
    </w:p>
    <w:p>
      <w:pPr>
        <w:jc w:val="both"/>
        <w:ind w:left="920" w:hanging="197"/>
        <w:spacing w:after="0" w:line="271" w:lineRule="auto"/>
        <w:tabs>
          <w:tab w:leader="none" w:pos="920" w:val="left"/>
        </w:tabs>
        <w:numPr>
          <w:ilvl w:val="0"/>
          <w:numId w:val="36"/>
        </w:numPr>
        <w:rPr>
          <w:rFonts w:ascii="Arial" w:cs="Arial" w:eastAsia="Arial" w:hAnsi="Arial"/>
          <w:sz w:val="17"/>
          <w:szCs w:val="17"/>
          <w:color w:val="282A32"/>
        </w:rPr>
      </w:pPr>
      <w:r>
        <w:rPr>
          <w:rFonts w:ascii="Arial" w:cs="Arial" w:eastAsia="Arial" w:hAnsi="Arial"/>
          <w:sz w:val="17"/>
          <w:szCs w:val="17"/>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$14.1, $18.4 and $24.1 for the years ended December 31, 2020, 2019 and 2018,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further in Note 14, effective in the first quarter of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223"/>
        </w:trPr>
        <w:tc>
          <w:tcPr>
            <w:tcW w:w="1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137"/>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1"/>
              </w:rPr>
              <w:t>Outcome-</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Based</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7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7"/>
              </w:rPr>
              <w:t>Solutions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76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7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Permanent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76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Permanent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7"/>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color w:val="auto"/>
                <w:w w:val="98"/>
              </w:rPr>
              <w:t>Interim</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Recruitment</w:t>
            </w:r>
          </w:p>
        </w:tc>
        <w:tc>
          <w:tcPr>
            <w:tcW w:w="22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8"/>
              <w:spacing w:after="0"/>
              <w:rPr>
                <w:sz w:val="20"/>
                <w:szCs w:val="20"/>
                <w:color w:val="auto"/>
              </w:rPr>
            </w:pPr>
            <w:r>
              <w:rPr>
                <w:rFonts w:ascii="Arial" w:cs="Arial" w:eastAsia="Arial" w:hAnsi="Arial"/>
                <w:sz w:val="14"/>
                <w:szCs w:val="14"/>
                <w:color w:val="auto"/>
              </w:rPr>
              <w:t>Interim</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Recruitment</w:t>
            </w:r>
          </w:p>
        </w:tc>
        <w:tc>
          <w:tcPr>
            <w:tcW w:w="24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Total</w:t>
            </w:r>
          </w:p>
        </w:tc>
      </w:tr>
      <w:tr>
        <w:trPr>
          <w:trHeight w:val="155"/>
        </w:trPr>
        <w:tc>
          <w:tcPr>
            <w:tcW w:w="1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r>
      <w:tr>
        <w:trPr>
          <w:trHeight w:val="162"/>
        </w:trPr>
        <w:tc>
          <w:tcPr>
            <w:tcW w:w="18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125.3</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2,327.2</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2,186.8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150.7</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98.0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155.1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2,590.6</w:t>
            </w:r>
          </w:p>
        </w:tc>
      </w:tr>
      <w:tr>
        <w:trPr>
          <w:trHeight w:val="162"/>
        </w:trPr>
        <w:tc>
          <w:tcPr>
            <w:tcW w:w="1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1,393.0</w:t>
            </w: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41.8</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17.8</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12.6</w:t>
            </w: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1,465.2</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1,596.6</w:t>
            </w: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53.0</w:t>
            </w: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25.4</w:t>
            </w:r>
          </w:p>
        </w:tc>
        <w:tc>
          <w:tcPr>
            <w:tcW w:w="2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13.0</w:t>
            </w: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1,688.0</w:t>
            </w:r>
          </w:p>
        </w:tc>
      </w:tr>
      <w:tr>
        <w:trPr>
          <w:trHeight w:val="155"/>
        </w:trPr>
        <w:tc>
          <w:tcPr>
            <w:tcW w:w="18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3,335.9</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167.1</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106.2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183.2</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3,792.4</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3,783.4</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203.7</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123.4</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168.1</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4,278.6</w:t>
            </w:r>
          </w:p>
        </w:tc>
      </w:tr>
      <w:tr>
        <w:trPr>
          <w:trHeight w:val="156"/>
        </w:trPr>
        <w:tc>
          <w:tcPr>
            <w:tcW w:w="1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62"/>
        </w:trPr>
        <w:tc>
          <w:tcPr>
            <w:tcW w:w="1820" w:type="dxa"/>
            <w:vAlign w:val="bottom"/>
          </w:tcPr>
          <w:p>
            <w:pPr>
              <w:ind w:left="2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3,985.6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295.7</w:t>
            </w:r>
          </w:p>
        </w:tc>
        <w:tc>
          <w:tcPr>
            <w:tcW w:w="2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4,338.1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5,159.5</w:t>
            </w:r>
          </w:p>
        </w:tc>
        <w:tc>
          <w:tcPr>
            <w:tcW w:w="1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237.8</w:t>
            </w:r>
          </w:p>
        </w:tc>
        <w:tc>
          <w:tcPr>
            <w:tcW w:w="2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52.1</w:t>
            </w:r>
          </w:p>
        </w:tc>
        <w:tc>
          <w:tcPr>
            <w:tcW w:w="2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5,479.6</w:t>
            </w:r>
          </w:p>
        </w:tc>
      </w:tr>
      <w:tr>
        <w:trPr>
          <w:trHeight w:val="162"/>
        </w:trPr>
        <w:tc>
          <w:tcPr>
            <w:tcW w:w="1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1,296.7</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30.1</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27.0</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1,370.7</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1,401.9</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45.5</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37.6</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23.3</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1,508.3</w:t>
            </w:r>
          </w:p>
        </w:tc>
      </w:tr>
      <w:tr>
        <w:trPr>
          <w:trHeight w:val="162"/>
        </w:trPr>
        <w:tc>
          <w:tcPr>
            <w:tcW w:w="1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1,752.0</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341.5</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2,146.4</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1,800.7</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333.8</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2,206.5</w:t>
            </w:r>
          </w:p>
        </w:tc>
      </w:tr>
      <w:tr>
        <w:trPr>
          <w:trHeight w:val="156"/>
        </w:trPr>
        <w:tc>
          <w:tcPr>
            <w:tcW w:w="18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7,034.3</w:t>
            </w: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667.3</w:t>
            </w: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106.6</w:t>
            </w:r>
          </w:p>
        </w:tc>
        <w:tc>
          <w:tcPr>
            <w:tcW w:w="2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47.0</w:t>
            </w:r>
          </w:p>
        </w:tc>
        <w:tc>
          <w:tcPr>
            <w:tcW w:w="1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7,855.2</w:t>
            </w: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8,362.1</w:t>
            </w:r>
          </w:p>
        </w:tc>
        <w:tc>
          <w:tcPr>
            <w:tcW w:w="1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617.1</w:t>
            </w:r>
          </w:p>
        </w:tc>
        <w:tc>
          <w:tcPr>
            <w:tcW w:w="2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148.6</w:t>
            </w:r>
          </w:p>
        </w:tc>
        <w:tc>
          <w:tcPr>
            <w:tcW w:w="2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66.6</w:t>
            </w:r>
          </w:p>
        </w:tc>
        <w:tc>
          <w:tcPr>
            <w:tcW w:w="2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9,194.4</w:t>
            </w:r>
          </w:p>
        </w:tc>
      </w:tr>
      <w:tr>
        <w:trPr>
          <w:trHeight w:val="155"/>
        </w:trPr>
        <w:tc>
          <w:tcPr>
            <w:tcW w:w="18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7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3,545.7</w:t>
            </w:r>
          </w:p>
        </w:tc>
        <w:tc>
          <w:tcPr>
            <w:tcW w:w="18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264.9</w:t>
            </w:r>
          </w:p>
        </w:tc>
        <w:tc>
          <w:tcPr>
            <w:tcW w:w="240" w:type="dxa"/>
            <w:vAlign w:val="bottom"/>
          </w:tcPr>
          <w:p>
            <w:pPr>
              <w:spacing w:after="0"/>
              <w:rPr>
                <w:sz w:val="13"/>
                <w:szCs w:val="13"/>
                <w:color w:val="auto"/>
              </w:rPr>
            </w:pPr>
          </w:p>
        </w:tc>
        <w:tc>
          <w:tcPr>
            <w:tcW w:w="7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100.3</w:t>
            </w:r>
          </w:p>
        </w:tc>
        <w:tc>
          <w:tcPr>
            <w:tcW w:w="220" w:type="dxa"/>
            <w:vAlign w:val="bottom"/>
          </w:tcPr>
          <w:p>
            <w:pPr>
              <w:spacing w:after="0"/>
              <w:rPr>
                <w:sz w:val="13"/>
                <w:szCs w:val="13"/>
                <w:color w:val="auto"/>
              </w:rPr>
            </w:pPr>
          </w:p>
        </w:tc>
        <w:tc>
          <w:tcPr>
            <w:tcW w:w="7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65.8</w:t>
            </w:r>
          </w:p>
        </w:tc>
        <w:tc>
          <w:tcPr>
            <w:tcW w:w="16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3,976.7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8"/>
              <w:spacing w:after="0" w:line="155" w:lineRule="exact"/>
              <w:rPr>
                <w:sz w:val="20"/>
                <w:szCs w:val="20"/>
                <w:color w:val="auto"/>
              </w:rPr>
            </w:pPr>
            <w:r>
              <w:rPr>
                <w:rFonts w:ascii="Arial" w:cs="Arial" w:eastAsia="Arial" w:hAnsi="Arial"/>
                <w:sz w:val="14"/>
                <w:szCs w:val="14"/>
                <w:color w:val="auto"/>
              </w:rPr>
              <w:t>4,180.9</w:t>
            </w:r>
          </w:p>
        </w:tc>
        <w:tc>
          <w:tcPr>
            <w:tcW w:w="18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339.9</w:t>
            </w:r>
          </w:p>
        </w:tc>
        <w:tc>
          <w:tcPr>
            <w:tcW w:w="260" w:type="dxa"/>
            <w:vAlign w:val="bottom"/>
          </w:tcPr>
          <w:p>
            <w:pPr>
              <w:spacing w:after="0"/>
              <w:rPr>
                <w:sz w:val="13"/>
                <w:szCs w:val="13"/>
                <w:color w:val="auto"/>
              </w:rPr>
            </w:pPr>
          </w:p>
        </w:tc>
        <w:tc>
          <w:tcPr>
            <w:tcW w:w="6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145.6</w:t>
            </w:r>
          </w:p>
        </w:tc>
        <w:tc>
          <w:tcPr>
            <w:tcW w:w="24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69.1</w:t>
            </w:r>
          </w:p>
        </w:tc>
        <w:tc>
          <w:tcPr>
            <w:tcW w:w="24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4,735.5</w:t>
            </w:r>
          </w:p>
        </w:tc>
      </w:tr>
      <w:tr>
        <w:trPr>
          <w:trHeight w:val="162"/>
        </w:trPr>
        <w:tc>
          <w:tcPr>
            <w:tcW w:w="18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1,876.3</w:t>
            </w: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340.7</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121.6</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38.1</w:t>
            </w:r>
          </w:p>
        </w:tc>
        <w:tc>
          <w:tcPr>
            <w:tcW w:w="1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2,376.7</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2,159.7</w:t>
            </w: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301.7</w:t>
            </w: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159.9</w:t>
            </w:r>
          </w:p>
        </w:tc>
        <w:tc>
          <w:tcPr>
            <w:tcW w:w="2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33.7</w:t>
            </w:r>
          </w:p>
        </w:tc>
        <w:tc>
          <w:tcPr>
            <w:tcW w:w="2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2,655.0</w:t>
            </w:r>
          </w:p>
        </w:tc>
      </w:tr>
      <w:tr>
        <w:trPr>
          <w:trHeight w:val="155"/>
        </w:trPr>
        <w:tc>
          <w:tcPr>
            <w:tcW w:w="18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15,792.2</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1,440.0</w:t>
            </w:r>
          </w:p>
        </w:tc>
        <w:tc>
          <w:tcPr>
            <w:tcW w:w="2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434.7</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334.1</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18,001.0</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18,486.1</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1,462.4</w:t>
            </w:r>
          </w:p>
        </w:tc>
        <w:tc>
          <w:tcPr>
            <w:tcW w:w="2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577.5</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337.5</w:t>
            </w:r>
          </w:p>
        </w:tc>
        <w:tc>
          <w:tcPr>
            <w:tcW w:w="2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20,863.5</w:t>
            </w:r>
          </w:p>
        </w:tc>
      </w:tr>
      <w:tr>
        <w:trPr>
          <w:trHeight w:val="20"/>
        </w:trPr>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89"/>
              </w:rPr>
              <w:t>Services</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3"/>
              </w:rPr>
              <w:t>Services</w:t>
            </w:r>
          </w:p>
        </w:tc>
        <w:tc>
          <w:tcPr>
            <w:tcW w:w="22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9"/>
              </w:rPr>
              <w:t>Services</w:t>
            </w:r>
          </w:p>
        </w:tc>
        <w:tc>
          <w:tcPr>
            <w:tcW w:w="22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1"/>
              </w:rPr>
              <w:t>transferred</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transferred</w:t>
            </w:r>
          </w:p>
        </w:tc>
        <w:tc>
          <w:tcPr>
            <w:tcW w:w="22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transferred</w:t>
            </w:r>
          </w:p>
        </w:tc>
        <w:tc>
          <w:tcPr>
            <w:tcW w:w="22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0"/>
              </w:rPr>
              <w:t>at a point</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20" w:type="dxa"/>
            <w:vAlign w:val="bottom"/>
            <w:vMerge w:val="restart"/>
          </w:tcPr>
          <w:p>
            <w:pPr>
              <w:spacing w:after="0"/>
              <w:rPr>
                <w:sz w:val="20"/>
                <w:szCs w:val="20"/>
                <w:color w:val="auto"/>
              </w:rPr>
            </w:pPr>
            <w:r>
              <w:rPr>
                <w:rFonts w:ascii="Arial" w:cs="Arial" w:eastAsia="Arial" w:hAnsi="Arial"/>
                <w:sz w:val="14"/>
                <w:szCs w:val="14"/>
                <w:color w:val="auto"/>
              </w:rPr>
              <w:t>Americas:</w:t>
            </w:r>
          </w:p>
        </w:tc>
        <w:tc>
          <w:tcPr>
            <w:tcW w:w="1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3"/>
              </w:rPr>
              <w:t>over time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6"/>
              </w:rPr>
              <w:t>in time</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7"/>
              </w:rPr>
              <w:t>over time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in time</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92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United States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2,281.7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45.5</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2,327.2</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2,536.7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53.9</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2,590.6</w:t>
            </w:r>
          </w:p>
        </w:tc>
        <w:tc>
          <w:tcPr>
            <w:tcW w:w="0" w:type="dxa"/>
            <w:vAlign w:val="bottom"/>
          </w:tcPr>
          <w:p>
            <w:pPr>
              <w:spacing w:after="0"/>
              <w:rPr>
                <w:sz w:val="1"/>
                <w:szCs w:val="1"/>
                <w:color w:val="auto"/>
              </w:rPr>
            </w:pPr>
          </w:p>
        </w:tc>
      </w:tr>
      <w:tr>
        <w:trPr>
          <w:trHeight w:val="162"/>
        </w:trPr>
        <w:tc>
          <w:tcPr>
            <w:tcW w:w="29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Americas</w:t>
            </w:r>
          </w:p>
        </w:tc>
        <w:tc>
          <w:tcPr>
            <w:tcW w:w="1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1,453.6</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1,465.2</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1,670.6</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1,688.0</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3,735.3</w:t>
            </w:r>
          </w:p>
        </w:tc>
        <w:tc>
          <w:tcPr>
            <w:tcW w:w="2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57.1</w:t>
            </w: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3,792.4</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4,207.3</w:t>
            </w:r>
          </w:p>
        </w:tc>
        <w:tc>
          <w:tcPr>
            <w:tcW w:w="2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71.3</w:t>
            </w:r>
          </w:p>
        </w:tc>
        <w:tc>
          <w:tcPr>
            <w:tcW w:w="3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4,278.6</w:t>
            </w: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France</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4,301.8</w:t>
            </w: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36.3</w:t>
            </w: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4,338.1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5,430.7</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48.9</w:t>
            </w: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5,479.6</w:t>
            </w:r>
          </w:p>
        </w:tc>
        <w:tc>
          <w:tcPr>
            <w:tcW w:w="0" w:type="dxa"/>
            <w:vAlign w:val="bottom"/>
          </w:tcPr>
          <w:p>
            <w:pPr>
              <w:spacing w:after="0"/>
              <w:rPr>
                <w:sz w:val="1"/>
                <w:szCs w:val="1"/>
                <w:color w:val="auto"/>
              </w:rPr>
            </w:pPr>
          </w:p>
        </w:tc>
      </w:tr>
      <w:tr>
        <w:trPr>
          <w:trHeight w:val="162"/>
        </w:trPr>
        <w:tc>
          <w:tcPr>
            <w:tcW w:w="2920" w:type="dxa"/>
            <w:vAlign w:val="bottom"/>
          </w:tcPr>
          <w:p>
            <w:pPr>
              <w:ind w:left="260"/>
              <w:spacing w:after="0"/>
              <w:rPr>
                <w:sz w:val="20"/>
                <w:szCs w:val="20"/>
                <w:color w:val="auto"/>
              </w:rPr>
            </w:pPr>
            <w:r>
              <w:rPr>
                <w:rFonts w:ascii="Arial" w:cs="Arial" w:eastAsia="Arial" w:hAnsi="Arial"/>
                <w:sz w:val="14"/>
                <w:szCs w:val="14"/>
                <w:color w:val="auto"/>
              </w:rPr>
              <w:t>Italy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1,345.4</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28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1,370.7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1,473.6</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3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1,508.3</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Southern Europe</w:t>
            </w:r>
          </w:p>
        </w:tc>
        <w:tc>
          <w:tcPr>
            <w:tcW w:w="13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2,113.0</w:t>
            </w:r>
          </w:p>
        </w:tc>
        <w:tc>
          <w:tcPr>
            <w:tcW w:w="2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33.4</w:t>
            </w:r>
          </w:p>
        </w:tc>
        <w:tc>
          <w:tcPr>
            <w:tcW w:w="2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2,146.4</w:t>
            </w: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2,157.7</w:t>
            </w: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48.8</w:t>
            </w:r>
          </w:p>
        </w:tc>
        <w:tc>
          <w:tcPr>
            <w:tcW w:w="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2,206.5</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7,760.2</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95.0</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7,855.2</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9,062.0</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132.4</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9,194.4</w:t>
            </w: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Northern Europe</w:t>
            </w: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3,889.2</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87.5</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3,976.7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4,608.7</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126.8</w:t>
            </w: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4,735.5</w:t>
            </w:r>
          </w:p>
        </w:tc>
        <w:tc>
          <w:tcPr>
            <w:tcW w:w="0" w:type="dxa"/>
            <w:vAlign w:val="bottom"/>
          </w:tcPr>
          <w:p>
            <w:pPr>
              <w:spacing w:after="0"/>
              <w:rPr>
                <w:sz w:val="1"/>
                <w:szCs w:val="1"/>
                <w:color w:val="auto"/>
              </w:rPr>
            </w:pPr>
          </w:p>
        </w:tc>
      </w:tr>
      <w:tr>
        <w:trPr>
          <w:trHeight w:val="162"/>
        </w:trPr>
        <w:tc>
          <w:tcPr>
            <w:tcW w:w="2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APME</w:t>
            </w:r>
          </w:p>
        </w:tc>
        <w:tc>
          <w:tcPr>
            <w:tcW w:w="1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2,310.0</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2,376.7</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2,554.1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2,655.0</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3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17,694.7</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306.3</w:t>
            </w:r>
          </w:p>
        </w:tc>
        <w:tc>
          <w:tcPr>
            <w:tcW w:w="2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18,001.0</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20,432.1</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431.4</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20,863.5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sectPr>
      </w:pPr>
    </w:p>
    <w:bookmarkStart w:id="69" w:name="page70"/>
    <w:bookmarkEnd w:id="69"/>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2019 and 2018, we recognized $24.2, $26.3 and $27.8, respectively, in share-based compensation expense related to stock options, deferred stock, restricted stock and performance share units, all of which is recorded in selling and administrative expenses. Consideration received from share-based awards for 2020, 2019 and 2018 was $7.4, $7.0 and $5.2, respectively. The total income tax benefit recognized related to share-based compensation during 2020, 2019 and 2018 was $1.7, $1.8 and $4.5, respectively. We recognize compensation expense on grants of share-based compensation awards on a straight-line basis over the vesting period of each award.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share-based compensation is granted under the 2011 Equity Incentive Plan of ManpowerGroup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2020 or 2019. A summary of stock option activity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Wtd. Avg.</w:t>
            </w:r>
          </w:p>
        </w:tc>
        <w:tc>
          <w:tcPr>
            <w:tcW w:w="11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Wtd. Avg.</w:t>
            </w:r>
          </w:p>
        </w:tc>
        <w:tc>
          <w:tcPr>
            <w:tcW w:w="1060" w:type="dxa"/>
            <w:vAlign w:val="bottom"/>
          </w:tcPr>
          <w:p>
            <w:pPr>
              <w:jc w:val="right"/>
              <w:spacing w:after="0"/>
              <w:rPr>
                <w:sz w:val="20"/>
                <w:szCs w:val="20"/>
                <w:color w:val="auto"/>
              </w:rPr>
            </w:pPr>
            <w:r>
              <w:rPr>
                <w:rFonts w:ascii="Arial" w:cs="Arial" w:eastAsia="Arial" w:hAnsi="Arial"/>
                <w:sz w:val="18"/>
                <w:szCs w:val="18"/>
                <w:color w:val="auto"/>
              </w:rPr>
              <w:t>Remaining</w:t>
            </w:r>
          </w:p>
        </w:tc>
        <w:tc>
          <w:tcPr>
            <w:tcW w:w="1120" w:type="dxa"/>
            <w:vAlign w:val="bottom"/>
          </w:tcPr>
          <w:p>
            <w:pPr>
              <w:jc w:val="right"/>
              <w:spacing w:after="0"/>
              <w:rPr>
                <w:sz w:val="20"/>
                <w:szCs w:val="20"/>
                <w:color w:val="auto"/>
              </w:rPr>
            </w:pPr>
            <w:r>
              <w:rPr>
                <w:rFonts w:ascii="Arial" w:cs="Arial" w:eastAsia="Arial" w:hAnsi="Arial"/>
                <w:sz w:val="18"/>
                <w:szCs w:val="18"/>
                <w:color w:val="auto"/>
              </w:rPr>
              <w:t>Aggregate</w:t>
            </w:r>
          </w:p>
        </w:tc>
      </w:tr>
      <w:tr>
        <w:trPr>
          <w:trHeight w:val="216"/>
        </w:trPr>
        <w:tc>
          <w:tcPr>
            <w:tcW w:w="4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Exercise Price</w:t>
            </w:r>
          </w:p>
        </w:tc>
        <w:tc>
          <w:tcPr>
            <w:tcW w:w="1060" w:type="dxa"/>
            <w:vAlign w:val="bottom"/>
          </w:tcPr>
          <w:p>
            <w:pPr>
              <w:jc w:val="right"/>
              <w:spacing w:after="0"/>
              <w:rPr>
                <w:sz w:val="20"/>
                <w:szCs w:val="20"/>
                <w:color w:val="auto"/>
              </w:rPr>
            </w:pPr>
            <w:r>
              <w:rPr>
                <w:rFonts w:ascii="Arial" w:cs="Arial" w:eastAsia="Arial" w:hAnsi="Arial"/>
                <w:sz w:val="18"/>
                <w:szCs w:val="18"/>
                <w:color w:val="auto"/>
              </w:rPr>
              <w:t>Contractual</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Intrinsic Value</w:t>
            </w:r>
          </w:p>
        </w:tc>
      </w:tr>
      <w:tr>
        <w:trPr>
          <w:trHeight w:val="230"/>
        </w:trPr>
        <w:tc>
          <w:tcPr>
            <w:tcW w:w="46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Shares (000)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Per Share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Term (years)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3240" w:type="dxa"/>
            <w:vAlign w:val="bottom"/>
          </w:tcPr>
          <w:p>
            <w:pPr>
              <w:jc w:val="right"/>
              <w:spacing w:after="0"/>
              <w:rPr>
                <w:sz w:val="20"/>
                <w:szCs w:val="20"/>
                <w:color w:val="auto"/>
              </w:rPr>
            </w:pPr>
            <w:r>
              <w:rPr>
                <w:rFonts w:ascii="Arial" w:cs="Arial" w:eastAsia="Arial" w:hAnsi="Arial"/>
                <w:sz w:val="18"/>
                <w:szCs w:val="18"/>
                <w:color w:val="auto"/>
              </w:rPr>
              <w:t>122</w:t>
            </w: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Expired or cancelled</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3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2018</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January 1, 2019</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3240" w:type="dxa"/>
            <w:vAlign w:val="bottom"/>
          </w:tcPr>
          <w:p>
            <w:pPr>
              <w:jc w:val="right"/>
              <w:spacing w:after="0"/>
              <w:rPr>
                <w:sz w:val="20"/>
                <w:szCs w:val="20"/>
                <w:color w:val="auto"/>
              </w:rPr>
            </w:pPr>
            <w:r>
              <w:rPr>
                <w:rFonts w:ascii="Arial" w:cs="Arial" w:eastAsia="Arial" w:hAnsi="Arial"/>
                <w:sz w:val="18"/>
                <w:szCs w:val="18"/>
                <w:color w:val="auto"/>
              </w:rPr>
              <w:t>174</w:t>
            </w: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Expired or cancelled</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3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2019</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3240" w:type="dxa"/>
            <w:vAlign w:val="bottom"/>
          </w:tcPr>
          <w:p>
            <w:pPr>
              <w:jc w:val="right"/>
              <w:spacing w:after="0"/>
              <w:rPr>
                <w:sz w:val="20"/>
                <w:szCs w:val="20"/>
                <w:color w:val="auto"/>
              </w:rPr>
            </w:pPr>
            <w:r>
              <w:rPr>
                <w:rFonts w:ascii="Arial" w:cs="Arial" w:eastAsia="Arial" w:hAnsi="Arial"/>
                <w:sz w:val="18"/>
                <w:szCs w:val="18"/>
                <w:color w:val="auto"/>
              </w:rPr>
              <w:t>156</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3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Expired or cancelled</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2020</w:t>
            </w:r>
          </w:p>
        </w:tc>
        <w:tc>
          <w:tcPr>
            <w:tcW w:w="3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2020</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w w:val="91"/>
              </w:rPr>
              <w:t>Options outstanding and exercisable as of December 31, 2020 were as follows:</w:t>
            </w: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gridSpan w:val="3"/>
          </w:tcPr>
          <w:p>
            <w:pPr>
              <w:jc w:val="right"/>
              <w:ind w:right="80"/>
              <w:spacing w:after="0"/>
              <w:rPr>
                <w:sz w:val="20"/>
                <w:szCs w:val="20"/>
                <w:color w:val="auto"/>
              </w:rPr>
            </w:pPr>
            <w:r>
              <w:rPr>
                <w:rFonts w:ascii="Arial" w:cs="Arial" w:eastAsia="Arial" w:hAnsi="Arial"/>
                <w:sz w:val="18"/>
                <w:szCs w:val="18"/>
                <w:color w:val="auto"/>
              </w:rPr>
              <w:t>Options Outstanding</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Options Exercisable</w:t>
            </w:r>
          </w:p>
        </w:tc>
      </w:tr>
      <w:tr>
        <w:trPr>
          <w:trHeight w:val="209"/>
        </w:trPr>
        <w:tc>
          <w:tcPr>
            <w:tcW w:w="5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Weighted-</w:t>
            </w: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Average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Weighted-</w:t>
            </w: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Weighted-</w:t>
            </w: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Remaining</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Average</w:t>
            </w: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Average</w:t>
            </w: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w w:val="99"/>
              </w:rPr>
              <w:t>Contractual</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Exercise</w:t>
            </w:r>
          </w:p>
        </w:tc>
        <w:tc>
          <w:tcPr>
            <w:tcW w:w="1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Exercise</w:t>
            </w:r>
          </w:p>
        </w:tc>
      </w:tr>
      <w:tr>
        <w:trPr>
          <w:trHeight w:val="230"/>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Exercise Price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Shares (000)</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Life (years)</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Price</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Shares (000)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$75-$79</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208</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208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$80-$89</w:t>
            </w:r>
          </w:p>
        </w:tc>
        <w:tc>
          <w:tcPr>
            <w:tcW w:w="1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$90-$99</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287</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$100-$123</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56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788</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455</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r>
    </w:tbl>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recognized expense of $3.3, $4.0 and $4.0 related to stock options for the years ended December 31, 2020, 2019 and 2018, respectively. The total fair value of options vested during the same periods was $2.3, $2.3 and $3.1, respectively. As of December 31, 2020, total unrecognized compensation cost was approximately $2.0, net of estimated forfeitures, which we expect to recognize over a weighted-average period of approximately 1 year.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estimated the fair value of each stock option on the date of grant using the Black-Scholes option pricing model and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37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37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1.5%</w:t>
            </w:r>
          </w:p>
        </w:tc>
        <w:tc>
          <w:tcPr>
            <w:tcW w:w="16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0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2.9%</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7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27.0%</w:t>
            </w:r>
          </w:p>
        </w:tc>
        <w:tc>
          <w:tcPr>
            <w:tcW w:w="16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27.0%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term (years)</w:t>
            </w:r>
          </w:p>
        </w:tc>
        <w:tc>
          <w:tcPr>
            <w:tcW w:w="37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average risk-free interest rate is based on United States Treasury security rates corresponding to the expected term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$18.95, $17.78 and $31.46 in 2020, 2019 and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2020, 2019 and 2018, there were 1,432, 1,275 and 5,551, respectively, shares of deferred stock awarded under this arrangement, all of which are vested.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During 2020, 2019 and 2018, there were 11,004, 18,172 and 10,152, respectively, shares of deferred stock and 7,208, 7,407 and 6,345, respectively, shares of restricted stock granted under this arrangement, all of which are vested except for 1,666 shares of restricted stock granted in 2018 that were cancelled. We recognized expense of $1.3, $1.4 and $1.9 related to deferred stock in 2020, 2019 and 2018,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Restricted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 summary of restricted stock activity is as follows:</w:t>
            </w:r>
          </w:p>
        </w:tc>
        <w:tc>
          <w:tcPr>
            <w:tcW w:w="1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5"/>
        </w:trPr>
        <w:tc>
          <w:tcPr>
            <w:tcW w:w="4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Wtd. Avg.</w:t>
            </w:r>
          </w:p>
        </w:tc>
        <w:tc>
          <w:tcPr>
            <w:tcW w:w="14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Remaining</w:t>
            </w:r>
          </w:p>
        </w:tc>
        <w:tc>
          <w:tcPr>
            <w:tcW w:w="1400" w:type="dxa"/>
            <w:vAlign w:val="bottom"/>
          </w:tcPr>
          <w:p>
            <w:pPr>
              <w:jc w:val="right"/>
              <w:spacing w:after="0"/>
              <w:rPr>
                <w:sz w:val="20"/>
                <w:szCs w:val="20"/>
                <w:color w:val="auto"/>
              </w:rPr>
            </w:pPr>
            <w:r>
              <w:rPr>
                <w:rFonts w:ascii="Arial" w:cs="Arial" w:eastAsia="Arial" w:hAnsi="Arial"/>
                <w:sz w:val="18"/>
                <w:szCs w:val="18"/>
                <w:color w:val="auto"/>
              </w:rPr>
              <w:t>Aggregate</w:t>
            </w:r>
          </w:p>
        </w:tc>
      </w:tr>
      <w:tr>
        <w:trPr>
          <w:trHeight w:val="216"/>
        </w:trPr>
        <w:tc>
          <w:tcPr>
            <w:tcW w:w="4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Wtd. Avg.</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Contractual</w:t>
            </w:r>
          </w:p>
        </w:tc>
        <w:tc>
          <w:tcPr>
            <w:tcW w:w="1400" w:type="dxa"/>
            <w:vAlign w:val="bottom"/>
          </w:tcPr>
          <w:p>
            <w:pPr>
              <w:jc w:val="right"/>
              <w:spacing w:after="0"/>
              <w:rPr>
                <w:sz w:val="20"/>
                <w:szCs w:val="20"/>
                <w:color w:val="auto"/>
              </w:rPr>
            </w:pPr>
            <w:r>
              <w:rPr>
                <w:rFonts w:ascii="Arial" w:cs="Arial" w:eastAsia="Arial" w:hAnsi="Arial"/>
                <w:sz w:val="18"/>
                <w:szCs w:val="18"/>
                <w:color w:val="auto"/>
              </w:rPr>
              <w:t>Intrinsic Value</w:t>
            </w:r>
          </w:p>
        </w:tc>
      </w:tr>
      <w:tr>
        <w:trPr>
          <w:trHeight w:val="230"/>
        </w:trPr>
        <w:tc>
          <w:tcPr>
            <w:tcW w:w="4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 (000)</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Price Per Share</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Term (years)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Unvested, January 1, 2018</w:t>
            </w:r>
          </w:p>
        </w:tc>
        <w:tc>
          <w:tcPr>
            <w:tcW w:w="19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448</w:t>
            </w:r>
          </w:p>
        </w:tc>
        <w:tc>
          <w:tcPr>
            <w:tcW w:w="1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$77</w:t>
            </w:r>
          </w:p>
        </w:tc>
        <w:tc>
          <w:tcPr>
            <w:tcW w:w="16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1.2</w:t>
            </w:r>
          </w:p>
        </w:tc>
        <w:tc>
          <w:tcPr>
            <w:tcW w:w="1400" w:type="dxa"/>
            <w:vAlign w:val="bottom"/>
            <w:shd w:val="clear" w:color="auto" w:fill="CFF0FC"/>
          </w:tcPr>
          <w:p>
            <w:pPr>
              <w:spacing w:after="0"/>
              <w:rPr>
                <w:sz w:val="19"/>
                <w:szCs w:val="19"/>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145</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119</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(174)</w:t>
            </w:r>
          </w:p>
        </w:tc>
        <w:tc>
          <w:tcPr>
            <w:tcW w:w="1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77</w:t>
            </w:r>
          </w:p>
        </w:tc>
        <w:tc>
          <w:tcPr>
            <w:tcW w:w="16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89</w:t>
            </w:r>
          </w:p>
        </w:tc>
        <w:tc>
          <w:tcPr>
            <w:tcW w:w="1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2018</w:t>
            </w:r>
          </w:p>
        </w:tc>
        <w:tc>
          <w:tcPr>
            <w:tcW w:w="19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396</w:t>
            </w:r>
          </w:p>
        </w:tc>
        <w:tc>
          <w:tcPr>
            <w:tcW w:w="18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$92</w:t>
            </w:r>
          </w:p>
        </w:tc>
        <w:tc>
          <w:tcPr>
            <w:tcW w:w="16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1.3</w:t>
            </w:r>
          </w:p>
        </w:tc>
        <w:tc>
          <w:tcPr>
            <w:tcW w:w="1400" w:type="dxa"/>
            <w:vAlign w:val="bottom"/>
            <w:tcBorders>
              <w:bottom w:val="single" w:sz="8" w:color="auto"/>
            </w:tcBorders>
            <w:shd w:val="clear" w:color="auto" w:fill="CFF0FC"/>
          </w:tcPr>
          <w:p>
            <w:pPr>
              <w:spacing w:after="0"/>
              <w:rPr>
                <w:sz w:val="19"/>
                <w:szCs w:val="19"/>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236</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$84</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(150)</w:t>
            </w:r>
          </w:p>
        </w:tc>
        <w:tc>
          <w:tcPr>
            <w:tcW w:w="1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76</w:t>
            </w:r>
          </w:p>
        </w:tc>
        <w:tc>
          <w:tcPr>
            <w:tcW w:w="16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93</w:t>
            </w:r>
          </w:p>
        </w:tc>
        <w:tc>
          <w:tcPr>
            <w:tcW w:w="1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2019</w:t>
            </w:r>
          </w:p>
        </w:tc>
        <w:tc>
          <w:tcPr>
            <w:tcW w:w="19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446</w:t>
            </w:r>
          </w:p>
        </w:tc>
        <w:tc>
          <w:tcPr>
            <w:tcW w:w="18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$97</w:t>
            </w:r>
          </w:p>
        </w:tc>
        <w:tc>
          <w:tcPr>
            <w:tcW w:w="16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auto"/>
            </w:tcBorders>
            <w:shd w:val="clear" w:color="auto" w:fill="CFF0FC"/>
          </w:tcPr>
          <w:p>
            <w:pPr>
              <w:spacing w:after="0"/>
              <w:rPr>
                <w:sz w:val="19"/>
                <w:szCs w:val="19"/>
                <w:color w:val="auto"/>
              </w:rPr>
            </w:pPr>
          </w:p>
        </w:tc>
      </w:tr>
      <w:tr>
        <w:trPr>
          <w:trHeight w:val="223"/>
        </w:trPr>
        <w:tc>
          <w:tcPr>
            <w:tcW w:w="4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200</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$92</w:t>
            </w:r>
          </w:p>
        </w:tc>
        <w:tc>
          <w:tcPr>
            <w:tcW w:w="16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(145)</w:t>
            </w:r>
          </w:p>
        </w:tc>
        <w:tc>
          <w:tcPr>
            <w:tcW w:w="1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95</w:t>
            </w:r>
          </w:p>
        </w:tc>
        <w:tc>
          <w:tcPr>
            <w:tcW w:w="16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93</w:t>
            </w:r>
          </w:p>
        </w:tc>
        <w:tc>
          <w:tcPr>
            <w:tcW w:w="1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Unvested, December 31, 2020</w:t>
            </w:r>
          </w:p>
        </w:tc>
        <w:tc>
          <w:tcPr>
            <w:tcW w:w="19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484</w:t>
            </w:r>
          </w:p>
        </w:tc>
        <w:tc>
          <w:tcPr>
            <w:tcW w:w="18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$94</w:t>
            </w:r>
          </w:p>
        </w:tc>
        <w:tc>
          <w:tcPr>
            <w:tcW w:w="16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2019 and 2018, we recognized $15.7, $15.5 and $13.3, respectively, of expense related to restricted stock awards. As of December 31, 2020, there was approximately $17.2 of total unrecognized compensation cost related to unvested restricted stock, which we expect to recognize over a weighted-average period of approximately 2.0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2011 Plan allows us to grant performance share units. Historically, our performance shares have been granted with a typical performance period of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Grant Date(s)</w:t>
            </w:r>
          </w:p>
        </w:tc>
        <w:tc>
          <w:tcPr>
            <w:tcW w:w="2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February 9, 2017</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15, 2018</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February 15, 2019</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February 14, 2020</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Performance Period (years)</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2017-2019</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2018-2020</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2019-2021</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2020-2022</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Vesting Date</w:t>
            </w:r>
          </w:p>
        </w:tc>
        <w:tc>
          <w:tcPr>
            <w:tcW w:w="2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February 2020(a)</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February 2021(a)</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February 2022(a)</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February 2023(a)</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Payout Levels (in units):</w:t>
            </w:r>
          </w:p>
        </w:tc>
        <w:tc>
          <w:tcPr>
            <w:tcW w:w="2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Threshold Award</w:t>
            </w:r>
          </w:p>
        </w:tc>
        <w:tc>
          <w:tcPr>
            <w:tcW w:w="2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57,563</w:t>
            </w:r>
          </w:p>
        </w:tc>
        <w:tc>
          <w:tcPr>
            <w:tcW w:w="17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42,361</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61,381</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59,698</w:t>
            </w: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Target Award</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115,125</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84,726</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122,761</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119,395</w:t>
            </w:r>
          </w:p>
        </w:tc>
      </w:tr>
      <w:tr>
        <w:trPr>
          <w:trHeight w:val="229"/>
        </w:trPr>
        <w:tc>
          <w:tcPr>
            <w:tcW w:w="3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Outstanding Award</w:t>
            </w:r>
          </w:p>
        </w:tc>
        <w:tc>
          <w:tcPr>
            <w:tcW w:w="2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230,250</w:t>
            </w: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169,452</w:t>
            </w: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245,522</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238,790</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Shares Issued in 2020</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88,807</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Payout Achieved Over Performance Period</w:t>
            </w:r>
          </w:p>
        </w:tc>
        <w:tc>
          <w:tcPr>
            <w:tcW w:w="2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42,361</w:t>
            </w:r>
          </w:p>
        </w:tc>
        <w:tc>
          <w:tcPr>
            <w:tcW w:w="1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31" w:lineRule="exact"/>
        <w:rPr>
          <w:sz w:val="20"/>
          <w:szCs w:val="20"/>
          <w:color w:val="auto"/>
        </w:rPr>
      </w:pPr>
    </w:p>
    <w:p>
      <w:pPr>
        <w:ind w:firstLine="8"/>
        <w:spacing w:after="0" w:line="293" w:lineRule="auto"/>
        <w:tabs>
          <w:tab w:leader="none" w:pos="2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2018, 2019 and 2020 awards are scheduled to vest in February 2021, 2022 and 2023, respectively, when the Executive Compensation and Human Resources Committee of the Board of Directors determines the achievement of the performance criteria.</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$3.7, $5.2 and $8.4 in 2020, 2019 and 2018, respectively, related to the performance share units.</w:t>
      </w:r>
    </w:p>
    <w:p>
      <w:pPr>
        <w:spacing w:after="0" w:line="39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282A32"/>
        </w:rPr>
      </w:pPr>
      <w:r>
        <w:rPr>
          <w:rFonts w:ascii="Arial" w:cs="Arial" w:eastAsia="Arial" w:hAnsi="Arial"/>
          <w:sz w:val="18"/>
          <w:szCs w:val="18"/>
          <w:u w:val="single" w:color="auto"/>
          <w:color w:val="282A32"/>
        </w:rPr>
        <w:t>Acquisitions and Dispositions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 Acquisitions</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and was funded through cash on hand. Of the total consideration paid, $58.3 was for the acquired interests and the remaining $161.2 was for cash and cash equivalents. The acquisition of the remaining interest of Experis AG was accounted for as an equity transaction as we previously consolidated the entity.</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total cash impact of the acquisition was an inflow of $98.0, net of cash acquired of $317.5 In connection with the business combination, we recognized a one-time, non-cash gain on the disposition of our previously held equity interest in Manpower Switzerland of $80.4, which is included within interest and other expenses (income), net on the Consolidated Statements of Operations. Of the $80.4, $32.5 represented foreign currency translation adjustments related to the previously held equity interest from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 summarizes the fair value of the assets and liabilities as of the acquisition date of April 3,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317.5</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60.4</w:t>
            </w:r>
          </w:p>
        </w:tc>
      </w:tr>
      <w:tr>
        <w:trPr>
          <w:trHeight w:val="229"/>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r>
      <w:tr>
        <w:trPr>
          <w:trHeight w:val="229"/>
        </w:trPr>
        <w:tc>
          <w:tcPr>
            <w:tcW w:w="1014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33.8</w:t>
            </w:r>
          </w:p>
        </w:tc>
      </w:tr>
      <w:tr>
        <w:trPr>
          <w:trHeight w:val="230"/>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 customer relationship</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r>
      <w:tr>
        <w:trPr>
          <w:trHeight w:val="229"/>
        </w:trPr>
        <w:tc>
          <w:tcPr>
            <w:tcW w:w="10140" w:type="dxa"/>
            <w:vAlign w:val="bottom"/>
          </w:tcPr>
          <w:p>
            <w:pPr>
              <w:spacing w:after="0"/>
              <w:rPr>
                <w:sz w:val="20"/>
                <w:szCs w:val="20"/>
                <w:color w:val="auto"/>
              </w:rPr>
            </w:pPr>
            <w:r>
              <w:rPr>
                <w:rFonts w:ascii="Arial" w:cs="Arial" w:eastAsia="Arial" w:hAnsi="Arial"/>
                <w:sz w:val="18"/>
                <w:szCs w:val="18"/>
                <w:color w:val="auto"/>
              </w:rPr>
              <w:t>Intangible assets not subject to amortization, reacquired franchise rights</w:t>
            </w:r>
          </w:p>
        </w:tc>
        <w:tc>
          <w:tcPr>
            <w:tcW w:w="3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29"/>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1014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1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10140" w:type="dxa"/>
            <w:vAlign w:val="bottom"/>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415.1</w:t>
            </w:r>
          </w:p>
        </w:tc>
      </w:tr>
      <w:tr>
        <w:trPr>
          <w:trHeight w:val="20"/>
        </w:trPr>
        <w:tc>
          <w:tcPr>
            <w:tcW w:w="10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excluding Manpower Switzerland and Experis AG, net of cash acquired, for the years ended December 31, 2020, 2019 and 2018 was $2.6, $47.7 and $51.8, respectively. The 2020 and 2019 balances include consideration payments for franchises in the United States and contingent consideration payments related to previous acquisitions, of which $1.9 and $13.0, respectively, had been recognized as a liability at the acquisition date. The 2018 balance includes initial acquisition payments of $9.1 and contingent consideration payments of $42.7, of which $18.6 had been recognized as a liability at the acquisition date.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goodwill and intangible assets resulted from acquisitions in 2020. As of December 31, 2019, goodwill and intangible assets resulting from the 2019 acquisitions, excluding Manpower Switzerland, were $14.2 and $9.0, respectively. As of December 31, 2018, goodwill and intangible assets resulting from the 2018 acquisitions were $6.1 and $0.7,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ManpowerGroup Greater China Limited Disposition</w:t>
      </w:r>
    </w:p>
    <w:p>
      <w:pPr>
        <w:spacing w:after="0" w:line="23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which was included in selling and administrative expenses in the Consolidated Statement of Operations in the year ended December 31, 2019. Included in the $30.4 was foreign currency translation adjustment losses of $6.2 related to the joint venture from accumulated other comprehensive loss.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Dispositions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Occasionally, we dispose of parts of our operations in order to optimize our global strategic and geographic footprint and synergies.</w:t>
      </w:r>
    </w:p>
    <w:p>
      <w:pPr>
        <w:spacing w:after="0" w:line="2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30, 2020 we disposed of four businesses (Serbia, Croatia, Slovenia, Bulgaria) in our Southern Europe segment for $5.8 subject to normal post close working capital adjustments, and simultaneously entered into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ind w:right="60"/>
        <w:spacing w:after="0" w:line="342" w:lineRule="auto"/>
        <w:rPr>
          <w:sz w:val="20"/>
          <w:szCs w:val="20"/>
          <w:color w:val="auto"/>
        </w:rPr>
      </w:pPr>
      <w:r>
        <w:rPr>
          <w:rFonts w:ascii="Arial" w:cs="Arial" w:eastAsia="Arial" w:hAnsi="Arial"/>
          <w:sz w:val="16"/>
          <w:szCs w:val="16"/>
          <w:color w:val="auto"/>
        </w:rPr>
        <w:t>franchise agreements with the new ownership of these businesses. In connection with the disposition, we recognized a one-time loss on disposition of $5.8, which was included in the selling and administrative expenses in the Consolidated Statement of Operations for the year ended December 31, 2020.</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December 2018, we sold one of our business units in the Netherlands for an after tax net gain of $3.8 and divested a majority interest in a fully consolidated entity in China for an immaterial gain.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sz w:val="20"/>
                <w:szCs w:val="20"/>
                <w:color w:val="auto"/>
              </w:rPr>
            </w:pPr>
            <w:r>
              <w:rPr>
                <w:rFonts w:ascii="Arial" w:cs="Arial" w:eastAsia="Arial" w:hAnsi="Arial"/>
                <w:sz w:val="18"/>
                <w:szCs w:val="18"/>
                <w:color w:val="auto"/>
              </w:rPr>
              <w:t>(5) Income Taxes</w:t>
            </w:r>
          </w:p>
        </w:tc>
        <w:tc>
          <w:tcPr>
            <w:tcW w:w="2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25"/>
        </w:trPr>
        <w:tc>
          <w:tcPr>
            <w:tcW w:w="4480" w:type="dxa"/>
            <w:vAlign w:val="bottom"/>
            <w:gridSpan w:val="3"/>
          </w:tcPr>
          <w:p>
            <w:pPr>
              <w:spacing w:after="0"/>
              <w:rPr>
                <w:sz w:val="20"/>
                <w:szCs w:val="20"/>
                <w:color w:val="auto"/>
              </w:rPr>
            </w:pPr>
            <w:r>
              <w:rPr>
                <w:rFonts w:ascii="Arial" w:cs="Arial" w:eastAsia="Arial" w:hAnsi="Arial"/>
                <w:sz w:val="18"/>
                <w:szCs w:val="18"/>
                <w:color w:val="auto"/>
              </w:rPr>
              <w:t>The provision for income taxes was as follows:</w:t>
            </w:r>
          </w:p>
        </w:tc>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2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4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6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16.7</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r>
      <w:tr>
        <w:trPr>
          <w:trHeight w:val="230"/>
        </w:trPr>
        <w:tc>
          <w:tcPr>
            <w:tcW w:w="4480" w:type="dxa"/>
            <w:vAlign w:val="bottom"/>
            <w:gridSpan w:val="3"/>
          </w:tcPr>
          <w:p>
            <w:pPr>
              <w:ind w:left="260"/>
              <w:spacing w:after="0"/>
              <w:rPr>
                <w:sz w:val="20"/>
                <w:szCs w:val="20"/>
                <w:color w:val="auto"/>
              </w:rPr>
            </w:pPr>
            <w:r>
              <w:rPr>
                <w:rFonts w:ascii="Arial" w:cs="Arial" w:eastAsia="Arial" w:hAnsi="Arial"/>
                <w:sz w:val="18"/>
                <w:szCs w:val="18"/>
                <w:color w:val="auto"/>
              </w:rPr>
              <w:t>State</w:t>
            </w:r>
          </w:p>
        </w:tc>
        <w:tc>
          <w:tcPr>
            <w:tcW w:w="26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29"/>
        </w:trPr>
        <w:tc>
          <w:tcPr>
            <w:tcW w:w="448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Non-United States</w:t>
            </w:r>
          </w:p>
        </w:tc>
        <w:tc>
          <w:tcPr>
            <w:tcW w:w="26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124.6</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243.6</w:t>
            </w: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181.9</w:t>
            </w:r>
          </w:p>
        </w:tc>
      </w:tr>
      <w:tr>
        <w:trPr>
          <w:trHeight w:val="223"/>
        </w:trPr>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current</w:t>
            </w:r>
          </w:p>
        </w:tc>
        <w:tc>
          <w:tcPr>
            <w:tcW w:w="2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134.3</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262.8</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209.9</w:t>
            </w:r>
          </w:p>
        </w:tc>
      </w:tr>
      <w:tr>
        <w:trPr>
          <w:trHeight w:val="223"/>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2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(22.1)</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480" w:type="dxa"/>
            <w:vAlign w:val="bottom"/>
            <w:gridSpan w:val="3"/>
          </w:tcPr>
          <w:p>
            <w:pPr>
              <w:ind w:left="260"/>
              <w:spacing w:after="0"/>
              <w:rPr>
                <w:sz w:val="20"/>
                <w:szCs w:val="20"/>
                <w:color w:val="auto"/>
              </w:rPr>
            </w:pPr>
            <w:r>
              <w:rPr>
                <w:rFonts w:ascii="Arial" w:cs="Arial" w:eastAsia="Arial" w:hAnsi="Arial"/>
                <w:sz w:val="18"/>
                <w:szCs w:val="18"/>
                <w:color w:val="auto"/>
              </w:rPr>
              <w:t>State</w:t>
            </w:r>
          </w:p>
        </w:tc>
        <w:tc>
          <w:tcPr>
            <w:tcW w:w="26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48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Non-United States</w:t>
            </w:r>
          </w:p>
        </w:tc>
        <w:tc>
          <w:tcPr>
            <w:tcW w:w="26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(22.0)</w:t>
            </w: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deferred</w:t>
            </w:r>
          </w:p>
        </w:tc>
        <w:tc>
          <w:tcPr>
            <w:tcW w:w="2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448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Total provision</w:t>
            </w:r>
          </w:p>
        </w:tc>
        <w:tc>
          <w:tcPr>
            <w:tcW w:w="268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123.9</w:t>
            </w:r>
          </w:p>
        </w:tc>
        <w:tc>
          <w:tcPr>
            <w:tcW w:w="58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219.8</w:t>
            </w:r>
          </w:p>
        </w:tc>
        <w:tc>
          <w:tcPr>
            <w:tcW w:w="58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198.0</w:t>
            </w:r>
          </w:p>
        </w:tc>
      </w:tr>
      <w:tr>
        <w:trPr>
          <w:trHeight w:val="871"/>
        </w:trPr>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80" w:type="dxa"/>
            <w:vAlign w:val="bottom"/>
          </w:tcPr>
          <w:p>
            <w:pPr>
              <w:jc w:val="right"/>
              <w:ind w:right="1350"/>
              <w:spacing w:after="0"/>
              <w:rPr>
                <w:sz w:val="20"/>
                <w:szCs w:val="20"/>
                <w:color w:val="auto"/>
              </w:rPr>
            </w:pPr>
            <w:r>
              <w:rPr>
                <w:rFonts w:ascii="Arial" w:cs="Arial" w:eastAsia="Arial" w:hAnsi="Arial"/>
                <w:sz w:val="18"/>
                <w:szCs w:val="18"/>
                <w:color w:val="auto"/>
              </w:rPr>
              <w:t>75</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A tax reconciliation between taxes computed at the United States federal statutory rate of 21% and the consolidated effective tax rate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0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Income tax based on statutory rate</w:t>
            </w:r>
          </w:p>
        </w:tc>
        <w:tc>
          <w:tcPr>
            <w:tcW w:w="10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31.0</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143.9</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158.5</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Non-United States tax rate difference:</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French business tax</w:t>
            </w:r>
            <w:r>
              <w:rPr>
                <w:rFonts w:ascii="Arial" w:cs="Arial" w:eastAsia="Arial" w:hAnsi="Arial"/>
                <w:sz w:val="15"/>
                <w:szCs w:val="15"/>
                <w:color w:val="auto"/>
              </w:rPr>
              <w:t>(1)</w:t>
            </w:r>
          </w:p>
        </w:tc>
        <w:tc>
          <w:tcPr>
            <w:tcW w:w="10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43.7</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59.1</w:t>
            </w:r>
          </w:p>
        </w:tc>
      </w:tr>
      <w:tr>
        <w:trPr>
          <w:trHeight w:val="229"/>
        </w:trPr>
        <w:tc>
          <w:tcPr>
            <w:tcW w:w="6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French CICE</w:t>
            </w:r>
            <w:r>
              <w:rPr>
                <w:rFonts w:ascii="Arial" w:cs="Arial" w:eastAsia="Arial" w:hAnsi="Arial"/>
                <w:sz w:val="15"/>
                <w:szCs w:val="15"/>
                <w:color w:val="auto"/>
              </w:rPr>
              <w:t>(2)</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(1)(2)</w:t>
            </w:r>
          </w:p>
        </w:tc>
        <w:tc>
          <w:tcPr>
            <w:tcW w:w="10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Repatriation of non-United States earnings</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29"/>
        </w:trPr>
        <w:tc>
          <w:tcPr>
            <w:tcW w:w="6080" w:type="dxa"/>
            <w:vAlign w:val="bottom"/>
          </w:tcPr>
          <w:p>
            <w:pPr>
              <w:ind w:left="260"/>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w:t>
            </w: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15"/>
                <w:szCs w:val="15"/>
                <w:color w:val="auto"/>
              </w:rPr>
              <w:t>(3)</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48.5</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29"/>
        </w:trPr>
        <w:tc>
          <w:tcPr>
            <w:tcW w:w="6080" w:type="dxa"/>
            <w:vAlign w:val="bottom"/>
          </w:tcPr>
          <w:p>
            <w:pPr>
              <w:ind w:left="260"/>
              <w:spacing w:after="0"/>
              <w:rPr>
                <w:sz w:val="20"/>
                <w:szCs w:val="20"/>
                <w:color w:val="auto"/>
              </w:rPr>
            </w:pPr>
            <w:r>
              <w:rPr>
                <w:rFonts w:ascii="Arial" w:cs="Arial" w:eastAsia="Arial" w:hAnsi="Arial"/>
                <w:sz w:val="18"/>
                <w:szCs w:val="18"/>
                <w:color w:val="auto"/>
              </w:rPr>
              <w:t>Work Opportunity Tax Credit</w:t>
            </w:r>
            <w:r>
              <w:rPr>
                <w:rFonts w:ascii="Arial" w:cs="Arial" w:eastAsia="Arial" w:hAnsi="Arial"/>
                <w:sz w:val="15"/>
                <w:szCs w:val="15"/>
                <w:color w:val="auto"/>
              </w:rPr>
              <w:t>(4)</w:t>
            </w:r>
          </w:p>
        </w:tc>
        <w:tc>
          <w:tcPr>
            <w:tcW w:w="10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Foreign-Derived Intangible Income deduction</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United States Tax Act and French tax reform</w:t>
            </w:r>
          </w:p>
        </w:tc>
        <w:tc>
          <w:tcPr>
            <w:tcW w:w="10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impairment</w:t>
            </w:r>
            <w:r>
              <w:rPr>
                <w:rFonts w:ascii="Arial" w:cs="Arial" w:eastAsia="Arial" w:hAnsi="Arial"/>
                <w:sz w:val="15"/>
                <w:szCs w:val="15"/>
                <w:color w:val="auto"/>
              </w:rPr>
              <w:t>(5)</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13.4</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11.9</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tcPr>
          <w:p>
            <w:pPr>
              <w:ind w:left="260"/>
              <w:spacing w:after="0"/>
              <w:rPr>
                <w:sz w:val="20"/>
                <w:szCs w:val="20"/>
                <w:color w:val="auto"/>
              </w:rPr>
            </w:pPr>
            <w:r>
              <w:rPr>
                <w:rFonts w:ascii="Arial" w:cs="Arial" w:eastAsia="Arial" w:hAnsi="Arial"/>
                <w:sz w:val="18"/>
                <w:szCs w:val="18"/>
                <w:color w:val="auto"/>
              </w:rPr>
              <w:t>Gain related to Manpower Switzerland and Greater China transactions</w:t>
            </w:r>
            <w:r>
              <w:rPr>
                <w:rFonts w:ascii="Arial" w:cs="Arial" w:eastAsia="Arial" w:hAnsi="Arial"/>
                <w:sz w:val="15"/>
                <w:szCs w:val="15"/>
                <w:color w:val="auto"/>
              </w:rPr>
              <w:t>(6)</w:t>
            </w:r>
          </w:p>
        </w:tc>
        <w:tc>
          <w:tcPr>
            <w:tcW w:w="10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5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11.6</w:t>
            </w: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r>
      <w:tr>
        <w:trPr>
          <w:trHeight w:val="223"/>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provision</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123.9</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219.8</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198.0</w:t>
            </w:r>
          </w:p>
        </w:tc>
      </w:tr>
    </w:tbl>
    <w:p>
      <w:pPr>
        <w:spacing w:after="0" w:line="31" w:lineRule="exact"/>
        <w:rPr>
          <w:sz w:val="20"/>
          <w:szCs w:val="20"/>
          <w:color w:val="auto"/>
        </w:rPr>
      </w:pPr>
    </w:p>
    <w:p>
      <w:pPr>
        <w:jc w:val="both"/>
        <w:ind w:firstLine="8"/>
        <w:spacing w:after="0" w:line="294" w:lineRule="auto"/>
        <w:tabs>
          <w:tab w:leader="none" w:pos="229" w:val="left"/>
        </w:tabs>
        <w:numPr>
          <w:ilvl w:val="0"/>
          <w:numId w:val="40"/>
        </w:numPr>
        <w:rPr>
          <w:rFonts w:ascii="Arial" w:cs="Arial" w:eastAsia="Arial" w:hAnsi="Arial"/>
          <w:sz w:val="15"/>
          <w:szCs w:val="15"/>
          <w:color w:val="282A32"/>
        </w:rPr>
      </w:pPr>
      <w:r>
        <w:rPr>
          <w:rFonts w:ascii="Arial" w:cs="Arial" w:eastAsia="Arial" w:hAnsi="Arial"/>
          <w:sz w:val="15"/>
          <w:szCs w:val="15"/>
          <w:color w:val="auto"/>
        </w:rPr>
        <w:t>The French business tax is allowed as a deduction for French income tax purposes. The gross amount of the French business tax was $55.3, $69.5 and $74.8 for 2020, 2019 and 2018, respectively. The amounts in the table above of $43.7, $54.9 and $59.1 for 2020, 2019 and 2018, respectively, represent the French business tax expense net of the French tax benefit using the United States federal rate of 21%. Included in Other Non-United States tax rate differences are benefits of $6.1, $9.3 and $10.1 for 2020, 2019 and 2018, respectively, related to the difference between the United States federal rate and the French tax rate applied to the respective gross amounts of the French business tax. In December 2020, the French Parliament approved the Finance Bill for 2021 which lowered the business tax rate from 1.5% to 0.75%. The benefit of this tax rate reduction will be reflected in our 2021 Consolidated Financial Statements.</w:t>
      </w:r>
    </w:p>
    <w:p>
      <w:pPr>
        <w:spacing w:after="0" w:line="1" w:lineRule="exact"/>
        <w:rPr>
          <w:rFonts w:ascii="Arial" w:cs="Arial" w:eastAsia="Arial" w:hAnsi="Arial"/>
          <w:sz w:val="15"/>
          <w:szCs w:val="15"/>
          <w:color w:val="282A32"/>
        </w:rPr>
      </w:pPr>
    </w:p>
    <w:p>
      <w:pPr>
        <w:jc w:val="both"/>
        <w:ind w:firstLine="8"/>
        <w:spacing w:after="0" w:line="277" w:lineRule="auto"/>
        <w:tabs>
          <w:tab w:leader="none" w:pos="24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French CICE was a payroll tax credit that was tax-free for French tax purposes and increased French earnings. The amount in the table above of $39.9 for 2018 represents the French tax benefit using the United States federal rate of 21%. Included in Other Non-United States tax rate differences is a benefit of $25.5 for 2018 related to the difference between the United States federal rate and French tax rate applied to the respective gross French CICE amount. In January 2019, the French government replaced the CICE subsidy with new subsidies that are taxable.</w:t>
      </w:r>
    </w:p>
    <w:p>
      <w:pPr>
        <w:spacing w:after="0" w:line="1" w:lineRule="exact"/>
        <w:rPr>
          <w:rFonts w:ascii="Arial" w:cs="Arial" w:eastAsia="Arial" w:hAnsi="Arial"/>
          <w:sz w:val="16"/>
          <w:szCs w:val="16"/>
          <w:color w:val="auto"/>
        </w:rPr>
      </w:pPr>
    </w:p>
    <w:p>
      <w:pPr>
        <w:ind w:firstLine="8"/>
        <w:spacing w:after="0" w:line="290" w:lineRule="auto"/>
        <w:tabs>
          <w:tab w:leader="none" w:pos="2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2020, we determined that it was more likely than not that certain deferred tax assets in Germany and the Netherlands would not be realized and recorded income tax expense of $36.9 and $8.1, respectively, to establish valuation allowances.</w:t>
      </w:r>
    </w:p>
    <w:p>
      <w:pPr>
        <w:ind w:right="20" w:firstLine="8"/>
        <w:spacing w:after="0" w:line="290" w:lineRule="auto"/>
        <w:tabs>
          <w:tab w:leader="none" w:pos="2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December 2020, the Consolidation Appropriations Act, 2021 was signed into law, which includes a five-year extension of the Work Opportunity Tax Credit through December 31, 2025.</w:t>
      </w:r>
    </w:p>
    <w:p>
      <w:pPr>
        <w:ind w:left="240" w:hanging="232"/>
        <w:spacing w:after="0"/>
        <w:tabs>
          <w:tab w:leader="none" w:pos="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Non-deductible portion of the goodwill impairment charges recorded in Germany in June 2020 and 2019.</w:t>
      </w:r>
    </w:p>
    <w:p>
      <w:pPr>
        <w:spacing w:after="0" w:line="45" w:lineRule="exact"/>
        <w:rPr>
          <w:rFonts w:ascii="Arial" w:cs="Arial" w:eastAsia="Arial" w:hAnsi="Arial"/>
          <w:sz w:val="16"/>
          <w:szCs w:val="16"/>
          <w:color w:val="auto"/>
        </w:rPr>
      </w:pPr>
    </w:p>
    <w:p>
      <w:pPr>
        <w:ind w:firstLine="8"/>
        <w:spacing w:after="0" w:line="293" w:lineRule="auto"/>
        <w:tabs>
          <w:tab w:leader="none" w:pos="234"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Non-taxable gains on the disposition of our previously held equity interest in Manpower Switzerland in April 2019 and the deconsolidation of ManpowerGroup Greater China Limited in July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Deferred income taxes are recorded based on temporary differences at the tax rate expected to be in effect when the temporary differences reverse.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which give rise to the deferred taxes,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Future Income Tax Benefits (Expense)</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12.8</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26.2</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27.2</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9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79.1</w:t>
            </w:r>
          </w:p>
        </w:tc>
        <w:tc>
          <w:tcPr>
            <w:tcW w:w="6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62.3</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(113.6)</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Repatriation of non-United States earnings</w:t>
            </w:r>
          </w:p>
        </w:tc>
        <w:tc>
          <w:tcPr>
            <w:tcW w:w="29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Loans denominated in foreign currencies</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13.5</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Operating lease ROU assets</w:t>
            </w:r>
          </w:p>
        </w:tc>
        <w:tc>
          <w:tcPr>
            <w:tcW w:w="29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(106.2)</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112.0</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118.1</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Net operating losses</w:t>
            </w:r>
          </w:p>
        </w:tc>
        <w:tc>
          <w:tcPr>
            <w:tcW w:w="29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136.2</w:t>
            </w:r>
          </w:p>
        </w:tc>
        <w:tc>
          <w:tcPr>
            <w:tcW w:w="6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89.5</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127.9</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135.0</w:t>
            </w: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w:t>
            </w:r>
          </w:p>
        </w:tc>
        <w:tc>
          <w:tcPr>
            <w:tcW w:w="2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(149.4)</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5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future tax benefits</w:t>
            </w:r>
          </w:p>
        </w:tc>
        <w:tc>
          <w:tcPr>
            <w:tcW w:w="29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147.9</w:t>
            </w:r>
          </w:p>
        </w:tc>
        <w:tc>
          <w:tcPr>
            <w:tcW w:w="6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107.4</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Deferred tax asset</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165.7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126.2</w:t>
            </w:r>
          </w:p>
        </w:tc>
      </w:tr>
      <w:tr>
        <w:trPr>
          <w:trHeight w:val="229"/>
        </w:trPr>
        <w:tc>
          <w:tcPr>
            <w:tcW w:w="5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9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6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tax benefits</w:t>
            </w:r>
          </w:p>
        </w:tc>
        <w:tc>
          <w:tcPr>
            <w:tcW w:w="2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147.9</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107.4</w:t>
            </w: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Pre-tax earnings of non-United States operations were $86.3, $416.6 and $551.0 in 2020, 2019 and 2018, respectively. We have not provided deferred taxes on $439.0 of unremitted earnings of non-United States subsidiaries that are considered permanently invested. We have not estimated the deferred tax liability on these earnings as such estimation is not practicable to determine. As of December 31, 2020, deferred taxes for non-United States withholding and other taxes were provided on $2,077.6 of unremitted earnings of non-United States subsidiaries that may be remitted to the United States. As of December 31, 2020 and 2019, we have recorded a deferred tax liability of $10.0 and $8.8, respectively, related to these non-United States earnings that may be remitted.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United States federal and non-United States net operating loss carryforwards and United States state net operating loss carryforwards totaling $658.6 and $167.2, respectively, as of December 31, 2020. The net operating loss carryforwards expire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United States</w:t>
            </w: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Federal and</w:t>
            </w: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Non-United</w:t>
            </w:r>
          </w:p>
        </w:tc>
        <w:tc>
          <w:tcPr>
            <w:tcW w:w="4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United States</w:t>
            </w:r>
          </w:p>
        </w:tc>
      </w:tr>
      <w:tr>
        <w:trPr>
          <w:trHeight w:val="230"/>
        </w:trPr>
        <w:tc>
          <w:tcPr>
            <w:tcW w:w="5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States</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State</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2022</w:t>
            </w:r>
          </w:p>
        </w:tc>
        <w:tc>
          <w:tcPr>
            <w:tcW w:w="282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5.0</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2024</w:t>
            </w:r>
          </w:p>
        </w:tc>
        <w:tc>
          <w:tcPr>
            <w:tcW w:w="282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55.9</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20.7</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49.6</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85.5</w:t>
            </w:r>
          </w:p>
        </w:tc>
      </w:tr>
      <w:tr>
        <w:trPr>
          <w:trHeight w:val="229"/>
        </w:trPr>
        <w:tc>
          <w:tcPr>
            <w:tcW w:w="5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 expirations</w:t>
            </w:r>
          </w:p>
        </w:tc>
        <w:tc>
          <w:tcPr>
            <w:tcW w:w="28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565.3</w:t>
            </w:r>
          </w:p>
        </w:tc>
        <w:tc>
          <w:tcPr>
            <w:tcW w:w="4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0.8</w:t>
            </w:r>
          </w:p>
        </w:tc>
      </w:tr>
      <w:tr>
        <w:trPr>
          <w:trHeight w:val="223"/>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operating loss carryforwards</w:t>
            </w:r>
          </w:p>
        </w:tc>
        <w:tc>
          <w:tcPr>
            <w:tcW w:w="2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658.6</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167.2</w:t>
            </w: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recorded a deferred tax asset of $136.2 as of December 31, 2020, for the benefit of these net operating losses. Realization of this asset is dependent on generating sufficient taxable income prior to the expiration of the loss carryforwards. A related valuation allowance of $115.2 was recorded as of December 31, 2020, as management believes that realization of certain net operating loss carryforwards is unlikely.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$64.5, $69.5 and $34.2 in 2020, 2019 and 2018, respectively, that would favorably affect the effective tax rate if recognized. We do not expect our unrecognized tax benefits to change significantly over the next year.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accrued interest and penalties related to unrecognized tax benefits in income tax expense. We accrued net interest and penalties of $0.0 and $1.6 in 2020 and 2019, respectively. In 2018, we recognized a reduction of interest and penalties of $18.4 due to the settlement of tax litigation.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2020, 2019 and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beginning of year</w:t>
            </w:r>
          </w:p>
        </w:tc>
        <w:tc>
          <w:tcPr>
            <w:tcW w:w="21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46.1</w:t>
            </w: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Increases in prior year tax positions</w:t>
            </w:r>
          </w:p>
        </w:tc>
        <w:tc>
          <w:tcPr>
            <w:tcW w:w="21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35.7</w:t>
            </w:r>
          </w:p>
        </w:tc>
        <w:tc>
          <w:tcPr>
            <w:tcW w:w="3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11.4</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Decreases in prior year tax positions</w:t>
            </w:r>
          </w:p>
        </w:tc>
        <w:tc>
          <w:tcPr>
            <w:tcW w:w="2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Increases for current year tax positions</w:t>
            </w:r>
          </w:p>
        </w:tc>
        <w:tc>
          <w:tcPr>
            <w:tcW w:w="21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w:t>
            </w:r>
          </w:p>
        </w:tc>
      </w:tr>
      <w:tr>
        <w:trPr>
          <w:trHeight w:val="229"/>
        </w:trPr>
        <w:tc>
          <w:tcPr>
            <w:tcW w:w="61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Expiration of statute of limitations and audit settlements</w:t>
            </w:r>
          </w:p>
        </w:tc>
        <w:tc>
          <w:tcPr>
            <w:tcW w:w="2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unrecognized tax benefits, end of year</w:t>
            </w: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32.2</w:t>
            </w:r>
          </w:p>
        </w:tc>
      </w:tr>
      <w:tr>
        <w:trPr>
          <w:trHeight w:val="223"/>
        </w:trPr>
        <w:tc>
          <w:tcPr>
            <w:tcW w:w="6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Potential interest and penalties</w:t>
            </w:r>
          </w:p>
        </w:tc>
        <w:tc>
          <w:tcPr>
            <w:tcW w:w="2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end of year</w:t>
            </w: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2013 through 2020 for our major operations in France, Italy, the United Kingdom and the United States. As of December 31, 2020, we were subject to tax audits in Austria, Denmark, France, Germany and the United States. We believe that the resolution of these audits will not have a material impact on earnings.</w:t>
      </w:r>
    </w:p>
    <w:p>
      <w:pPr>
        <w:spacing w:after="0" w:line="349"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16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23.8</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465.7</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556.7</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16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58.0</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59.9</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64.6</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Effect of dilutive securities - stock options</w:t>
            </w:r>
          </w:p>
        </w:tc>
        <w:tc>
          <w:tcPr>
            <w:tcW w:w="16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55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Effect of other share-based awards</w:t>
            </w:r>
          </w:p>
        </w:tc>
        <w:tc>
          <w:tcPr>
            <w:tcW w:w="16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1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58.3</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60.3</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w:t>
            </w:r>
          </w:p>
        </w:tc>
      </w:tr>
      <w:tr>
        <w:trPr>
          <w:trHeight w:val="223"/>
        </w:trPr>
        <w:tc>
          <w:tcPr>
            <w:tcW w:w="5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16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0.41</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7.78</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8.62</w:t>
            </w: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0.41</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8.56</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0.6 million, 0.4 million, and 0.3 million share-based awards excluded from the calculation of net earnings per share - diluted for the year ended December 31, 2020, 2019 and 2018, respectively, because their impact was anti-dilutive.</w:t>
      </w:r>
    </w:p>
    <w:p>
      <w:pPr>
        <w:spacing w:after="0" w:line="200" w:lineRule="exact"/>
        <w:rPr>
          <w:sz w:val="20"/>
          <w:szCs w:val="20"/>
          <w:color w:val="auto"/>
        </w:rPr>
      </w:pPr>
    </w:p>
    <w:p>
      <w:pPr>
        <w:spacing w:after="0" w:line="213"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3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described further in Note 14, effective in the first quarter of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Southern</w:t>
            </w:r>
          </w:p>
        </w:tc>
        <w:tc>
          <w:tcPr>
            <w:tcW w:w="3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Northern</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Americas</w:t>
            </w:r>
            <w:r>
              <w:rPr>
                <w:rFonts w:ascii="Arial" w:cs="Arial" w:eastAsia="Arial" w:hAnsi="Arial"/>
                <w:sz w:val="15"/>
                <w:szCs w:val="15"/>
                <w:color w:val="auto"/>
                <w:w w:val="92"/>
              </w:rPr>
              <w:t>(1)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Europe</w:t>
            </w:r>
            <w:r>
              <w:rPr>
                <w:rFonts w:ascii="Arial" w:cs="Arial" w:eastAsia="Arial" w:hAnsi="Arial"/>
                <w:sz w:val="15"/>
                <w:szCs w:val="15"/>
                <w:color w:val="auto"/>
              </w:rPr>
              <w:t>(2)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APME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Corporate</w:t>
            </w:r>
            <w:r>
              <w:rPr>
                <w:rFonts w:ascii="Arial" w:cs="Arial" w:eastAsia="Arial" w:hAnsi="Arial"/>
                <w:sz w:val="15"/>
                <w:szCs w:val="15"/>
                <w:color w:val="auto"/>
                <w:w w:val="89"/>
              </w:rPr>
              <w:t>(3)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(4)</w:t>
            </w: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519.9</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435.4</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127.6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1,297.1</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Goodwill acquired</w:t>
            </w:r>
          </w:p>
        </w:tc>
        <w:tc>
          <w:tcPr>
            <w:tcW w:w="6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48.0</w:t>
            </w:r>
          </w:p>
        </w:tc>
      </w:tr>
      <w:tr>
        <w:trPr>
          <w:trHeight w:val="215"/>
        </w:trPr>
        <w:tc>
          <w:tcPr>
            <w:tcW w:w="3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allocated to business units</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30"/>
        </w:trPr>
        <w:tc>
          <w:tcPr>
            <w:tcW w:w="3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deconsolidated</w:t>
            </w:r>
            <w:r>
              <w:rPr>
                <w:rFonts w:ascii="Arial" w:cs="Arial" w:eastAsia="Arial" w:hAnsi="Arial"/>
                <w:sz w:val="15"/>
                <w:szCs w:val="15"/>
                <w:color w:val="auto"/>
              </w:rPr>
              <w:t>(5)</w:t>
            </w:r>
          </w:p>
        </w:tc>
        <w:tc>
          <w:tcPr>
            <w:tcW w:w="6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Impairment charge</w:t>
            </w:r>
            <w:r>
              <w:rPr>
                <w:rFonts w:ascii="Arial" w:cs="Arial" w:eastAsia="Arial" w:hAnsi="Arial"/>
                <w:sz w:val="15"/>
                <w:szCs w:val="15"/>
                <w:color w:val="auto"/>
              </w:rPr>
              <w:t>(6)</w:t>
            </w:r>
          </w:p>
        </w:tc>
        <w:tc>
          <w:tcPr>
            <w:tcW w:w="6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33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Currency impact and other</w:t>
            </w:r>
          </w:p>
        </w:tc>
        <w:tc>
          <w:tcPr>
            <w:tcW w:w="6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(0.6)</w:t>
            </w: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6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535.6</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144.8</w:t>
            </w:r>
          </w:p>
        </w:tc>
        <w:tc>
          <w:tcPr>
            <w:tcW w:w="32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374.6</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126.0</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1,260.1</w:t>
            </w:r>
          </w:p>
        </w:tc>
      </w:tr>
      <w:tr>
        <w:trPr>
          <w:trHeight w:val="230"/>
        </w:trPr>
        <w:tc>
          <w:tcPr>
            <w:tcW w:w="3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charge</w:t>
            </w:r>
            <w:r>
              <w:rPr>
                <w:rFonts w:ascii="Arial" w:cs="Arial" w:eastAsia="Arial" w:hAnsi="Arial"/>
                <w:sz w:val="15"/>
                <w:szCs w:val="15"/>
                <w:color w:val="auto"/>
              </w:rPr>
              <w:t>(7)</w:t>
            </w: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(66.8)</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Currency impact and other</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18.8</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32.5</w:t>
            </w:r>
          </w:p>
        </w:tc>
      </w:tr>
      <w:tr>
        <w:trPr>
          <w:trHeight w:val="223"/>
        </w:trPr>
        <w:tc>
          <w:tcPr>
            <w:tcW w:w="3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536.6</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154.9</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326.6</w:t>
            </w:r>
          </w:p>
        </w:tc>
        <w:tc>
          <w:tcPr>
            <w:tcW w:w="3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126.0</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1,225.8</w:t>
            </w:r>
          </w:p>
        </w:tc>
      </w:tr>
    </w:tbl>
    <w:p>
      <w:pPr>
        <w:spacing w:after="0" w:line="31"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Balances related to United States were $490.3 as of January 1, 2019 and December 31, 2019 and $490.2 as of December 31, 2020.</w:t>
      </w:r>
    </w:p>
    <w:p>
      <w:pPr>
        <w:spacing w:after="0" w:line="59" w:lineRule="exact"/>
        <w:rPr>
          <w:rFonts w:ascii="Arial" w:cs="Arial" w:eastAsia="Arial" w:hAnsi="Arial"/>
          <w:sz w:val="16"/>
          <w:szCs w:val="16"/>
          <w:color w:val="auto"/>
        </w:rPr>
      </w:pPr>
    </w:p>
    <w:p>
      <w:pPr>
        <w:ind w:firstLine="8"/>
        <w:spacing w:after="0" w:line="290" w:lineRule="auto"/>
        <w:tabs>
          <w:tab w:leader="none" w:pos="2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Balances related to France were $68.9, $67.3 and $73.3 as of January 1, 2019, December 31, 2019 and December 31, 2020, respectively. Balances related to Italy were $4.8, $4.6 and $4.2 as of January 1, 2019, December 31, 2019 and December 31, 2020, respectively.</w:t>
      </w:r>
    </w:p>
    <w:p>
      <w:pPr>
        <w:jc w:val="both"/>
        <w:ind w:firstLine="8"/>
        <w:spacing w:after="0" w:line="291" w:lineRule="auto"/>
        <w:tabs>
          <w:tab w:leader="none" w:pos="2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majority of the Corporate balance as of December 31, 2019 and 2020 relates to goodwill attributable to our acquisitions of Right Management ($62.1) and Jefferson Wells ($55.5). Jefferson Wells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jc w:val="both"/>
        <w:ind w:firstLine="8"/>
        <w:spacing w:after="0" w:line="300" w:lineRule="auto"/>
        <w:tabs>
          <w:tab w:leader="none" w:pos="23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Balances were net of accumulated impairment loss of $513.4 ($235.2 related to Right Management and $278.2 related to Corporate) as of January 1, 2019, $577.4 ($60.2 related to Northern Europe, $3.8 related to APME, $235.2 related to Right Management and $278.2 related to Corporate) as of December 31, 2019, and $644.2 ($127.0 related to Northern Europe, $3.8 related to APME, $235.2 related to Right Management and $278.2 related to Corporate) as of December 31, 2020.</w:t>
      </w:r>
    </w:p>
    <w:p>
      <w:pPr>
        <w:spacing w:after="0" w:line="1" w:lineRule="exact"/>
        <w:rPr>
          <w:rFonts w:ascii="Arial" w:cs="Arial" w:eastAsia="Arial" w:hAnsi="Arial"/>
          <w:sz w:val="15"/>
          <w:szCs w:val="15"/>
          <w:color w:val="auto"/>
        </w:rPr>
      </w:pPr>
    </w:p>
    <w:p>
      <w:pPr>
        <w:ind w:firstLine="8"/>
        <w:spacing w:after="0" w:line="290" w:lineRule="auto"/>
        <w:tabs>
          <w:tab w:leader="none" w:pos="234"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Reductions relate to our China and Hong Kong reporting units, which were deconsolidated as of July 10, 2019. See Note 4 to the Consolidated Financial Statements for further information.</w:t>
      </w:r>
    </w:p>
    <w:p>
      <w:pPr>
        <w:ind w:firstLine="8"/>
        <w:spacing w:after="0" w:line="281" w:lineRule="auto"/>
        <w:tabs>
          <w:tab w:leader="none" w:pos="23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2019 impairment charges of $60.2 and $3.8 relate to our Germany and New Zealand reporting units, respectively, which were recorded during the second quarter of 2019. See Note 1 to the Consolidated Financial Statements for further information.</w:t>
      </w:r>
    </w:p>
    <w:p>
      <w:pPr>
        <w:spacing w:after="0" w:line="1" w:lineRule="exact"/>
        <w:rPr>
          <w:rFonts w:ascii="Arial" w:cs="Arial" w:eastAsia="Arial" w:hAnsi="Arial"/>
          <w:sz w:val="16"/>
          <w:szCs w:val="16"/>
          <w:color w:val="auto"/>
        </w:rPr>
      </w:pPr>
    </w:p>
    <w:p>
      <w:pPr>
        <w:ind w:firstLine="8"/>
        <w:spacing w:after="0" w:line="293" w:lineRule="auto"/>
        <w:tabs>
          <w:tab w:leader="none" w:pos="2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2020 impairment charge of $66.8 relates to our Germany reporting unit, which was recorded during the second quarter of 2020. See Note 1 to the Consolidated Financial Statements for further information.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545.7</w:t>
            </w:r>
          </w:p>
        </w:tc>
        <w:tc>
          <w:tcPr>
            <w:tcW w:w="7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545.8</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Netherlands</w:t>
            </w:r>
          </w:p>
        </w:tc>
        <w:tc>
          <w:tcPr>
            <w:tcW w:w="248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119.3</w:t>
            </w:r>
          </w:p>
        </w:tc>
        <w:tc>
          <w:tcPr>
            <w:tcW w:w="7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109.5</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100.2</w:t>
            </w: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97.3</w:t>
            </w: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France</w:t>
            </w:r>
          </w:p>
        </w:tc>
        <w:tc>
          <w:tcPr>
            <w:tcW w:w="248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73.3</w:t>
            </w:r>
          </w:p>
        </w:tc>
        <w:tc>
          <w:tcPr>
            <w:tcW w:w="70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67.3</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67.2</w:t>
            </w: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reporting units</w:t>
            </w:r>
          </w:p>
        </w:tc>
        <w:tc>
          <w:tcPr>
            <w:tcW w:w="2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387.3</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373.0</w:t>
            </w:r>
          </w:p>
        </w:tc>
      </w:tr>
      <w:tr>
        <w:trPr>
          <w:trHeight w:val="223"/>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goodwill</w:t>
            </w:r>
          </w:p>
        </w:tc>
        <w:tc>
          <w:tcPr>
            <w:tcW w:w="24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1,225.8</w:t>
            </w:r>
          </w:p>
        </w:tc>
        <w:tc>
          <w:tcPr>
            <w:tcW w:w="70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auto"/>
              </w:rPr>
              <w:t>(8) Debt</w:t>
            </w:r>
          </w:p>
        </w:tc>
        <w:tc>
          <w:tcPr>
            <w:tcW w:w="2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5980" w:type="dxa"/>
            <w:vAlign w:val="bottom"/>
            <w:gridSpan w:val="3"/>
          </w:tcPr>
          <w:p>
            <w:pPr>
              <w:spacing w:after="0"/>
              <w:rPr>
                <w:sz w:val="20"/>
                <w:szCs w:val="20"/>
                <w:color w:val="auto"/>
              </w:rPr>
            </w:pPr>
            <w:r>
              <w:rPr>
                <w:rFonts w:ascii="Arial" w:cs="Arial" w:eastAsia="Arial" w:hAnsi="Arial"/>
                <w:sz w:val="18"/>
                <w:szCs w:val="18"/>
                <w:color w:val="auto"/>
              </w:rPr>
              <w:t>Information concerning short-term borrowings is as follows:</w:t>
            </w: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5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w:t>
            </w:r>
          </w:p>
        </w:tc>
        <w:tc>
          <w:tcPr>
            <w:tcW w:w="2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5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2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20.4</w:t>
            </w:r>
          </w:p>
        </w:tc>
        <w:tc>
          <w:tcPr>
            <w:tcW w:w="72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61.0</w:t>
            </w:r>
          </w:p>
        </w:tc>
      </w:tr>
      <w:tr>
        <w:trPr>
          <w:trHeight w:val="229"/>
        </w:trPr>
        <w:tc>
          <w:tcPr>
            <w:tcW w:w="5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Weighted-average interest rates</w:t>
            </w:r>
          </w:p>
        </w:tc>
        <w:tc>
          <w:tcPr>
            <w:tcW w:w="2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2020, such uncommitted credit lines totaled $340.3, of which $310.9 was unused. Under our revolving credit agreement, total subsidiary borrowings cannot exceed $300.0 in the first, second and fourth quarters, and $600.0 in the third quarter of each year. Due to these limitations, additional borrowings of $270.6 could have been made under these lines as of December 31,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 summary of long-term debt is as follows:</w:t>
            </w:r>
          </w:p>
        </w:tc>
        <w:tc>
          <w:tcPr>
            <w:tcW w:w="2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2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Euro-denominated notes:</w:t>
            </w:r>
          </w:p>
        </w:tc>
        <w:tc>
          <w:tcPr>
            <w:tcW w:w="28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€500.0 due June 2026</w:t>
            </w:r>
          </w:p>
        </w:tc>
        <w:tc>
          <w:tcPr>
            <w:tcW w:w="28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606.7</w:t>
            </w:r>
          </w:p>
        </w:tc>
        <w:tc>
          <w:tcPr>
            <w:tcW w:w="7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555.8</w:t>
            </w:r>
          </w:p>
        </w:tc>
      </w:tr>
      <w:tr>
        <w:trPr>
          <w:trHeight w:val="229"/>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€400.0 due September 2022</w:t>
            </w:r>
          </w:p>
        </w:tc>
        <w:tc>
          <w:tcPr>
            <w:tcW w:w="28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487.8</w:t>
            </w:r>
          </w:p>
        </w:tc>
        <w:tc>
          <w:tcPr>
            <w:tcW w:w="7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447.1</w:t>
            </w: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r>
      <w:tr>
        <w:trPr>
          <w:trHeight w:val="223"/>
        </w:trPr>
        <w:tc>
          <w:tcPr>
            <w:tcW w:w="5440" w:type="dxa"/>
            <w:vAlign w:val="bottom"/>
            <w:tcBorders>
              <w:bottom w:val="single" w:sz="8" w:color="auto"/>
            </w:tcBorders>
            <w:shd w:val="clear" w:color="auto" w:fill="CFF0FC"/>
          </w:tcPr>
          <w:p>
            <w:pPr>
              <w:spacing w:after="0"/>
              <w:rPr>
                <w:sz w:val="19"/>
                <w:szCs w:val="19"/>
                <w:color w:val="auto"/>
              </w:rPr>
            </w:pPr>
          </w:p>
        </w:tc>
        <w:tc>
          <w:tcPr>
            <w:tcW w:w="28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1,103.5</w:t>
            </w:r>
          </w:p>
        </w:tc>
        <w:tc>
          <w:tcPr>
            <w:tcW w:w="7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1,012.4</w:t>
            </w:r>
          </w:p>
        </w:tc>
      </w:tr>
      <w:tr>
        <w:trPr>
          <w:trHeight w:val="223"/>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maturities</w:t>
            </w:r>
          </w:p>
        </w:tc>
        <w:tc>
          <w:tcPr>
            <w:tcW w:w="2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4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1,103.5</w:t>
            </w:r>
          </w:p>
        </w:tc>
        <w:tc>
          <w:tcPr>
            <w:tcW w:w="70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1,012.4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Notes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will rank equally with all of the Company’s existing and future senior unsecured debt and other liabilities.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€400.0 aggregate principal amount 1.875% notes (the "€400.0 notes") are due September 2022. When the notes mature, we plan to repay the amounts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notes or the €400.0 notes.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2020.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Five Year Credit Agreement with a syndicate of commercial banks with a termination date of June 18, 2023. The Credit Agreement allows for borrowing of $600.0 in various currencies, and up to $150.0 may be used for the issuance of stand-by letters of credit. We had no borrowings under this facility as of both December 31, 2020 and 2019. Outstanding letters of credit issued under the Credit Agreement totaled $0.5 as of both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December 31, 2020 and 2019. Additional borrowings of $599.5 were available to us under the facility as of both December 31, 2020 and 2019.</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Maturities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maturities of long-term debt payable within each of the four years subsequent to December 31, 2021 are as follows: 2022 - $494.0, 2023 - $0.0, 2024 - $0.0, 2025 - $0.0.</w:t>
      </w:r>
    </w:p>
    <w:p>
      <w:pPr>
        <w:spacing w:after="0" w:line="130"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Retirement and Deferred Compensation Plans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of our United States defined benefit and retiree health care plans, we adopted the Society of Actuaries’ Pri-2012 Mortality Table with MP-2020 Mortality Improvement Scale in determining the plans’ benefit obligations as of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sponsor several qualified and nonqualified pension plans covering permanent employees.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Income (Loss). The total amount of the required payout to plan participants was determined based on employee elections and market conditions at the time of settlement. The remaining plan assets of $16.6, which were in excess of the pension liability upon settlement, will be utilized to fund future qualified 401(k) plan contributions following the conclusion of the standard PBGC audit.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recognized a partial settlement in our Switzerland pension plan as a result of local regulations and turnover common to our industry. As a result of the partial settlement we reclassified pension losses of $2.7, net of tax, recorded in accumulated other comprehensive loss to the Consolidated Statements of Comprehensive Income (Loss).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a new pension plan was added as a result of our acquisition of the remaining controlling interest in Manpower Switzerland. (See Note 4 to the Consolidated Financial Statements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spacing w:after="0" w:line="342" w:lineRule="auto"/>
        <w:rPr>
          <w:sz w:val="20"/>
          <w:szCs w:val="20"/>
          <w:color w:val="auto"/>
        </w:rPr>
      </w:pPr>
      <w:r>
        <w:rPr>
          <w:rFonts w:ascii="Arial" w:cs="Arial" w:eastAsia="Arial" w:hAnsi="Arial"/>
          <w:sz w:val="16"/>
          <w:szCs w:val="16"/>
          <w:color w:val="auto"/>
        </w:rPr>
        <w:t>The reconciliation of the changes in the plans’ benefit obligations and the fair value of plan assets and the funded status of the plans are as follows. The actuarial (gain) loss related to the Non-United States plans benefit obligation as of December 31, 2020 was primarily related to changes in discount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gridSpan w:val="4"/>
          </w:tcPr>
          <w:p>
            <w:pPr>
              <w:ind w:left="640"/>
              <w:spacing w:after="0"/>
              <w:rPr>
                <w:sz w:val="20"/>
                <w:szCs w:val="20"/>
                <w:color w:val="auto"/>
              </w:rPr>
            </w:pPr>
            <w:r>
              <w:rPr>
                <w:rFonts w:ascii="Arial" w:cs="Arial" w:eastAsia="Arial" w:hAnsi="Arial"/>
                <w:sz w:val="18"/>
                <w:szCs w:val="18"/>
                <w:color w:val="auto"/>
              </w:rPr>
              <w:t>United States Plans</w:t>
            </w:r>
          </w:p>
        </w:tc>
        <w:tc>
          <w:tcPr>
            <w:tcW w:w="380" w:type="dxa"/>
            <w:vAlign w:val="bottom"/>
          </w:tcPr>
          <w:p>
            <w:pPr>
              <w:spacing w:after="0"/>
              <w:rPr>
                <w:sz w:val="20"/>
                <w:szCs w:val="20"/>
                <w:color w:val="auto"/>
              </w:rPr>
            </w:pPr>
          </w:p>
        </w:tc>
        <w:tc>
          <w:tcPr>
            <w:tcW w:w="2240" w:type="dxa"/>
            <w:vAlign w:val="bottom"/>
            <w:gridSpan w:val="3"/>
          </w:tcPr>
          <w:p>
            <w:pPr>
              <w:jc w:val="right"/>
              <w:ind w:right="50"/>
              <w:spacing w:after="0"/>
              <w:rPr>
                <w:sz w:val="20"/>
                <w:szCs w:val="20"/>
                <w:color w:val="auto"/>
              </w:rPr>
            </w:pPr>
            <w:r>
              <w:rPr>
                <w:rFonts w:ascii="Arial" w:cs="Arial" w:eastAsia="Arial" w:hAnsi="Arial"/>
                <w:sz w:val="18"/>
                <w:szCs w:val="18"/>
                <w:color w:val="auto"/>
              </w:rPr>
              <w:t>Non-United States Plans</w:t>
            </w: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5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52.8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794.8</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450.0</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w:t>
            </w: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10.9</w:t>
            </w: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201.2</w:t>
            </w: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52.7</w:t>
            </w: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Actuarial (gain) loss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100.1</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 participant contributions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43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Currency exchange rate changes</w:t>
            </w:r>
          </w:p>
        </w:tc>
        <w:tc>
          <w:tcPr>
            <w:tcW w:w="15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67.1</w:t>
            </w: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2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28.5</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965.6</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794.8</w:t>
            </w:r>
          </w:p>
        </w:tc>
      </w:tr>
      <w:tr>
        <w:trPr>
          <w:trHeight w:val="453"/>
        </w:trPr>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4"/>
          </w:tcPr>
          <w:p>
            <w:pPr>
              <w:ind w:left="640"/>
              <w:spacing w:after="0"/>
              <w:rPr>
                <w:sz w:val="20"/>
                <w:szCs w:val="20"/>
                <w:color w:val="auto"/>
              </w:rPr>
            </w:pPr>
            <w:r>
              <w:rPr>
                <w:rFonts w:ascii="Arial" w:cs="Arial" w:eastAsia="Arial" w:hAnsi="Arial"/>
                <w:sz w:val="18"/>
                <w:szCs w:val="18"/>
                <w:color w:val="auto"/>
              </w:rPr>
              <w:t>United States Plans</w:t>
            </w:r>
          </w:p>
        </w:tc>
        <w:tc>
          <w:tcPr>
            <w:tcW w:w="380" w:type="dxa"/>
            <w:vAlign w:val="bottom"/>
          </w:tcPr>
          <w:p>
            <w:pPr>
              <w:spacing w:after="0"/>
              <w:rPr>
                <w:sz w:val="24"/>
                <w:szCs w:val="24"/>
                <w:color w:val="auto"/>
              </w:rPr>
            </w:pPr>
          </w:p>
        </w:tc>
        <w:tc>
          <w:tcPr>
            <w:tcW w:w="2240" w:type="dxa"/>
            <w:vAlign w:val="bottom"/>
            <w:gridSpan w:val="3"/>
          </w:tcPr>
          <w:p>
            <w:pPr>
              <w:jc w:val="right"/>
              <w:ind w:right="50"/>
              <w:spacing w:after="0"/>
              <w:rPr>
                <w:sz w:val="20"/>
                <w:szCs w:val="20"/>
                <w:color w:val="auto"/>
              </w:rPr>
            </w:pPr>
            <w:r>
              <w:rPr>
                <w:rFonts w:ascii="Arial" w:cs="Arial" w:eastAsia="Arial" w:hAnsi="Arial"/>
                <w:sz w:val="18"/>
                <w:szCs w:val="18"/>
                <w:color w:val="auto"/>
              </w:rPr>
              <w:t>Non-United States Plans</w:t>
            </w: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5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655.4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354.1</w:t>
            </w: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Actual return on plan assets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49.7</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69.5</w:t>
            </w: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196.8</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Transfers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51.6</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 participant contributions</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Company contributions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15.4</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Benefits paid</w:t>
            </w:r>
          </w:p>
        </w:tc>
        <w:tc>
          <w:tcPr>
            <w:tcW w:w="1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4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Currency exchange rate changes</w:t>
            </w:r>
          </w:p>
        </w:tc>
        <w:tc>
          <w:tcPr>
            <w:tcW w:w="1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r>
      <w:tr>
        <w:trPr>
          <w:trHeight w:val="223"/>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Fair value of plan assets, end of year</w:t>
            </w:r>
          </w:p>
        </w:tc>
        <w:tc>
          <w:tcPr>
            <w:tcW w:w="2000" w:type="dxa"/>
            <w:vAlign w:val="bottom"/>
            <w:tcBorders>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753.6</w:t>
            </w:r>
          </w:p>
        </w:tc>
        <w:tc>
          <w:tcPr>
            <w:tcW w:w="44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655.4</w:t>
            </w: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Funded status, end of year</w:t>
            </w:r>
          </w:p>
        </w:tc>
        <w:tc>
          <w:tcPr>
            <w:tcW w:w="2000" w:type="dxa"/>
            <w:vAlign w:val="bottom"/>
            <w:tcBorders>
              <w:bottom w:val="single" w:sz="8" w:color="auto"/>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44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w:t>
            </w: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Amounts Recognized</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0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32.1</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5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2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r>
      <w:tr>
        <w:trPr>
          <w:trHeight w:val="871"/>
        </w:trPr>
        <w:tc>
          <w:tcPr>
            <w:tcW w:w="4320" w:type="dxa"/>
            <w:vAlign w:val="bottom"/>
          </w:tcPr>
          <w:p>
            <w:pPr>
              <w:spacing w:after="0"/>
              <w:rPr>
                <w:sz w:val="24"/>
                <w:szCs w:val="24"/>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Amounts recognized in accumulated other comprehensive loss, net of tax, consisted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40" w:type="dxa"/>
            <w:vAlign w:val="bottom"/>
            <w:gridSpan w:val="4"/>
          </w:tcPr>
          <w:p>
            <w:pPr>
              <w:ind w:left="680"/>
              <w:spacing w:after="0"/>
              <w:rPr>
                <w:sz w:val="20"/>
                <w:szCs w:val="20"/>
                <w:color w:val="auto"/>
              </w:rPr>
            </w:pPr>
            <w:r>
              <w:rPr>
                <w:rFonts w:ascii="Arial" w:cs="Arial" w:eastAsia="Arial" w:hAnsi="Arial"/>
                <w:sz w:val="18"/>
                <w:szCs w:val="18"/>
                <w:color w:val="auto"/>
              </w:rPr>
              <w:t>United States Plans</w:t>
            </w:r>
          </w:p>
        </w:tc>
        <w:tc>
          <w:tcPr>
            <w:tcW w:w="40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color w:val="auto"/>
              </w:rPr>
              <w:t>Non-United States Plans</w:t>
            </w: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95.2</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30"/>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23"/>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5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102.8</w:t>
            </w:r>
          </w:p>
        </w:tc>
        <w:tc>
          <w:tcPr>
            <w:tcW w:w="5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accumulated benefit obligation (ABO) for all qualified defined benefit pension plans was $957.0 and $817.6 as of December 31, 2020 and 2019, respectively. The ABO for plans that have plan assets was $841.6 and $717.2 as of December 31, 2020 and 2019, respectively. The accumulated benefit obligation for some of our plans exceeded the fair value of plan assets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3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Accumulated benefit obligation</w:t>
            </w:r>
          </w:p>
        </w:tc>
        <w:tc>
          <w:tcPr>
            <w:tcW w:w="33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491.5</w:t>
            </w:r>
          </w:p>
        </w:tc>
        <w:tc>
          <w:tcPr>
            <w:tcW w:w="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163.8</w:t>
            </w:r>
          </w:p>
        </w:tc>
      </w:tr>
      <w:tr>
        <w:trPr>
          <w:trHeight w:val="229"/>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3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368.8</w:t>
            </w: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80.4</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one of our larger plans became further underfunded and its accumulated benefit obligation exceeded its plan assets as of December 31, 2020. As a result, this plan was included in the amounts disclosed above for 2020 but not for 2019.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projected benefit obligation (PBO) for all qualified defined benefit pension plans was $994.1 and $847.6 as of December 31, 2020 and 2019. The PBO for some of our plans exceeded the fair value of plan assets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w:t>
            </w:r>
          </w:p>
        </w:tc>
        <w:tc>
          <w:tcPr>
            <w:tcW w:w="3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348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503.2</w:t>
            </w:r>
          </w:p>
        </w:tc>
        <w:tc>
          <w:tcPr>
            <w:tcW w:w="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414.6</w:t>
            </w:r>
          </w:p>
        </w:tc>
      </w:t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3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368.8</w:t>
            </w: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324.3</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$115.4 and $100.4 as of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and other amounts recognized in other comprehensive loss for all plans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Benefit Cost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8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8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2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r>
      <w:tr>
        <w:trPr>
          <w:trHeight w:val="205"/>
        </w:trPr>
        <w:tc>
          <w:tcPr>
            <w:tcW w:w="63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9"/>
              </w:rPr>
              <w:t>Other Changes in Plan Assets and Benefit Obligation Recognized in Other</w:t>
            </w:r>
          </w:p>
        </w:tc>
        <w:tc>
          <w:tcPr>
            <w:tcW w:w="8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34"/>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Income/Loss</w:t>
            </w:r>
          </w:p>
        </w:tc>
        <w:tc>
          <w:tcPr>
            <w:tcW w:w="8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Net loss (gain)</w:t>
            </w:r>
          </w:p>
        </w:tc>
        <w:tc>
          <w:tcPr>
            <w:tcW w:w="8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44.1</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45.5</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8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6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cost</w:t>
            </w:r>
          </w:p>
        </w:tc>
        <w:tc>
          <w:tcPr>
            <w:tcW w:w="8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income/loss</w:t>
            </w:r>
          </w:p>
        </w:tc>
        <w:tc>
          <w:tcPr>
            <w:tcW w:w="8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37.5</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71.6</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61.4</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860" w:type="dxa"/>
            <w:vAlign w:val="bottom"/>
            <w:gridSpan w:val="3"/>
          </w:tcPr>
          <w:p>
            <w:pPr>
              <w:ind w:left="1120"/>
              <w:spacing w:after="0"/>
              <w:rPr>
                <w:sz w:val="20"/>
                <w:szCs w:val="20"/>
                <w:color w:val="auto"/>
              </w:rPr>
            </w:pPr>
            <w:r>
              <w:rPr>
                <w:rFonts w:ascii="Arial" w:cs="Arial" w:eastAsia="Arial" w:hAnsi="Arial"/>
                <w:sz w:val="18"/>
                <w:szCs w:val="18"/>
                <w:color w:val="auto"/>
              </w:rPr>
              <w:t>United States Plans</w:t>
            </w:r>
          </w:p>
        </w:tc>
        <w:tc>
          <w:tcPr>
            <w:tcW w:w="2720" w:type="dxa"/>
            <w:vAlign w:val="bottom"/>
            <w:gridSpan w:val="2"/>
          </w:tcPr>
          <w:p>
            <w:pPr>
              <w:jc w:val="right"/>
              <w:ind w:right="90"/>
              <w:spacing w:after="0"/>
              <w:rPr>
                <w:sz w:val="20"/>
                <w:szCs w:val="20"/>
                <w:color w:val="auto"/>
              </w:rPr>
            </w:pPr>
            <w:r>
              <w:rPr>
                <w:rFonts w:ascii="Arial" w:cs="Arial" w:eastAsia="Arial" w:hAnsi="Arial"/>
                <w:sz w:val="18"/>
                <w:szCs w:val="18"/>
                <w:color w:val="auto"/>
              </w:rPr>
              <w:t>Non-United States Plans</w:t>
            </w:r>
          </w:p>
        </w:tc>
      </w:tr>
      <w:tr>
        <w:trPr>
          <w:trHeight w:val="223"/>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7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0.6%</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20" w:type="dxa"/>
            <w:vAlign w:val="bottom"/>
            <w:gridSpan w:val="3"/>
          </w:tcPr>
          <w:p>
            <w:pPr>
              <w:ind w:left="420"/>
              <w:spacing w:after="0"/>
              <w:rPr>
                <w:sz w:val="20"/>
                <w:szCs w:val="20"/>
                <w:color w:val="auto"/>
              </w:rPr>
            </w:pPr>
            <w:r>
              <w:rPr>
                <w:rFonts w:ascii="Arial" w:cs="Arial" w:eastAsia="Arial" w:hAnsi="Arial"/>
                <w:sz w:val="18"/>
                <w:szCs w:val="18"/>
                <w:color w:val="auto"/>
              </w:rPr>
              <w:t>United States Plans</w:t>
            </w:r>
          </w:p>
        </w:tc>
        <w:tc>
          <w:tcPr>
            <w:tcW w:w="120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Non-United States Plans</w:t>
            </w: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13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Discount rate - service cost</w:t>
            </w: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2.5%</w:t>
            </w:r>
          </w:p>
        </w:tc>
        <w:tc>
          <w:tcPr>
            <w:tcW w:w="11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Discount rate - interest cost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Expected long-term return on plan assets</w:t>
            </w:r>
          </w:p>
        </w:tc>
        <w:tc>
          <w:tcPr>
            <w:tcW w:w="13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4.3%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crediting rates for cash balance plans</w:t>
            </w:r>
          </w:p>
        </w:tc>
        <w:tc>
          <w:tcPr>
            <w:tcW w:w="132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w:t>
            </w:r>
          </w:p>
        </w:tc>
        <w:tc>
          <w:tcPr>
            <w:tcW w:w="12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our assumption for the discount rate based on an index of high-quality corporate bond yields and matched-funding yield curve analysis as of the end of each fiscal year.</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overall expected long-term rate of return used in the measurement of the 2020 net periodic benefit cost on non-United States plans varied by country and ranged from 0.6% to 3.0%. None of our United States plans had plan assets as of December 31, 2020 due to the settlement of the Qualified Retirement Plan liability during the first quarter of 2020.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2020 allocations, are determined based on the favorable risk tolerance characteristics of the plan and, at times, may be adjusted within a specified range to advance our overall objective.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color w:val="auto"/>
        </w:rPr>
        <w:t>The fair value of our pension plan assets by asset category was as follows. As of December 31, 2020, all of our plan assets were associated with non-United States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Fair Value Measurements Using</w:t>
            </w:r>
          </w:p>
        </w:tc>
      </w:tr>
      <w:tr>
        <w:trPr>
          <w:trHeight w:val="203"/>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Quoted Prices</w:t>
            </w: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w w:val="97"/>
              </w:rPr>
              <w:t>in Active Markets for</w:t>
            </w:r>
          </w:p>
        </w:tc>
        <w:tc>
          <w:tcPr>
            <w:tcW w:w="38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Significant Other</w:t>
            </w:r>
          </w:p>
        </w:tc>
        <w:tc>
          <w:tcPr>
            <w:tcW w:w="30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Significant</w:t>
            </w:r>
          </w:p>
        </w:tc>
      </w:tr>
      <w:tr>
        <w:trPr>
          <w:trHeight w:val="203"/>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Identical Assets</w:t>
            </w:r>
          </w:p>
        </w:tc>
        <w:tc>
          <w:tcPr>
            <w:tcW w:w="38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Observable Inputs</w:t>
            </w:r>
          </w:p>
        </w:tc>
        <w:tc>
          <w:tcPr>
            <w:tcW w:w="300" w:type="dxa"/>
            <w:vAlign w:val="bottom"/>
          </w:tcPr>
          <w:p>
            <w:pPr>
              <w:spacing w:after="0"/>
              <w:rPr>
                <w:sz w:val="17"/>
                <w:szCs w:val="17"/>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w w:val="95"/>
              </w:rPr>
              <w:t>Unobservable Inputs</w:t>
            </w:r>
          </w:p>
        </w:tc>
      </w:tr>
      <w:tr>
        <w:trPr>
          <w:trHeight w:val="209"/>
        </w:trPr>
        <w:tc>
          <w:tcPr>
            <w:tcW w:w="3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December 31, 2020</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(Level 1)</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(Level 3)</w:t>
            </w:r>
          </w:p>
        </w:tc>
      </w:tr>
      <w:tr>
        <w:trPr>
          <w:trHeight w:val="213"/>
        </w:trPr>
        <w:tc>
          <w:tcPr>
            <w:tcW w:w="3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16.1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116.1</w:t>
            </w:r>
          </w:p>
        </w:tc>
        <w:tc>
          <w:tcPr>
            <w:tcW w:w="2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116.1</w:t>
            </w:r>
          </w:p>
        </w:tc>
        <w:tc>
          <w:tcPr>
            <w:tcW w:w="3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25.4</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25.4</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Fixed income instruments: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Fixed income funds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185.6</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185.6</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Annuity contract</w:t>
            </w:r>
          </w:p>
        </w:tc>
        <w:tc>
          <w:tcPr>
            <w:tcW w:w="1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56.2</w:t>
            </w: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Bonds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41.4</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41.4</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Guaranteed insurance contracts</w:t>
            </w:r>
          </w:p>
        </w:tc>
        <w:tc>
          <w:tcPr>
            <w:tcW w:w="1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2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3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Other types of investments: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Insurance contracts</w:t>
            </w:r>
          </w:p>
        </w:tc>
        <w:tc>
          <w:tcPr>
            <w:tcW w:w="1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157.8</w:t>
            </w:r>
          </w:p>
        </w:tc>
        <w:tc>
          <w:tcPr>
            <w:tcW w:w="2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157.8</w:t>
            </w: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funds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90.8</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w:t>
            </w: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Hedge funds</w:t>
            </w:r>
          </w:p>
        </w:tc>
        <w:tc>
          <w:tcPr>
            <w:tcW w:w="18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18"/>
                <w:szCs w:val="18"/>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20.6</w:t>
            </w:r>
          </w:p>
        </w:tc>
      </w:tr>
      <w:tr>
        <w:trPr>
          <w:trHeight w:val="216"/>
        </w:trPr>
        <w:tc>
          <w:tcPr>
            <w:tcW w:w="39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9.9</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w:t>
            </w:r>
          </w:p>
        </w:tc>
      </w:tr>
      <w:tr>
        <w:trPr>
          <w:trHeight w:val="209"/>
        </w:trPr>
        <w:tc>
          <w:tcPr>
            <w:tcW w:w="3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157.6</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242.6</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5" w:name="page86"/>
    <w:bookmarkEnd w:id="85"/>
    <w:p>
      <w:pPr>
        <w:ind w:left="5380"/>
        <w:spacing w:after="0"/>
        <w:rPr>
          <w:sz w:val="20"/>
          <w:szCs w:val="20"/>
          <w:color w:val="auto"/>
        </w:rPr>
      </w:pPr>
      <w:r>
        <w:rPr>
          <w:rFonts w:ascii="Arial" w:cs="Arial" w:eastAsia="Arial" w:hAnsi="Arial"/>
          <w:sz w:val="15"/>
          <w:szCs w:val="15"/>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25400</wp:posOffset>
            </wp:positionV>
            <wp:extent cx="2751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7"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Fair Value Measurements Using</w:t>
      </w:r>
    </w:p>
    <w:p>
      <w:pPr>
        <w:spacing w:after="0" w:line="34" w:lineRule="exact"/>
        <w:rPr>
          <w:sz w:val="20"/>
          <w:szCs w:val="20"/>
          <w:color w:val="auto"/>
        </w:rPr>
      </w:pPr>
    </w:p>
    <w:tbl>
      <w:tblPr>
        <w:tblLayout w:type="fixed"/>
        <w:tblInd w:w="2420" w:type="dxa"/>
        <w:tblCellMar>
          <w:top w:w="0" w:type="dxa"/>
          <w:left w:w="0" w:type="dxa"/>
          <w:bottom w:w="0" w:type="dxa"/>
          <w:right w:w="0" w:type="dxa"/>
        </w:tblCellMar>
      </w:tblPr>
      <w:tr>
        <w:trPr>
          <w:trHeight w:val="206"/>
        </w:trPr>
        <w:tc>
          <w:tcPr>
            <w:tcW w:w="10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Quoted</w:t>
            </w:r>
          </w:p>
        </w:tc>
        <w:tc>
          <w:tcPr>
            <w:tcW w:w="10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Prices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in Active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c>
          <w:tcPr>
            <w:tcW w:w="112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Markets for</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Identical</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Observable</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w w:val="99"/>
              </w:rPr>
              <w:t>Unobservable</w:t>
            </w:r>
          </w:p>
        </w:tc>
      </w:tr>
      <w:tr>
        <w:trPr>
          <w:trHeight w:val="203"/>
        </w:trPr>
        <w:tc>
          <w:tcPr>
            <w:tcW w:w="1080" w:type="dxa"/>
            <w:vAlign w:val="bottom"/>
          </w:tcPr>
          <w:p>
            <w:pPr>
              <w:jc w:val="right"/>
              <w:ind w:right="79"/>
              <w:spacing w:after="0"/>
              <w:rPr>
                <w:sz w:val="20"/>
                <w:szCs w:val="20"/>
                <w:color w:val="auto"/>
              </w:rPr>
            </w:pPr>
            <w:r>
              <w:rPr>
                <w:rFonts w:ascii="Arial" w:cs="Arial" w:eastAsia="Arial" w:hAnsi="Arial"/>
                <w:sz w:val="16"/>
                <w:szCs w:val="16"/>
                <w:color w:val="auto"/>
                <w:w w:val="89"/>
              </w:rPr>
              <w:t>December 31,</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Assets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6"/>
        </w:trPr>
        <w:tc>
          <w:tcPr>
            <w:tcW w:w="1080" w:type="dxa"/>
            <w:vAlign w:val="bottom"/>
          </w:tcPr>
          <w:p>
            <w:pPr>
              <w:jc w:val="right"/>
              <w:ind w:right="99"/>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(Level 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(Level 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bl>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5"/>
          <w:szCs w:val="15"/>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7" w:lineRule="exact"/>
        <w:rPr>
          <w:sz w:val="20"/>
          <w:szCs w:val="20"/>
          <w:color w:val="auto"/>
        </w:rPr>
      </w:pPr>
    </w:p>
    <w:p>
      <w:pPr>
        <w:ind w:left="2180"/>
        <w:spacing w:after="0"/>
        <w:rPr>
          <w:sz w:val="20"/>
          <w:szCs w:val="20"/>
          <w:color w:val="auto"/>
        </w:rPr>
      </w:pPr>
      <w:r>
        <w:rPr>
          <w:rFonts w:ascii="Arial" w:cs="Arial" w:eastAsia="Arial" w:hAnsi="Arial"/>
          <w:sz w:val="15"/>
          <w:szCs w:val="15"/>
          <w:color w:val="auto"/>
        </w:rPr>
        <w:t>Fair Value Measurements Using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Quoted</w:t>
            </w:r>
          </w:p>
        </w:tc>
        <w:tc>
          <w:tcPr>
            <w:tcW w:w="10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Prices</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in Active</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c>
          <w:tcPr>
            <w:tcW w:w="1140" w:type="dxa"/>
            <w:vAlign w:val="bottom"/>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Markets for</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Significant</w:t>
            </w:r>
          </w:p>
        </w:tc>
      </w:tr>
      <w:tr>
        <w:trPr>
          <w:trHeight w:val="203"/>
        </w:trPr>
        <w:tc>
          <w:tcPr>
            <w:tcW w:w="108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Identical</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Observable</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Unobservable</w:t>
            </w:r>
          </w:p>
        </w:tc>
      </w:tr>
      <w:tr>
        <w:trPr>
          <w:trHeight w:val="203"/>
        </w:trPr>
        <w:tc>
          <w:tcPr>
            <w:tcW w:w="1080" w:type="dxa"/>
            <w:vAlign w:val="bottom"/>
          </w:tcPr>
          <w:p>
            <w:pPr>
              <w:jc w:val="right"/>
              <w:ind w:right="79"/>
              <w:spacing w:after="0"/>
              <w:rPr>
                <w:sz w:val="20"/>
                <w:szCs w:val="20"/>
                <w:color w:val="auto"/>
              </w:rPr>
            </w:pPr>
            <w:r>
              <w:rPr>
                <w:rFonts w:ascii="Arial" w:cs="Arial" w:eastAsia="Arial" w:hAnsi="Arial"/>
                <w:sz w:val="16"/>
                <w:szCs w:val="16"/>
                <w:color w:val="auto"/>
                <w:w w:val="89"/>
              </w:rPr>
              <w:t>December 31,</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Assets</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Inputs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Inputs</w:t>
            </w:r>
          </w:p>
        </w:tc>
      </w:tr>
      <w:tr>
        <w:trPr>
          <w:trHeight w:val="206"/>
        </w:trPr>
        <w:tc>
          <w:tcPr>
            <w:tcW w:w="1080" w:type="dxa"/>
            <w:vAlign w:val="bottom"/>
          </w:tcPr>
          <w:p>
            <w:pPr>
              <w:jc w:val="right"/>
              <w:ind w:right="79"/>
              <w:spacing w:after="0"/>
              <w:rPr>
                <w:sz w:val="20"/>
                <w:szCs w:val="20"/>
                <w:color w:val="auto"/>
              </w:rPr>
            </w:pPr>
            <w:r>
              <w:rPr>
                <w:rFonts w:ascii="Arial" w:cs="Arial" w:eastAsia="Arial" w:hAnsi="Arial"/>
                <w:sz w:val="16"/>
                <w:szCs w:val="16"/>
                <w:color w:val="auto"/>
              </w:rPr>
              <w:t>2019</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(Level 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(Level 2)</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(Level 3)</w:t>
            </w:r>
          </w:p>
        </w:tc>
      </w:tr>
    </w:tbl>
    <w:p>
      <w:pPr>
        <w:spacing w:after="0" w:line="1" w:lineRule="exact"/>
        <w:rPr>
          <w:sz w:val="20"/>
          <w:szCs w:val="20"/>
          <w:color w:val="auto"/>
        </w:rPr>
      </w:pPr>
    </w:p>
    <w:p>
      <w:pPr>
        <w:sectPr>
          <w:pgSz w:w="11900" w:h="16838" w:orient="portrait"/>
          <w:cols w:equalWidth="0" w:num="2">
            <w:col w:w="6760" w:space="100"/>
            <w:col w:w="4380"/>
          </w:cols>
          <w:pgMar w:left="320" w:top="845"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 Category</w:t>
            </w:r>
          </w:p>
        </w:tc>
        <w:tc>
          <w:tcPr>
            <w:tcW w:w="4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2360" w:type="dxa"/>
            <w:vAlign w:val="bottom"/>
          </w:tcPr>
          <w:p>
            <w:pPr>
              <w:spacing w:after="0" w:line="216" w:lineRule="exact"/>
              <w:rPr>
                <w:sz w:val="20"/>
                <w:szCs w:val="20"/>
                <w:color w:val="auto"/>
              </w:rPr>
            </w:pPr>
            <w:r>
              <w:rPr>
                <w:rFonts w:ascii="Arial" w:cs="Arial" w:eastAsia="Arial" w:hAnsi="Arial"/>
                <w:sz w:val="15"/>
                <w:szCs w:val="15"/>
                <w:color w:val="auto"/>
              </w:rPr>
              <w:t xml:space="preserve">Cash and cash equivalents </w:t>
            </w:r>
            <w:r>
              <w:rPr>
                <w:rFonts w:ascii="Arial" w:cs="Arial" w:eastAsia="Arial" w:hAnsi="Arial"/>
                <w:sz w:val="25"/>
                <w:szCs w:val="25"/>
                <w:color w:val="auto"/>
                <w:vertAlign w:val="superscript"/>
              </w:rPr>
              <w:t>(1)</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Equity securities:</w:t>
            </w: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3"/>
        </w:trPr>
        <w:tc>
          <w:tcPr>
            <w:tcW w:w="23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4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4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98.0</w:t>
            </w: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60" w:type="dxa"/>
            <w:vAlign w:val="bottom"/>
          </w:tcPr>
          <w:p>
            <w:pPr>
              <w:spacing w:after="0"/>
              <w:rPr>
                <w:sz w:val="20"/>
                <w:szCs w:val="20"/>
                <w:color w:val="auto"/>
              </w:rPr>
            </w:pPr>
            <w:r>
              <w:rPr>
                <w:rFonts w:ascii="Arial" w:cs="Arial" w:eastAsia="Arial" w:hAnsi="Arial"/>
                <w:sz w:val="16"/>
                <w:szCs w:val="16"/>
                <w:color w:val="auto"/>
              </w:rPr>
              <w:t>Fixed income instruments: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2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Fixed income funds</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w:t>
            </w:r>
          </w:p>
        </w:tc>
        <w:tc>
          <w:tcPr>
            <w:tcW w:w="4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160.0</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160.0</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60" w:type="dxa"/>
            <w:vAlign w:val="bottom"/>
          </w:tcPr>
          <w:p>
            <w:pPr>
              <w:ind w:left="260"/>
              <w:spacing w:after="0"/>
              <w:rPr>
                <w:sz w:val="20"/>
                <w:szCs w:val="20"/>
                <w:color w:val="auto"/>
              </w:rPr>
            </w:pPr>
            <w:r>
              <w:rPr>
                <w:rFonts w:ascii="Arial" w:cs="Arial" w:eastAsia="Arial" w:hAnsi="Arial"/>
                <w:sz w:val="16"/>
                <w:szCs w:val="16"/>
                <w:color w:val="auto"/>
              </w:rPr>
              <w:t>Annuity contract</w:t>
            </w:r>
          </w:p>
        </w:tc>
        <w:tc>
          <w:tcPr>
            <w:tcW w:w="4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52.5</w:t>
            </w:r>
          </w:p>
        </w:tc>
      </w:tr>
      <w:tr>
        <w:trPr>
          <w:trHeight w:val="219"/>
        </w:trPr>
        <w:tc>
          <w:tcPr>
            <w:tcW w:w="2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Bonds</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37.0</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37.0</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2360" w:type="dxa"/>
            <w:vAlign w:val="bottom"/>
          </w:tcPr>
          <w:p>
            <w:pPr>
              <w:ind w:left="260"/>
              <w:spacing w:after="0"/>
              <w:rPr>
                <w:sz w:val="20"/>
                <w:szCs w:val="20"/>
                <w:color w:val="auto"/>
              </w:rPr>
            </w:pPr>
            <w:r>
              <w:rPr>
                <w:rFonts w:ascii="Arial" w:cs="Arial" w:eastAsia="Arial" w:hAnsi="Arial"/>
                <w:sz w:val="16"/>
                <w:szCs w:val="16"/>
                <w:color w:val="auto"/>
                <w:w w:val="91"/>
              </w:rPr>
              <w:t>Guaranteed insurance contracts</w:t>
            </w:r>
          </w:p>
        </w:tc>
        <w:tc>
          <w:tcPr>
            <w:tcW w:w="4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Other types of investments:</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13"/>
        </w:trPr>
        <w:tc>
          <w:tcPr>
            <w:tcW w:w="2360" w:type="dxa"/>
            <w:vAlign w:val="bottom"/>
          </w:tcPr>
          <w:p>
            <w:pPr>
              <w:ind w:left="260"/>
              <w:spacing w:after="0"/>
              <w:rPr>
                <w:sz w:val="20"/>
                <w:szCs w:val="20"/>
                <w:color w:val="auto"/>
              </w:rPr>
            </w:pPr>
            <w:r>
              <w:rPr>
                <w:rFonts w:ascii="Arial" w:cs="Arial" w:eastAsia="Arial" w:hAnsi="Arial"/>
                <w:sz w:val="16"/>
                <w:szCs w:val="16"/>
                <w:color w:val="auto"/>
              </w:rPr>
              <w:t>Insurance contracts</w:t>
            </w:r>
          </w:p>
        </w:tc>
        <w:tc>
          <w:tcPr>
            <w:tcW w:w="4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130.6</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130.6</w:t>
            </w:r>
          </w:p>
        </w:tc>
      </w:tr>
      <w:tr>
        <w:trPr>
          <w:trHeight w:val="219"/>
        </w:trPr>
        <w:tc>
          <w:tcPr>
            <w:tcW w:w="2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funds</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93.3</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87.3</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r>
      <w:tr>
        <w:trPr>
          <w:trHeight w:val="213"/>
        </w:trPr>
        <w:tc>
          <w:tcPr>
            <w:tcW w:w="2360" w:type="dxa"/>
            <w:vAlign w:val="bottom"/>
          </w:tcPr>
          <w:p>
            <w:pPr>
              <w:ind w:left="260"/>
              <w:spacing w:after="0"/>
              <w:rPr>
                <w:sz w:val="20"/>
                <w:szCs w:val="20"/>
                <w:color w:val="auto"/>
              </w:rPr>
            </w:pPr>
            <w:r>
              <w:rPr>
                <w:rFonts w:ascii="Arial" w:cs="Arial" w:eastAsia="Arial" w:hAnsi="Arial"/>
                <w:sz w:val="16"/>
                <w:szCs w:val="16"/>
                <w:color w:val="auto"/>
              </w:rPr>
              <w:t>Hedge funds</w:t>
            </w:r>
          </w:p>
        </w:tc>
        <w:tc>
          <w:tcPr>
            <w:tcW w:w="4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4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16"/>
        </w:trPr>
        <w:tc>
          <w:tcPr>
            <w:tcW w:w="23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8.4</w:t>
            </w: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4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209"/>
        </w:trPr>
        <w:tc>
          <w:tcPr>
            <w:tcW w:w="2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38.8</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314.8</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214.8</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 This category includes a prime obligations money market portfolio.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4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color w:val="auto"/>
              </w:rPr>
              <w:t>2020</w:t>
            </w: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color w:val="auto"/>
              </w:rPr>
              <w:t>2019</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41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214.8</w:t>
            </w:r>
          </w:p>
        </w:tc>
        <w:tc>
          <w:tcPr>
            <w:tcW w:w="7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153.9</w:t>
            </w: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41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16.4</w:t>
            </w:r>
          </w:p>
        </w:tc>
        <w:tc>
          <w:tcPr>
            <w:tcW w:w="74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30.5</w:t>
            </w: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4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27.6</w:t>
            </w: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Purchases, sales and settlements, net</w:t>
            </w:r>
          </w:p>
        </w:tc>
        <w:tc>
          <w:tcPr>
            <w:tcW w:w="4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74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w:t>
            </w:r>
          </w:p>
        </w:tc>
      </w:tr>
      <w:tr>
        <w:trPr>
          <w:trHeight w:val="229"/>
        </w:trPr>
        <w:tc>
          <w:tcPr>
            <w:tcW w:w="42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Currency exchange rate changes</w:t>
            </w:r>
          </w:p>
        </w:tc>
        <w:tc>
          <w:tcPr>
            <w:tcW w:w="4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17.7</w:t>
            </w:r>
          </w:p>
        </w:tc>
        <w:tc>
          <w:tcPr>
            <w:tcW w:w="7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0.3</w:t>
            </w: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end of year</w:t>
            </w:r>
          </w:p>
        </w:tc>
        <w:tc>
          <w:tcPr>
            <w:tcW w:w="4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242.6</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214.8</w:t>
            </w:r>
          </w:p>
        </w:tc>
      </w:tr>
      <w:tr>
        <w:trPr>
          <w:trHeight w:val="871"/>
        </w:trPr>
        <w:tc>
          <w:tcPr>
            <w:tcW w:w="4200" w:type="dxa"/>
            <w:vAlign w:val="bottom"/>
          </w:tcPr>
          <w:p>
            <w:pPr>
              <w:spacing w:after="0"/>
              <w:rPr>
                <w:sz w:val="24"/>
                <w:szCs w:val="24"/>
                <w:color w:val="auto"/>
              </w:rPr>
            </w:pPr>
          </w:p>
        </w:tc>
        <w:tc>
          <w:tcPr>
            <w:tcW w:w="4120" w:type="dxa"/>
            <w:vAlign w:val="bottom"/>
          </w:tcPr>
          <w:p>
            <w:pPr>
              <w:jc w:val="right"/>
              <w:ind w:right="2510"/>
              <w:spacing w:after="0"/>
              <w:rPr>
                <w:sz w:val="20"/>
                <w:szCs w:val="20"/>
                <w:color w:val="auto"/>
              </w:rPr>
            </w:pPr>
            <w:r>
              <w:rPr>
                <w:rFonts w:ascii="Arial" w:cs="Arial" w:eastAsia="Arial" w:hAnsi="Arial"/>
                <w:sz w:val="18"/>
                <w:szCs w:val="18"/>
                <w:color w:val="auto"/>
              </w:rPr>
              <w:t>86</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 xml:space="preserve">Retiree </w:t>
      </w:r>
      <w:r>
        <w:rPr>
          <w:rFonts w:ascii="Arial" w:cs="Arial" w:eastAsia="Arial" w:hAnsi="Arial"/>
          <w:sz w:val="18"/>
          <w:szCs w:val="18"/>
          <w:i w:val="1"/>
          <w:iCs w:val="1"/>
          <w:color w:val="282A32"/>
        </w:rPr>
        <w:t>Health Care Plan</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3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3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13.7</w:t>
            </w: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3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0.4</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0.5</w:t>
            </w: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316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0.8</w:t>
            </w:r>
          </w:p>
        </w:tc>
      </w:tr>
      <w:tr>
        <w:trPr>
          <w:trHeight w:val="229"/>
        </w:trPr>
        <w:tc>
          <w:tcPr>
            <w:tcW w:w="52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Benefits paid</w:t>
            </w:r>
          </w:p>
        </w:tc>
        <w:tc>
          <w:tcPr>
            <w:tcW w:w="3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7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3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Funded Status at End of Year</w:t>
            </w:r>
          </w:p>
        </w:tc>
        <w:tc>
          <w:tcPr>
            <w:tcW w:w="3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end of year</w:t>
            </w:r>
          </w:p>
        </w:tc>
        <w:tc>
          <w:tcPr>
            <w:tcW w:w="3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Amounts Recognized</w:t>
            </w:r>
          </w:p>
        </w:tc>
        <w:tc>
          <w:tcPr>
            <w:tcW w:w="3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3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7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3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recognized in accumulated other comprehensive loss, net of tax, consists of a net loss of $2.3 and $1.5 as of December 31, 2020 and 2019, respectively, and a prior service credit of $2.9 and $3.5 as of December 31, 2020 and 2019,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used in the measurement of the benefit obligation was 2.2% and 3.0% in 2020 and 2019, respectively. The discount rate used in the measurement of net periodic benefit cost was 3.0%, 4.2% and 3.2% in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and other amounts recognized in other comprehensive loss for this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Benefit Credit</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29"/>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credit</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periodic benefit credit</w:t>
            </w:r>
          </w:p>
        </w:tc>
        <w:tc>
          <w:tcPr>
            <w:tcW w:w="8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05"/>
        </w:trPr>
        <w:tc>
          <w:tcPr>
            <w:tcW w:w="6300" w:type="dxa"/>
            <w:vAlign w:val="bottom"/>
          </w:tcPr>
          <w:p>
            <w:pPr>
              <w:spacing w:after="0" w:line="205" w:lineRule="exact"/>
              <w:rPr>
                <w:sz w:val="20"/>
                <w:szCs w:val="20"/>
                <w:color w:val="auto"/>
              </w:rPr>
            </w:pPr>
            <w:r>
              <w:rPr>
                <w:rFonts w:ascii="Arial" w:cs="Arial" w:eastAsia="Arial" w:hAnsi="Arial"/>
                <w:sz w:val="18"/>
                <w:szCs w:val="18"/>
                <w:b w:val="1"/>
                <w:bCs w:val="1"/>
                <w:color w:val="auto"/>
                <w:w w:val="97"/>
              </w:rPr>
              <w:t>Other Changes in Plan Assets and Benefit Obligations Recognized in Other</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Comprehensive Income/Loss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loss (gain)</w:t>
            </w:r>
          </w:p>
        </w:tc>
        <w:tc>
          <w:tcPr>
            <w:tcW w:w="8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8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r>
      <w:tr>
        <w:trPr>
          <w:trHeight w:val="223"/>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income/loss</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r>
      <w:tr>
        <w:trPr>
          <w:trHeight w:val="223"/>
        </w:trPr>
        <w:tc>
          <w:tcPr>
            <w:tcW w:w="6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Total recognized in net periodic benefit cost and other comprehensive income/loss</w:t>
            </w:r>
          </w:p>
        </w:tc>
        <w:tc>
          <w:tcPr>
            <w:tcW w:w="8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health care cost trend rate is assumed to be 6.5% for 2021, decreasing gradually to an ultimate rate of 4.5% in 2027. Assumed health care cost trend rates are not expected to have a material effect on the amounts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Future Contributions and Payments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we plan to contribute approximately $16.0 to our pension plans and to fund our retiree health care payments as incurred. Projected benefit payments from the plans as of December 31, 2020 were estimated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Retiree Health</w:t>
            </w:r>
          </w:p>
        </w:tc>
      </w:tr>
      <w:tr>
        <w:trPr>
          <w:trHeight w:val="23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2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Pension Plans</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Care Plan</w:t>
            </w: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65.8</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2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4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2024</w:t>
            </w:r>
          </w:p>
        </w:tc>
        <w:tc>
          <w:tcPr>
            <w:tcW w:w="2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29"/>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2026–2029</w:t>
            </w:r>
          </w:p>
        </w:tc>
        <w:tc>
          <w:tcPr>
            <w:tcW w:w="2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150.0</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r>
      <w:tr>
        <w:trPr>
          <w:trHeight w:val="223"/>
        </w:trPr>
        <w:tc>
          <w:tcPr>
            <w:tcW w:w="5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projected benefit payments</w:t>
            </w:r>
          </w:p>
        </w:tc>
        <w:tc>
          <w:tcPr>
            <w:tcW w:w="298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329.2</w:t>
            </w:r>
          </w:p>
        </w:tc>
        <w:tc>
          <w:tcPr>
            <w:tcW w:w="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9.9</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 and Deferred Compensation Plans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$16.6, $16.9 and $17.7 for the years ended December 31, 2020, 2019 and 2018, respectively. In certain countries with statutory defined contribution plans, we pay a percentage of the employees' salary in pension premiums. The total expense for the statutory defined contribution plans was $27.5, $32.1 and $37.4 for the years ended December 31, 2020, 2019 and 2018, respectively.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$118.4 and $106.2 as of December 31, 2020 and 2019, respectively, with the remaining plans holding immaterial amounts of assets and liabilities.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Arial" w:cs="Arial" w:eastAsia="Arial" w:hAnsi="Arial"/>
                <w:sz w:val="18"/>
                <w:szCs w:val="18"/>
                <w:color w:val="auto"/>
              </w:rPr>
              <w:t>(10) Accumulated Other Comprehensive Loss</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760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22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7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(72.1)</w:t>
            </w:r>
          </w:p>
        </w:tc>
        <w:tc>
          <w:tcPr>
            <w:tcW w:w="7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w w:val="92"/>
              </w:rPr>
              <w:t>Translation (loss) gain on derivative instruments, net of income taxes of $(34.9) and $(9.1), respectively</w:t>
            </w:r>
          </w:p>
        </w:tc>
        <w:tc>
          <w:tcPr>
            <w:tcW w:w="7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7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13.1</w:t>
            </w:r>
          </w:p>
        </w:tc>
      </w:tr>
      <w:tr>
        <w:trPr>
          <w:trHeight w:val="229"/>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(133.3)</w:t>
            </w: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taxes of $(38.2) and $(30.9), respectively</w:t>
            </w:r>
          </w:p>
        </w:tc>
        <w:tc>
          <w:tcPr>
            <w:tcW w:w="7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760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$1.8 and $1.6, respectively</w:t>
            </w:r>
          </w:p>
        </w:tc>
        <w:tc>
          <w:tcPr>
            <w:tcW w:w="7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7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(397.3)</w:t>
            </w: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r>
      <w:tr>
        <w:trPr>
          <w:trHeight w:val="871"/>
        </w:trPr>
        <w:tc>
          <w:tcPr>
            <w:tcW w:w="7600" w:type="dxa"/>
            <w:vAlign w:val="bottom"/>
            <w:gridSpan w:val="3"/>
          </w:tcPr>
          <w:p>
            <w:pPr>
              <w:ind w:left="554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5800" w:type="dxa"/>
            <w:vAlign w:val="bottom"/>
            <w:gridSpan w:val="3"/>
          </w:tcPr>
          <w:p>
            <w:pPr>
              <w:spacing w:after="0"/>
              <w:rPr>
                <w:sz w:val="20"/>
                <w:szCs w:val="20"/>
                <w:color w:val="auto"/>
              </w:rPr>
            </w:pPr>
            <w:r>
              <w:rPr>
                <w:rFonts w:ascii="Arial" w:cs="Arial" w:eastAsia="Arial" w:hAnsi="Arial"/>
                <w:sz w:val="18"/>
                <w:szCs w:val="18"/>
                <w:color w:val="auto"/>
              </w:rPr>
              <w:t>(11) Interest and Other Expenses (Income), Net</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expenses (income), net consisted of the following:</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5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43.3</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44.4</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r>
      <w:tr>
        <w:trPr>
          <w:trHeight w:val="229"/>
        </w:trPr>
        <w:tc>
          <w:tcPr>
            <w:tcW w:w="58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29"/>
        </w:trPr>
        <w:tc>
          <w:tcPr>
            <w:tcW w:w="5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xml:space="preserve">Miscellaneous expenses (income), net </w:t>
            </w:r>
            <w:r>
              <w:rPr>
                <w:rFonts w:ascii="Arial" w:cs="Arial" w:eastAsia="Arial" w:hAnsi="Arial"/>
                <w:sz w:val="15"/>
                <w:szCs w:val="15"/>
                <w:color w:val="auto"/>
              </w:rPr>
              <w:t>(1)</w:t>
            </w:r>
          </w:p>
        </w:tc>
        <w:tc>
          <w:tcPr>
            <w:tcW w:w="1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80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Interest and other expenses (income), net</w:t>
            </w:r>
          </w:p>
        </w:tc>
        <w:tc>
          <w:tcPr>
            <w:tcW w:w="136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39.9</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(40.6)</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r>
    </w:tbl>
    <w:p>
      <w:pPr>
        <w:spacing w:after="0" w:line="215" w:lineRule="exact"/>
        <w:rPr>
          <w:sz w:val="20"/>
          <w:szCs w:val="20"/>
          <w:color w:val="auto"/>
        </w:rPr>
      </w:pPr>
    </w:p>
    <w:p>
      <w:pPr>
        <w:ind w:right="20" w:firstLine="8"/>
        <w:spacing w:after="0" w:line="277" w:lineRule="auto"/>
        <w:tabs>
          <w:tab w:leader="none" w:pos="2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2019 is an $80.4 gain related to our acquisition of the remaining controlling interest in Manpower Switzerland. See Note 4 to the Consolidated Financial Statements for further information.</w:t>
      </w: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€400.0 ($487.8) notes due September 2022 and the €500.0 ($606.7) notes due June 2026 were designated as a hedge of our net investment in our foreign subsidiaries with a Euro-functional currency as of December 31, 2020.</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OCI for the year ended December 31, 2020, and 2019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4"/>
          </w:tcPr>
          <w:p>
            <w:pPr>
              <w:jc w:val="center"/>
              <w:ind w:right="790"/>
              <w:spacing w:after="0"/>
              <w:rPr>
                <w:sz w:val="20"/>
                <w:szCs w:val="20"/>
                <w:color w:val="auto"/>
              </w:rPr>
            </w:pPr>
            <w:r>
              <w:rPr>
                <w:rFonts w:ascii="Arial" w:cs="Arial" w:eastAsia="Arial" w:hAnsi="Arial"/>
                <w:sz w:val="18"/>
                <w:szCs w:val="18"/>
                <w:b w:val="1"/>
                <w:bCs w:val="1"/>
                <w:color w:val="auto"/>
                <w:w w:val="89"/>
              </w:rPr>
              <w:t>(Loss) Gain Recognized in Other Comprehensive Income</w:t>
            </w:r>
          </w:p>
        </w:tc>
      </w:tr>
      <w:tr>
        <w:trPr>
          <w:trHeight w:val="223"/>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b w:val="1"/>
                <w:bCs w:val="1"/>
                <w:color w:val="auto"/>
                <w:w w:val="90"/>
              </w:rPr>
              <w:t>Year Ended December 31,</w:t>
            </w:r>
          </w:p>
        </w:tc>
        <w:tc>
          <w:tcPr>
            <w:tcW w:w="2420" w:type="dxa"/>
            <w:vAlign w:val="bottom"/>
            <w:tcBorders>
              <w:bottom w:val="single" w:sz="8" w:color="auto"/>
            </w:tcBorders>
          </w:tcPr>
          <w:p>
            <w:pPr>
              <w:spacing w:after="0"/>
              <w:rPr>
                <w:sz w:val="19"/>
                <w:szCs w:val="19"/>
                <w:color w:val="auto"/>
              </w:rPr>
            </w:pPr>
          </w:p>
        </w:tc>
      </w:tr>
      <w:tr>
        <w:trPr>
          <w:trHeight w:val="223"/>
        </w:trPr>
        <w:tc>
          <w:tcPr>
            <w:tcW w:w="3860" w:type="dxa"/>
            <w:vAlign w:val="bottom"/>
            <w:gridSpan w:val="2"/>
          </w:tcPr>
          <w:p>
            <w:pPr>
              <w:ind w:left="1440"/>
              <w:spacing w:after="0"/>
              <w:rPr>
                <w:sz w:val="20"/>
                <w:szCs w:val="20"/>
                <w:color w:val="auto"/>
              </w:rPr>
            </w:pPr>
            <w:r>
              <w:rPr>
                <w:rFonts w:ascii="Arial" w:cs="Arial" w:eastAsia="Arial" w:hAnsi="Arial"/>
                <w:sz w:val="18"/>
                <w:szCs w:val="18"/>
                <w:b w:val="1"/>
                <w:bCs w:val="1"/>
                <w:color w:val="auto"/>
              </w:rPr>
              <w:t>Instrument</w:t>
            </w:r>
          </w:p>
        </w:tc>
        <w:tc>
          <w:tcPr>
            <w:tcW w:w="760" w:type="dxa"/>
            <w:vAlign w:val="bottom"/>
          </w:tcPr>
          <w:p>
            <w:pPr>
              <w:spacing w:after="0"/>
              <w:rPr>
                <w:sz w:val="19"/>
                <w:szCs w:val="19"/>
                <w:color w:val="auto"/>
              </w:rPr>
            </w:pPr>
          </w:p>
        </w:tc>
        <w:tc>
          <w:tcPr>
            <w:tcW w:w="2860" w:type="dxa"/>
            <w:vAlign w:val="bottom"/>
          </w:tcPr>
          <w:p>
            <w:pPr>
              <w:jc w:val="right"/>
              <w:ind w:right="1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jc w:val="right"/>
              <w:ind w:right="1610"/>
              <w:spacing w:after="0"/>
              <w:rPr>
                <w:sz w:val="20"/>
                <w:szCs w:val="20"/>
                <w:color w:val="auto"/>
              </w:rPr>
            </w:pPr>
            <w:r>
              <w:rPr>
                <w:rFonts w:ascii="Arial" w:cs="Arial" w:eastAsia="Arial" w:hAnsi="Arial"/>
                <w:sz w:val="18"/>
                <w:szCs w:val="18"/>
                <w:b w:val="1"/>
                <w:bCs w:val="1"/>
                <w:color w:val="auto"/>
              </w:rPr>
              <w:t>2019</w:t>
            </w: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 Notes</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76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apply the hypothetical derivative method in conjunction with regression analysis using a third-party valuation to measure effectiveness of our cross-currency swap agreement.</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OCI, AOCL and earnings for the year ended December 31,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9"/>
              </w:rPr>
              <w:t>Gain Reclassified</w:t>
            </w: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Gain Recognized in OCI</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4"/>
              </w:rPr>
              <w:t>from AOCL into Income</w:t>
            </w:r>
          </w:p>
        </w:tc>
      </w:tr>
      <w:tr>
        <w:trPr>
          <w:trHeight w:val="223"/>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of Gain Reclassified</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28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4"/>
              </w:rPr>
              <w:t>from AOCL into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bl>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expect the net amount of pre-tax derivative gains and losses included in AOCL at December 31, 2020 to be reclassified into earnings to approximate $1.0 over the next twelve months. The actual amount that will be reclassified to earnings will vary due to future currency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year ended December 31, 2020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0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8"/>
                <w:szCs w:val="18"/>
                <w:b w:val="1"/>
                <w:bCs w:val="1"/>
                <w:color w:val="auto"/>
              </w:rPr>
              <w:t>Amount of Gain Recognized in Income</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3980" w:type="dxa"/>
            <w:vAlign w:val="bottom"/>
            <w:gridSpan w:val="2"/>
          </w:tcPr>
          <w:p>
            <w:pPr>
              <w:ind w:left="1500"/>
              <w:spacing w:after="0"/>
              <w:rPr>
                <w:sz w:val="20"/>
                <w:szCs w:val="20"/>
                <w:color w:val="auto"/>
              </w:rPr>
            </w:pPr>
            <w:r>
              <w:rPr>
                <w:rFonts w:ascii="Arial" w:cs="Arial" w:eastAsia="Arial" w:hAnsi="Arial"/>
                <w:sz w:val="18"/>
                <w:szCs w:val="18"/>
                <w:b w:val="1"/>
                <w:bCs w:val="1"/>
                <w:color w:val="auto"/>
              </w:rPr>
              <w:t>Instrument</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100" w:type="dxa"/>
            <w:vAlign w:val="bottom"/>
          </w:tcPr>
          <w:p>
            <w:pPr>
              <w:spacing w:after="0"/>
              <w:rPr>
                <w:sz w:val="19"/>
                <w:szCs w:val="19"/>
                <w:color w:val="auto"/>
              </w:rPr>
            </w:pPr>
          </w:p>
        </w:tc>
        <w:tc>
          <w:tcPr>
            <w:tcW w:w="3820" w:type="dxa"/>
            <w:vAlign w:val="bottom"/>
            <w:gridSpan w:val="4"/>
          </w:tcPr>
          <w:p>
            <w:pPr>
              <w:jc w:val="right"/>
              <w:ind w:right="618"/>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60" w:type="dxa"/>
            <w:vAlign w:val="bottom"/>
            <w:tcBorders>
              <w:top w:val="single" w:sz="8" w:color="auto"/>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700" w:type="dxa"/>
            <w:vAlign w:val="bottom"/>
            <w:tcBorders>
              <w:top w:val="single" w:sz="8" w:color="auto"/>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09"/>
        </w:trPr>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158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143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282A32"/>
        </w:rPr>
        <w:t>Derivative and Non-Derivative Assets and Liabilities</w:t>
      </w:r>
    </w:p>
    <w:p>
      <w:pPr>
        <w:spacing w:after="0" w:line="239" w:lineRule="exact"/>
        <w:rPr>
          <w:sz w:val="20"/>
          <w:szCs w:val="20"/>
          <w:color w:val="auto"/>
        </w:rPr>
      </w:pPr>
    </w:p>
    <w:p>
      <w:pPr>
        <w:spacing w:after="0" w:line="258" w:lineRule="auto"/>
        <w:rPr>
          <w:sz w:val="20"/>
          <w:szCs w:val="20"/>
          <w:color w:val="auto"/>
        </w:rPr>
      </w:pPr>
      <w:r>
        <w:rPr>
          <w:rFonts w:ascii="Arial" w:cs="Arial" w:eastAsia="Arial" w:hAnsi="Arial"/>
          <w:sz w:val="18"/>
          <w:szCs w:val="18"/>
          <w:color w:val="282A32"/>
        </w:rPr>
        <w:t>The following tables present the fair value of derivative and non-derivative assets and liabilities on the Consolidated Balance Sheets as of December 31, 2020, and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23"/>
        </w:trPr>
        <w:tc>
          <w:tcPr>
            <w:tcW w:w="40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8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2"/>
              </w:rPr>
              <w:t>Prepaid expenses and other assets</w:t>
            </w:r>
          </w:p>
        </w:tc>
        <w:tc>
          <w:tcPr>
            <w:tcW w:w="86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8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3520" w:type="dxa"/>
            <w:vAlign w:val="bottom"/>
            <w:tcBorders>
              <w:bottom w:val="single" w:sz="8" w:color="CFF0FC"/>
            </w:tcBorders>
            <w:gridSpan w:val="2"/>
          </w:tcPr>
          <w:p>
            <w:pPr>
              <w:ind w:left="88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880" w:type="dxa"/>
            <w:vAlign w:val="bottom"/>
            <w:tcBorders>
              <w:bottom w:val="single" w:sz="8" w:color="CFF0FC"/>
            </w:tcBorders>
            <w:shd w:val="clear" w:color="auto" w:fill="CFF0FC"/>
          </w:tcPr>
          <w:p>
            <w:pPr>
              <w:spacing w:after="0"/>
              <w:rPr>
                <w:sz w:val="19"/>
                <w:szCs w:val="19"/>
                <w:color w:val="auto"/>
              </w:rPr>
            </w:pPr>
          </w:p>
        </w:tc>
        <w:tc>
          <w:tcPr>
            <w:tcW w:w="26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r>
      <w:tr>
        <w:trPr>
          <w:trHeight w:val="20"/>
        </w:trPr>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Borders>
              <w:bottom w:val="single" w:sz="8" w:color="auto"/>
            </w:tcBorders>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2380" w:type="dxa"/>
            <w:vAlign w:val="bottom"/>
          </w:tcPr>
          <w:p>
            <w:pPr>
              <w:ind w:left="400"/>
              <w:spacing w:after="0"/>
              <w:rPr>
                <w:sz w:val="20"/>
                <w:szCs w:val="20"/>
                <w:color w:val="auto"/>
              </w:rPr>
            </w:pPr>
            <w:r>
              <w:rPr>
                <w:rFonts w:ascii="Arial" w:cs="Arial" w:eastAsia="Arial" w:hAnsi="Arial"/>
                <w:sz w:val="18"/>
                <w:szCs w:val="18"/>
                <w:b w:val="1"/>
                <w:bCs w:val="1"/>
                <w:color w:val="auto"/>
                <w:w w:val="96"/>
              </w:rPr>
              <w:t>Balance Sheet Location</w:t>
            </w:r>
          </w:p>
        </w:tc>
        <w:tc>
          <w:tcPr>
            <w:tcW w:w="340" w:type="dxa"/>
            <w:vAlign w:val="bottom"/>
            <w:gridSpan w:val="2"/>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ind w:right="61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2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380" w:type="dxa"/>
            <w:vAlign w:val="bottom"/>
          </w:tcPr>
          <w:p>
            <w:pPr>
              <w:spacing w:after="0"/>
              <w:rPr>
                <w:sz w:val="20"/>
                <w:szCs w:val="20"/>
                <w:color w:val="auto"/>
              </w:rPr>
            </w:pPr>
            <w:r>
              <w:rPr>
                <w:rFonts w:ascii="Arial" w:cs="Arial" w:eastAsia="Arial" w:hAnsi="Arial"/>
                <w:sz w:val="18"/>
                <w:szCs w:val="18"/>
                <w:color w:val="auto"/>
              </w:rPr>
              <w:t>Long-term debt</w:t>
            </w:r>
          </w:p>
        </w:tc>
        <w:tc>
          <w:tcPr>
            <w:tcW w:w="1260" w:type="dxa"/>
            <w:vAlign w:val="bottom"/>
            <w:gridSpan w:val="3"/>
          </w:tcPr>
          <w:p>
            <w:pPr>
              <w:jc w:val="right"/>
              <w:ind w:right="75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1,094.5</w:t>
            </w:r>
          </w:p>
        </w:tc>
        <w:tc>
          <w:tcPr>
            <w:tcW w:w="100" w:type="dxa"/>
            <w:vAlign w:val="bottom"/>
          </w:tcPr>
          <w:p>
            <w:pPr>
              <w:spacing w:after="0"/>
              <w:rPr>
                <w:sz w:val="19"/>
                <w:szCs w:val="19"/>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1,002.9</w:t>
            </w: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r>
      <w:tr>
        <w:trPr>
          <w:trHeight w:val="223"/>
        </w:trPr>
        <w:tc>
          <w:tcPr>
            <w:tcW w:w="524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1,125.0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1,008.9</w:t>
            </w:r>
          </w:p>
        </w:tc>
      </w:tr>
      <w:tr>
        <w:trPr>
          <w:trHeight w:val="20"/>
        </w:trPr>
        <w:tc>
          <w:tcPr>
            <w:tcW w:w="5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82A32"/>
        </w:rPr>
        <w:t>The fair value measurements of these items recorded in our Consolidated Balance Sheets for the years ended December 31, 2020 and 2019 are disclosed in Note 1 to the Consolidated Financial Statements.</w:t>
      </w:r>
    </w:p>
    <w:p>
      <w:pPr>
        <w:spacing w:after="0" w:line="62"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6"/>
            <w:vMerge w:val="restart"/>
          </w:tcPr>
          <w:p>
            <w:pPr>
              <w:jc w:val="right"/>
              <w:ind w:right="790"/>
              <w:spacing w:after="0"/>
              <w:rPr>
                <w:sz w:val="20"/>
                <w:szCs w:val="20"/>
                <w:color w:val="auto"/>
              </w:rPr>
            </w:pPr>
            <w:r>
              <w:rPr>
                <w:rFonts w:ascii="Arial" w:cs="Arial" w:eastAsia="Arial" w:hAnsi="Arial"/>
                <w:sz w:val="18"/>
                <w:szCs w:val="18"/>
                <w:b w:val="1"/>
                <w:bCs w:val="1"/>
                <w:color w:val="auto"/>
                <w:w w:val="97"/>
              </w:rPr>
              <w:t>Year Ended December 31,</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4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Total lease expense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(1) Other lease expense includes variable lease expense and sublease income.</w:t>
            </w: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62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vMerge w:val="restart"/>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7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877"/>
        </w:trPr>
        <w:tc>
          <w:tcPr>
            <w:tcW w:w="7620" w:type="dxa"/>
            <w:vAlign w:val="bottom"/>
          </w:tcPr>
          <w:p>
            <w:pPr>
              <w:ind w:left="554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7"/>
              </w:rPr>
              <w:t>December 31,</w:t>
            </w:r>
          </w:p>
        </w:tc>
        <w:tc>
          <w:tcPr>
            <w:tcW w:w="1220" w:type="dxa"/>
            <w:vAlign w:val="bottom"/>
            <w:tcBorders>
              <w:bottom w:val="single" w:sz="8" w:color="auto"/>
            </w:tcBorders>
          </w:tcPr>
          <w:p>
            <w:pPr>
              <w:spacing w:after="0"/>
              <w:rPr>
                <w:sz w:val="20"/>
                <w:szCs w:val="20"/>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2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23"/>
        </w:trPr>
        <w:tc>
          <w:tcPr>
            <w:tcW w:w="542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2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448.5</w:t>
            </w:r>
          </w:p>
        </w:tc>
      </w:tr>
      <w:tr>
        <w:trPr>
          <w:trHeight w:val="223"/>
        </w:trPr>
        <w:tc>
          <w:tcPr>
            <w:tcW w:w="5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2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119.3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122.1</w:t>
            </w: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305.1</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336.7</w:t>
            </w:r>
          </w:p>
        </w:tc>
      </w:tr>
      <w:tr>
        <w:trPr>
          <w:trHeight w:val="223"/>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424.4</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458.8</w:t>
            </w:r>
          </w:p>
        </w:tc>
      </w:tr>
    </w:tbl>
    <w:p>
      <w:pPr>
        <w:spacing w:after="0" w:line="229" w:lineRule="exact"/>
        <w:rPr>
          <w:sz w:val="20"/>
          <w:szCs w:val="20"/>
          <w:color w:val="auto"/>
        </w:rPr>
      </w:pPr>
    </w:p>
    <w:p>
      <w:pPr>
        <w:ind w:right="3840" w:firstLine="8"/>
        <w:spacing w:after="0" w:line="277" w:lineRule="auto"/>
        <w:tabs>
          <w:tab w:leader="none" w:pos="3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24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9"/>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5.2 years</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5.6 years</w:t>
            </w:r>
          </w:p>
        </w:tc>
      </w:tr>
      <w:tr>
        <w:trPr>
          <w:trHeight w:val="230"/>
        </w:trPr>
        <w:tc>
          <w:tcPr>
            <w:tcW w:w="786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675"/>
        </w:trPr>
        <w:tc>
          <w:tcPr>
            <w:tcW w:w="786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2020 were as follows:</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Period Ending December 31, 2020</w:t>
            </w:r>
          </w:p>
        </w:tc>
        <w:tc>
          <w:tcPr>
            <w:tcW w:w="27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129.6</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2022</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99.9</w:t>
            </w: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69.9</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2024</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50.6</w:t>
            </w: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34.0</w:t>
            </w:r>
          </w:p>
        </w:tc>
      </w:tr>
      <w:tr>
        <w:trPr>
          <w:trHeight w:val="23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77.3</w:t>
            </w:r>
          </w:p>
        </w:tc>
      </w:tr>
      <w:tr>
        <w:trPr>
          <w:trHeight w:val="223"/>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3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461.3</w:t>
            </w:r>
          </w:p>
        </w:tc>
      </w:tr>
      <w:tr>
        <w:trPr>
          <w:trHeight w:val="230"/>
        </w:trPr>
        <w:tc>
          <w:tcPr>
            <w:tcW w:w="60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Less imputed interest</w:t>
            </w:r>
          </w:p>
        </w:tc>
        <w:tc>
          <w:tcPr>
            <w:tcW w:w="3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3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424.4</w:t>
            </w:r>
          </w:p>
        </w:tc>
      </w:tr>
      <w:tr>
        <w:trPr>
          <w:trHeight w:val="20"/>
        </w:trPr>
        <w:tc>
          <w:tcPr>
            <w:tcW w:w="602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8820" w:type="dxa"/>
            <w:vAlign w:val="bottom"/>
            <w:gridSpan w:val="4"/>
          </w:tcPr>
          <w:p>
            <w:pPr>
              <w:spacing w:after="0"/>
              <w:rPr>
                <w:sz w:val="20"/>
                <w:szCs w:val="20"/>
                <w:color w:val="auto"/>
              </w:rPr>
            </w:pPr>
            <w:r>
              <w:rPr>
                <w:rFonts w:ascii="Arial" w:cs="Arial" w:eastAsia="Arial" w:hAnsi="Arial"/>
                <w:sz w:val="18"/>
                <w:szCs w:val="18"/>
                <w:color w:val="auto"/>
                <w:w w:val="90"/>
              </w:rPr>
              <w:t>Total assets for the segments are reported after the elimination of investments in subsidiaries and intercompany accounts.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from Services</w:t>
            </w:r>
            <w:r>
              <w:rPr>
                <w:rFonts w:ascii="Arial" w:cs="Arial" w:eastAsia="Arial" w:hAnsi="Arial"/>
                <w:sz w:val="15"/>
                <w:szCs w:val="15"/>
                <w:b w:val="1"/>
                <w:bCs w:val="1"/>
                <w:color w:val="auto"/>
              </w:rPr>
              <w:t>(a)</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Americas: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r>
              <w:rPr>
                <w:rFonts w:ascii="Arial" w:cs="Arial" w:eastAsia="Arial" w:hAnsi="Arial"/>
                <w:sz w:val="15"/>
                <w:szCs w:val="15"/>
                <w:color w:val="auto"/>
              </w:rPr>
              <w:t>(b)</w:t>
            </w:r>
          </w:p>
        </w:tc>
        <w:tc>
          <w:tcPr>
            <w:tcW w:w="8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2,327.2</w:t>
            </w:r>
          </w:p>
        </w:tc>
        <w:tc>
          <w:tcPr>
            <w:tcW w:w="6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2,590.6</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2,608.9</w:t>
            </w:r>
          </w:p>
        </w:tc>
      </w:tr>
      <w:tr>
        <w:trPr>
          <w:trHeight w:val="230"/>
        </w:trPr>
        <w:tc>
          <w:tcPr>
            <w:tcW w:w="62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1,465.2</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1,688.0</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1,650.0</w:t>
            </w:r>
          </w:p>
        </w:tc>
      </w:tr>
      <w:tr>
        <w:trPr>
          <w:trHeight w:val="223"/>
        </w:trPr>
        <w:tc>
          <w:tcPr>
            <w:tcW w:w="6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3,792.4</w:t>
            </w: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4,278.6</w:t>
            </w: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4,258.9</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Southern Europe:</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4,338.1</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5,479.6</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5,846.4</w:t>
            </w: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Italy</w:t>
            </w:r>
          </w:p>
        </w:tc>
        <w:tc>
          <w:tcPr>
            <w:tcW w:w="8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1,370.7</w:t>
            </w:r>
          </w:p>
        </w:tc>
        <w:tc>
          <w:tcPr>
            <w:tcW w:w="6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1,508.3</w:t>
            </w:r>
          </w:p>
        </w:tc>
        <w:tc>
          <w:tcPr>
            <w:tcW w:w="4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1,673.9</w:t>
            </w:r>
          </w:p>
        </w:tc>
      </w:tr>
      <w:tr>
        <w:trPr>
          <w:trHeight w:val="230"/>
        </w:trPr>
        <w:tc>
          <w:tcPr>
            <w:tcW w:w="62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8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2,146.4</w:t>
            </w: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2,206.5</w:t>
            </w: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1,879.6</w:t>
            </w:r>
          </w:p>
        </w:tc>
      </w:tr>
      <w:tr>
        <w:trPr>
          <w:trHeight w:val="223"/>
        </w:trPr>
        <w:tc>
          <w:tcPr>
            <w:tcW w:w="6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7,855.2</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9,194.4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9,399.9</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3,976.7</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4,735.5</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5,417.5</w:t>
            </w:r>
          </w:p>
        </w:tc>
      </w:tr>
      <w:tr>
        <w:trPr>
          <w:trHeight w:val="22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APME</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2,376.7</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2,655.0</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2,914.9</w:t>
            </w:r>
          </w:p>
        </w:tc>
      </w:tr>
      <w:tr>
        <w:trPr>
          <w:trHeight w:val="223"/>
        </w:trPr>
        <w:tc>
          <w:tcPr>
            <w:tcW w:w="6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18,001.0</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20,863.5</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21,991.2</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Unit Profit (Loss)</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Americas: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60.9</w:t>
            </w:r>
          </w:p>
        </w:tc>
        <w:tc>
          <w:tcPr>
            <w:tcW w:w="6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128.0</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149.9</w:t>
            </w:r>
          </w:p>
        </w:tc>
      </w:tr>
      <w:tr>
        <w:trPr>
          <w:trHeight w:val="230"/>
        </w:trPr>
        <w:tc>
          <w:tcPr>
            <w:tcW w:w="62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55.1</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w:t>
            </w:r>
          </w:p>
        </w:tc>
      </w:tr>
      <w:tr>
        <w:trPr>
          <w:trHeight w:val="223"/>
        </w:trPr>
        <w:tc>
          <w:tcPr>
            <w:tcW w:w="6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116.0</w:t>
            </w: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203.4</w:t>
            </w: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224.9</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Southern Europe:</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149.0</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284.9</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290.9</w:t>
            </w: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Italy</w:t>
            </w:r>
          </w:p>
        </w:tc>
        <w:tc>
          <w:tcPr>
            <w:tcW w:w="8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64.2</w:t>
            </w:r>
          </w:p>
        </w:tc>
        <w:tc>
          <w:tcPr>
            <w:tcW w:w="6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102.5</w:t>
            </w:r>
          </w:p>
        </w:tc>
        <w:tc>
          <w:tcPr>
            <w:tcW w:w="4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111.3</w:t>
            </w:r>
          </w:p>
        </w:tc>
      </w:tr>
      <w:tr>
        <w:trPr>
          <w:trHeight w:val="229"/>
        </w:trPr>
        <w:tc>
          <w:tcPr>
            <w:tcW w:w="62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8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23.8</w:t>
            </w: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67.9</w:t>
            </w: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66.5</w:t>
            </w:r>
          </w:p>
        </w:tc>
      </w:tr>
      <w:tr>
        <w:trPr>
          <w:trHeight w:val="223"/>
        </w:trPr>
        <w:tc>
          <w:tcPr>
            <w:tcW w:w="6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237.0</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455.3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468.7</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(27.6)</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74.4</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129.9</w:t>
            </w:r>
          </w:p>
        </w:tc>
      </w:tr>
      <w:tr>
        <w:trPr>
          <w:trHeight w:val="23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APME</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70.1</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127.5</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118.3</w:t>
            </w:r>
          </w:p>
        </w:tc>
      </w:tr>
      <w:tr>
        <w:trPr>
          <w:trHeight w:val="223"/>
        </w:trPr>
        <w:tc>
          <w:tcPr>
            <w:tcW w:w="6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395.5</w:t>
            </w: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860.6</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(113.9)</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(121.9)</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8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6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4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15"/>
                <w:szCs w:val="15"/>
                <w:color w:val="auto"/>
              </w:rPr>
              <w:t>(c)</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(27.2)</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(29.8)</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(expenses) income, net</w:t>
            </w:r>
          </w:p>
        </w:tc>
        <w:tc>
          <w:tcPr>
            <w:tcW w:w="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Earnings before income taxes</w:t>
            </w:r>
          </w:p>
        </w:tc>
        <w:tc>
          <w:tcPr>
            <w:tcW w:w="84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147.7</w:t>
            </w:r>
          </w:p>
        </w:tc>
        <w:tc>
          <w:tcPr>
            <w:tcW w:w="68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685.5</w:t>
            </w:r>
          </w:p>
        </w:tc>
        <w:tc>
          <w:tcPr>
            <w:tcW w:w="4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754.7</w:t>
            </w:r>
          </w:p>
        </w:tc>
      </w:tr>
      <w:tr>
        <w:trPr>
          <w:trHeight w:val="581"/>
        </w:trPr>
        <w:tc>
          <w:tcPr>
            <w:tcW w:w="6200" w:type="dxa"/>
            <w:vAlign w:val="bottom"/>
          </w:tcPr>
          <w:p>
            <w:pPr>
              <w:spacing w:after="0"/>
              <w:rPr>
                <w:sz w:val="20"/>
                <w:szCs w:val="20"/>
                <w:color w:val="auto"/>
              </w:rPr>
            </w:pPr>
            <w:r>
              <w:rPr>
                <w:rFonts w:ascii="Arial" w:cs="Arial" w:eastAsia="Arial" w:hAnsi="Arial"/>
                <w:sz w:val="16"/>
                <w:szCs w:val="16"/>
                <w:color w:val="282A32"/>
                <w:w w:val="98"/>
              </w:rPr>
              <w:t>(a) Further breakdown of revenues from services by geographical region was as follows: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65"/>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Revenues from Services</w:t>
            </w: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2,327.2</w:t>
            </w:r>
          </w:p>
        </w:tc>
        <w:tc>
          <w:tcPr>
            <w:tcW w:w="6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2,590.6</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2,608.9</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France</w:t>
            </w:r>
          </w:p>
        </w:tc>
        <w:tc>
          <w:tcPr>
            <w:tcW w:w="8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4,338.1</w:t>
            </w:r>
          </w:p>
        </w:tc>
        <w:tc>
          <w:tcPr>
            <w:tcW w:w="6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5,479.6</w:t>
            </w:r>
          </w:p>
        </w:tc>
        <w:tc>
          <w:tcPr>
            <w:tcW w:w="4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5,846.4</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Italy</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1,370.7</w:t>
            </w:r>
          </w:p>
        </w:tc>
        <w:tc>
          <w:tcPr>
            <w:tcW w:w="6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1,508.3</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1,673.9</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United Kingdom</w:t>
            </w:r>
          </w:p>
        </w:tc>
        <w:tc>
          <w:tcPr>
            <w:tcW w:w="8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1,402.9</w:t>
            </w:r>
          </w:p>
        </w:tc>
        <w:tc>
          <w:tcPr>
            <w:tcW w:w="6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1,598.6</w:t>
            </w:r>
          </w:p>
        </w:tc>
        <w:tc>
          <w:tcPr>
            <w:tcW w:w="4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1,672.1</w:t>
            </w:r>
          </w:p>
        </w:tc>
      </w:tr>
      <w:tr>
        <w:trPr>
          <w:trHeight w:val="229"/>
        </w:trPr>
        <w:tc>
          <w:tcPr>
            <w:tcW w:w="6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Foreign</w:t>
            </w:r>
          </w:p>
        </w:tc>
        <w:tc>
          <w:tcPr>
            <w:tcW w:w="8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15,673.8</w:t>
            </w: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18,272.9</w:t>
            </w: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19,382.3</w:t>
            </w:r>
          </w:p>
        </w:tc>
      </w:tr>
    </w:tbl>
    <w:p>
      <w:pPr>
        <w:spacing w:after="0" w:line="31" w:lineRule="exact"/>
        <w:rPr>
          <w:sz w:val="20"/>
          <w:szCs w:val="20"/>
          <w:color w:val="auto"/>
        </w:rPr>
      </w:pPr>
    </w:p>
    <w:p>
      <w:pPr>
        <w:ind w:firstLine="8"/>
        <w:spacing w:after="0" w:line="290" w:lineRule="auto"/>
        <w:tabs>
          <w:tab w:leader="none" w:pos="237" w:val="left"/>
        </w:tabs>
        <w:numPr>
          <w:ilvl w:val="0"/>
          <w:numId w:val="50"/>
        </w:numPr>
        <w:rPr>
          <w:rFonts w:ascii="Arial" w:cs="Arial" w:eastAsia="Arial" w:hAnsi="Arial"/>
          <w:sz w:val="16"/>
          <w:szCs w:val="16"/>
          <w:color w:val="282A32"/>
        </w:rPr>
      </w:pPr>
      <w:r>
        <w:rPr>
          <w:rFonts w:ascii="Arial" w:cs="Arial" w:eastAsia="Arial" w:hAnsi="Arial"/>
          <w:sz w:val="16"/>
          <w:szCs w:val="16"/>
          <w:color w:val="282A32"/>
        </w:rPr>
        <w:t>The United States revenues above represent revenues from our company-owned branches and franchise fees received from our franchise operations, which were $12.6, $15.6 and $16.1 for 2020, 2019 and 2018, respectively.</w:t>
      </w:r>
    </w:p>
    <w:p>
      <w:pPr>
        <w:ind w:left="220" w:hanging="212"/>
        <w:spacing w:after="0"/>
        <w:tabs>
          <w:tab w:leader="none" w:pos="220" w:val="left"/>
        </w:tabs>
        <w:numPr>
          <w:ilvl w:val="0"/>
          <w:numId w:val="50"/>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Ended December 31</w:t>
            </w:r>
          </w:p>
        </w:tc>
        <w:tc>
          <w:tcPr>
            <w:tcW w:w="2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Americas:</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3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8.6</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r>
      <w:tr>
        <w:trPr>
          <w:trHeight w:val="230"/>
        </w:trPr>
        <w:tc>
          <w:tcPr>
            <w:tcW w:w="4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48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10.1</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11.0</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Southern Europe:</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14.4</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Italy</w:t>
            </w:r>
          </w:p>
        </w:tc>
        <w:tc>
          <w:tcPr>
            <w:tcW w:w="23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29"/>
        </w:trPr>
        <w:tc>
          <w:tcPr>
            <w:tcW w:w="4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5.3</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r>
      <w:tr>
        <w:trPr>
          <w:trHeight w:val="223"/>
        </w:trPr>
        <w:tc>
          <w:tcPr>
            <w:tcW w:w="48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9.8</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APME</w:t>
            </w:r>
          </w:p>
        </w:tc>
        <w:tc>
          <w:tcPr>
            <w:tcW w:w="23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29"/>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amortization expense(a)</w:t>
            </w: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27.2</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29.8</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35.1</w:t>
            </w:r>
          </w:p>
        </w:tc>
      </w:tr>
      <w:tr>
        <w:trPr>
          <w:trHeight w:val="223"/>
        </w:trPr>
        <w:tc>
          <w:tcPr>
            <w:tcW w:w="48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76.3</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77.2</w:t>
            </w:r>
          </w:p>
        </w:tc>
        <w:tc>
          <w:tcPr>
            <w:tcW w:w="60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85.8</w:t>
            </w:r>
          </w:p>
        </w:tc>
      </w:tr>
      <w:tr>
        <w:trPr>
          <w:trHeight w:val="223"/>
        </w:trPr>
        <w:tc>
          <w:tcPr>
            <w:tcW w:w="48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from Equity Investments</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Americas:</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3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Southern Europe:</w:t>
            </w: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Italy</w:t>
            </w:r>
          </w:p>
        </w:tc>
        <w:tc>
          <w:tcPr>
            <w:tcW w:w="2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47.5</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23"/>
        </w:trPr>
        <w:tc>
          <w:tcPr>
            <w:tcW w:w="48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47.4</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APME</w:t>
            </w:r>
          </w:p>
        </w:tc>
        <w:tc>
          <w:tcPr>
            <w:tcW w:w="230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w:t>
            </w:r>
          </w:p>
        </w:tc>
        <w:tc>
          <w:tcPr>
            <w:tcW w:w="2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6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8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50.5</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bl>
    <w:p>
      <w:pPr>
        <w:spacing w:after="0" w:line="31"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41" w:lineRule="exact"/>
        <w:rPr>
          <w:rFonts w:ascii="Arial" w:cs="Arial" w:eastAsia="Arial" w:hAnsi="Arial"/>
          <w:sz w:val="15"/>
          <w:szCs w:val="15"/>
          <w:color w:val="282A32"/>
        </w:rPr>
      </w:pPr>
    </w:p>
    <w:p>
      <w:pPr>
        <w:ind w:left="5540"/>
        <w:spacing w:after="0"/>
        <w:rPr>
          <w:rFonts w:ascii="Arial" w:cs="Arial" w:eastAsia="Arial" w:hAnsi="Arial"/>
          <w:sz w:val="15"/>
          <w:szCs w:val="15"/>
          <w:color w:val="282A32"/>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w:t>
            </w:r>
          </w:p>
        </w:tc>
        <w:tc>
          <w:tcPr>
            <w:tcW w:w="2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Americas:</w:t>
            </w:r>
          </w:p>
        </w:tc>
        <w:tc>
          <w:tcPr>
            <w:tcW w:w="2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7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2,103.8</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2,153.8</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1,888.1</w:t>
            </w:r>
          </w:p>
        </w:tc>
      </w:tr>
      <w:tr>
        <w:trPr>
          <w:trHeight w:val="230"/>
        </w:trPr>
        <w:tc>
          <w:tcPr>
            <w:tcW w:w="4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381.3</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382.4</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344.0</w:t>
            </w:r>
          </w:p>
        </w:tc>
      </w:tr>
      <w:tr>
        <w:trPr>
          <w:trHeight w:val="223"/>
        </w:trPr>
        <w:tc>
          <w:tcPr>
            <w:tcW w:w="430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2,485.1</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2,536.2</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2,232.1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Southern Europe:</w:t>
            </w:r>
          </w:p>
        </w:tc>
        <w:tc>
          <w:tcPr>
            <w:tcW w:w="2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2,778.3</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2,732.6</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2,740.9</w:t>
            </w: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Italy</w:t>
            </w:r>
          </w:p>
        </w:tc>
        <w:tc>
          <w:tcPr>
            <w:tcW w:w="27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540.4</w:t>
            </w:r>
          </w:p>
        </w:tc>
        <w:tc>
          <w:tcPr>
            <w:tcW w:w="5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464.2</w:t>
            </w: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406.5</w:t>
            </w:r>
          </w:p>
        </w:tc>
      </w:tr>
      <w:tr>
        <w:trPr>
          <w:trHeight w:val="229"/>
        </w:trPr>
        <w:tc>
          <w:tcPr>
            <w:tcW w:w="4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848.5</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778.7</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583.5</w:t>
            </w:r>
          </w:p>
        </w:tc>
      </w:tr>
      <w:tr>
        <w:trPr>
          <w:trHeight w:val="223"/>
        </w:trPr>
        <w:tc>
          <w:tcPr>
            <w:tcW w:w="4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4,167.2</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3,975.5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3,730.9</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1,366.7</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1,478.5</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1,240.9</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APME</w:t>
            </w:r>
          </w:p>
        </w:tc>
        <w:tc>
          <w:tcPr>
            <w:tcW w:w="27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806.0</w:t>
            </w:r>
          </w:p>
        </w:tc>
        <w:tc>
          <w:tcPr>
            <w:tcW w:w="5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744.2</w:t>
            </w: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795.0</w:t>
            </w:r>
          </w:p>
        </w:tc>
      </w:tr>
      <w:tr>
        <w:trPr>
          <w:trHeight w:val="229"/>
        </w:trPr>
        <w:tc>
          <w:tcPr>
            <w:tcW w:w="4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w:t>
            </w:r>
            <w:r>
              <w:rPr>
                <w:rFonts w:ascii="Arial" w:cs="Arial" w:eastAsia="Arial" w:hAnsi="Arial"/>
                <w:sz w:val="15"/>
                <w:szCs w:val="15"/>
                <w:color w:val="auto"/>
              </w:rPr>
              <w:t>(a)</w:t>
            </w:r>
          </w:p>
        </w:tc>
        <w:tc>
          <w:tcPr>
            <w:tcW w:w="2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503.2</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489.4</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520.9</w:t>
            </w:r>
          </w:p>
        </w:tc>
      </w:tr>
      <w:tr>
        <w:trPr>
          <w:trHeight w:val="223"/>
        </w:trPr>
        <w:tc>
          <w:tcPr>
            <w:tcW w:w="4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9,328.2</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9,223.8</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8,519.8</w:t>
            </w: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2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Americas</w:t>
            </w:r>
          </w:p>
        </w:tc>
        <w:tc>
          <w:tcPr>
            <w:tcW w:w="2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Southern Europe:</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France</w:t>
            </w:r>
          </w:p>
        </w:tc>
        <w:tc>
          <w:tcPr>
            <w:tcW w:w="27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Italy</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r>
      <w:tr>
        <w:trPr>
          <w:trHeight w:val="230"/>
        </w:trPr>
        <w:tc>
          <w:tcPr>
            <w:tcW w:w="43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Southern Europe</w:t>
            </w:r>
          </w:p>
        </w:tc>
        <w:tc>
          <w:tcPr>
            <w:tcW w:w="2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w:t>
            </w:r>
          </w:p>
        </w:tc>
      </w:tr>
      <w:tr>
        <w:trPr>
          <w:trHeight w:val="223"/>
        </w:trPr>
        <w:tc>
          <w:tcPr>
            <w:tcW w:w="430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Northern Europe</w:t>
            </w:r>
          </w:p>
        </w:tc>
        <w:tc>
          <w:tcPr>
            <w:tcW w:w="27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APME</w:t>
            </w:r>
          </w:p>
        </w:tc>
        <w:tc>
          <w:tcPr>
            <w:tcW w:w="27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30"/>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97.5</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23"/>
        </w:trPr>
        <w:tc>
          <w:tcPr>
            <w:tcW w:w="4300" w:type="dxa"/>
            <w:vAlign w:val="bottom"/>
            <w:tcBorders>
              <w:bottom w:val="single" w:sz="8" w:color="auto"/>
            </w:tcBorders>
            <w:shd w:val="clear" w:color="auto" w:fill="CFF0FC"/>
          </w:tcPr>
          <w:p>
            <w:pPr>
              <w:spacing w:after="0"/>
              <w:rPr>
                <w:sz w:val="19"/>
                <w:szCs w:val="19"/>
                <w:color w:val="auto"/>
              </w:rPr>
            </w:pPr>
          </w:p>
        </w:tc>
        <w:tc>
          <w:tcPr>
            <w:tcW w:w="27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106.6</w:t>
            </w:r>
          </w:p>
        </w:tc>
        <w:tc>
          <w:tcPr>
            <w:tcW w:w="5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97.8</w:t>
            </w:r>
          </w:p>
        </w:tc>
        <w:tc>
          <w:tcPr>
            <w:tcW w:w="5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161.4</w:t>
            </w:r>
          </w:p>
        </w:tc>
      </w:tr>
    </w:tbl>
    <w:p>
      <w:pPr>
        <w:spacing w:after="0" w:line="31"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6"/>
          <w:szCs w:val="16"/>
          <w:color w:val="282A32"/>
        </w:rPr>
      </w:pPr>
      <w:r>
        <w:rPr>
          <w:rFonts w:ascii="Arial" w:cs="Arial" w:eastAsia="Arial" w:hAnsi="Arial"/>
          <w:sz w:val="16"/>
          <w:szCs w:val="16"/>
          <w:color w:val="282A32"/>
        </w:rPr>
        <w:t>Corporate assets include assets that were not used in the operations of any segment, the most significant of which were purchased intangibles and cash.</w:t>
      </w:r>
    </w:p>
    <w:p>
      <w:pPr>
        <w:spacing w:after="0" w:line="200" w:lineRule="exact"/>
        <w:rPr>
          <w:rFonts w:ascii="Arial" w:cs="Arial" w:eastAsia="Arial" w:hAnsi="Arial"/>
          <w:sz w:val="16"/>
          <w:szCs w:val="16"/>
          <w:color w:val="282A32"/>
        </w:rPr>
      </w:pPr>
    </w:p>
    <w:p>
      <w:pPr>
        <w:spacing w:after="0" w:line="232" w:lineRule="exact"/>
        <w:rPr>
          <w:rFonts w:ascii="Arial" w:cs="Arial" w:eastAsia="Arial" w:hAnsi="Arial"/>
          <w:sz w:val="16"/>
          <w:szCs w:val="16"/>
          <w:color w:val="282A32"/>
        </w:rPr>
      </w:pPr>
    </w:p>
    <w:p>
      <w:pPr>
        <w:ind w:left="5540"/>
        <w:spacing w:after="0"/>
        <w:rPr>
          <w:rFonts w:ascii="Arial" w:cs="Arial" w:eastAsia="Arial" w:hAnsi="Arial"/>
          <w:sz w:val="16"/>
          <w:szCs w:val="16"/>
          <w:color w:val="282A32"/>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and Year Ended December 31</w:t>
            </w:r>
          </w:p>
        </w:tc>
        <w:tc>
          <w:tcPr>
            <w:tcW w:w="2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15"/>
                <w:szCs w:val="15"/>
                <w:b w:val="1"/>
                <w:bCs w:val="1"/>
                <w:color w:val="auto"/>
              </w:rPr>
              <w:t>(a)</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Americas:</w:t>
            </w:r>
          </w:p>
        </w:tc>
        <w:tc>
          <w:tcPr>
            <w:tcW w:w="2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2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22.4</w:t>
            </w:r>
          </w:p>
        </w:tc>
      </w:tr>
      <w:tr>
        <w:trPr>
          <w:trHeight w:val="229"/>
        </w:trPr>
        <w:tc>
          <w:tcPr>
            <w:tcW w:w="4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Americas</w:t>
            </w:r>
          </w:p>
        </w:tc>
        <w:tc>
          <w:tcPr>
            <w:tcW w:w="2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r>
      <w:tr>
        <w:trPr>
          <w:trHeight w:val="223"/>
        </w:trPr>
        <w:tc>
          <w:tcPr>
            <w:tcW w:w="464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24.0</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28.7</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28.7</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Southern Europe:</w:t>
            </w:r>
          </w:p>
        </w:tc>
        <w:tc>
          <w:tcPr>
            <w:tcW w:w="2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France</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44.8</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46.9</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50.1</w:t>
            </w: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Italy</w:t>
            </w:r>
          </w:p>
        </w:tc>
        <w:tc>
          <w:tcPr>
            <w:tcW w:w="2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29"/>
        </w:trPr>
        <w:tc>
          <w:tcPr>
            <w:tcW w:w="46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Southern Europe</w:t>
            </w: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23.5</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r>
      <w:tr>
        <w:trPr>
          <w:trHeight w:val="223"/>
        </w:trPr>
        <w:tc>
          <w:tcPr>
            <w:tcW w:w="4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75.6</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Northern Europe</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27.5</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APME</w:t>
            </w:r>
          </w:p>
        </w:tc>
        <w:tc>
          <w:tcPr>
            <w:tcW w:w="2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22.1</w:t>
            </w:r>
          </w:p>
        </w:tc>
      </w:tr>
      <w:tr>
        <w:trPr>
          <w:trHeight w:val="229"/>
        </w:trPr>
        <w:tc>
          <w:tcPr>
            <w:tcW w:w="4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w:t>
            </w: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4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154.3</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150.9</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160.0</w:t>
            </w: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Additions to Long-Lived Assets</w:t>
            </w:r>
          </w:p>
        </w:tc>
        <w:tc>
          <w:tcPr>
            <w:tcW w:w="2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5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29"/>
        </w:trPr>
        <w:tc>
          <w:tcPr>
            <w:tcW w:w="46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Other Americas</w:t>
            </w: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23"/>
        </w:trPr>
        <w:tc>
          <w:tcPr>
            <w:tcW w:w="4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Southern Europe:</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color w:val="auto"/>
              </w:rPr>
              <w:t>France</w:t>
            </w:r>
          </w:p>
        </w:tc>
        <w:tc>
          <w:tcPr>
            <w:tcW w:w="2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12.9</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29"/>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Italy</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4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Southern Europe</w:t>
            </w:r>
          </w:p>
        </w:tc>
        <w:tc>
          <w:tcPr>
            <w:tcW w:w="2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223"/>
        </w:trPr>
        <w:tc>
          <w:tcPr>
            <w:tcW w:w="464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20.0</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Northern Europe</w:t>
            </w:r>
          </w:p>
        </w:tc>
        <w:tc>
          <w:tcPr>
            <w:tcW w:w="2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APME</w:t>
            </w:r>
          </w:p>
        </w:tc>
        <w:tc>
          <w:tcPr>
            <w:tcW w:w="2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30"/>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2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4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82A32"/>
        </w:rPr>
        <w:t>(a) Further breakdown of long-lived assets by geographical region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Long-Lived Assets</w:t>
            </w:r>
          </w:p>
        </w:tc>
        <w:tc>
          <w:tcPr>
            <w:tcW w:w="3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1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22.4</w:t>
            </w: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France</w:t>
            </w:r>
          </w:p>
        </w:tc>
        <w:tc>
          <w:tcPr>
            <w:tcW w:w="3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50.1</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Italy</w:t>
            </w:r>
          </w:p>
        </w:tc>
        <w:tc>
          <w:tcPr>
            <w:tcW w:w="3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United Kingdom</w:t>
            </w:r>
          </w:p>
        </w:tc>
        <w:tc>
          <w:tcPr>
            <w:tcW w:w="31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30"/>
        </w:trPr>
        <w:tc>
          <w:tcPr>
            <w:tcW w:w="4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Foreign</w:t>
            </w:r>
          </w:p>
        </w:tc>
        <w:tc>
          <w:tcPr>
            <w:tcW w:w="3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137.8</w:t>
            </w: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130.4</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137.6</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Guarantees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entered into certain guarantee contracts and stand-by letters of credit that total $890.0 as of December 31, 2020 ($838.4 for guarantees and $51.6 for stand-by letters of credit,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Arial" w:cs="Arial" w:eastAsia="Arial" w:hAnsi="Arial"/>
                <w:sz w:val="18"/>
                <w:szCs w:val="18"/>
                <w:color w:val="auto"/>
              </w:rPr>
              <w:t>(16) Quarterly Data (Unaudited)</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65"/>
        </w:trPr>
        <w:tc>
          <w:tcPr>
            <w:tcW w:w="36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First</w:t>
            </w:r>
          </w:p>
        </w:tc>
        <w:tc>
          <w:tcPr>
            <w:tcW w:w="400" w:type="dxa"/>
            <w:vAlign w:val="bottom"/>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Third</w:t>
            </w: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Fourth</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Quarter</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2020</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Revenues from services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4,619.1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3,742.2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4,584.8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5,054.9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18,001.0</w:t>
            </w:r>
          </w:p>
        </w:tc>
      </w:tr>
      <w:tr>
        <w:trPr>
          <w:trHeight w:val="230"/>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724.0</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576.7</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798.9</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2,824.7</w:t>
            </w: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 xml:space="preserve">Operating profit (loss) </w:t>
            </w:r>
            <w:r>
              <w:rPr>
                <w:rFonts w:ascii="Arial" w:cs="Arial" w:eastAsia="Arial" w:hAnsi="Arial"/>
                <w:sz w:val="15"/>
                <w:szCs w:val="15"/>
                <w:color w:val="auto"/>
              </w:rPr>
              <w:t>(a)(c)(d)(e)</w:t>
            </w:r>
          </w:p>
        </w:tc>
        <w:tc>
          <w:tcPr>
            <w:tcW w:w="14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138.3</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187.6</w:t>
            </w:r>
          </w:p>
        </w:tc>
      </w:tr>
      <w:tr>
        <w:trPr>
          <w:trHeight w:val="229"/>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Net earnings (loss) </w:t>
            </w:r>
            <w:r>
              <w:rPr>
                <w:rFonts w:ascii="Arial" w:cs="Arial" w:eastAsia="Arial" w:hAnsi="Arial"/>
                <w:sz w:val="15"/>
                <w:szCs w:val="15"/>
                <w:color w:val="auto"/>
              </w:rPr>
              <w:t>(a)(b)(c)(d)(e)(f)</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w:t>
            </w: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Net earnings (loss) per share - basic</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0.41</w:t>
            </w:r>
          </w:p>
        </w:tc>
      </w:tr>
      <w:tr>
        <w:trPr>
          <w:trHeight w:val="229"/>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earnings (loss) per share - diluted</w:t>
            </w:r>
            <w:r>
              <w:rPr>
                <w:rFonts w:ascii="Arial" w:cs="Arial" w:eastAsia="Arial" w:hAnsi="Arial"/>
                <w:sz w:val="15"/>
                <w:szCs w:val="15"/>
                <w:color w:val="auto"/>
              </w:rPr>
              <w:t>(g)</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0.03</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Dividends per share</w:t>
            </w:r>
          </w:p>
        </w:tc>
        <w:tc>
          <w:tcPr>
            <w:tcW w:w="14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30"/>
        </w:trPr>
        <w:tc>
          <w:tcPr>
            <w:tcW w:w="36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2019</w:t>
            </w: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5,044.9</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5,373.1</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5,248.9</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5,196.6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20,863.5</w:t>
            </w: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804.8</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870.4</w:t>
            </w:r>
          </w:p>
        </w:tc>
        <w:tc>
          <w:tcPr>
            <w:tcW w:w="3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840.3</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859.6</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3,375.1</w:t>
            </w:r>
          </w:p>
        </w:tc>
      </w:tr>
      <w:tr>
        <w:trPr>
          <w:trHeight w:val="229"/>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profit</w:t>
            </w:r>
            <w:r>
              <w:rPr>
                <w:rFonts w:ascii="Arial" w:cs="Arial" w:eastAsia="Arial" w:hAnsi="Arial"/>
                <w:sz w:val="15"/>
                <w:szCs w:val="15"/>
                <w:color w:val="auto"/>
              </w:rPr>
              <w:t>(h)(i)(k)</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105.5</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217.0</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191.6</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644.9</w:t>
            </w: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(h)(i)(j)(k)</w:t>
            </w:r>
          </w:p>
        </w:tc>
        <w:tc>
          <w:tcPr>
            <w:tcW w:w="14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127.3</w:t>
            </w:r>
          </w:p>
        </w:tc>
        <w:tc>
          <w:tcPr>
            <w:tcW w:w="3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138.8</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465.7</w:t>
            </w:r>
          </w:p>
        </w:tc>
      </w:tr>
      <w:tr>
        <w:trPr>
          <w:trHeight w:val="229"/>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0.88</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7.78</w:t>
            </w: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Net earnings per share - diluted</w:t>
            </w:r>
            <w:r>
              <w:rPr>
                <w:rFonts w:ascii="Arial" w:cs="Arial" w:eastAsia="Arial" w:hAnsi="Arial"/>
                <w:sz w:val="15"/>
                <w:szCs w:val="15"/>
                <w:color w:val="auto"/>
              </w:rPr>
              <w:t>(l)</w:t>
            </w:r>
          </w:p>
        </w:tc>
        <w:tc>
          <w:tcPr>
            <w:tcW w:w="14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7.72</w:t>
            </w:r>
          </w:p>
        </w:tc>
      </w:tr>
      <w:tr>
        <w:trPr>
          <w:trHeight w:val="230"/>
        </w:trPr>
        <w:tc>
          <w:tcPr>
            <w:tcW w:w="4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Dividends per share</w:t>
            </w:r>
          </w:p>
        </w:tc>
        <w:tc>
          <w:tcPr>
            <w:tcW w:w="1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r>
    </w:tbl>
    <w:p>
      <w:pPr>
        <w:spacing w:after="0" w:line="31" w:lineRule="exact"/>
        <w:rPr>
          <w:sz w:val="20"/>
          <w:szCs w:val="20"/>
          <w:color w:val="auto"/>
        </w:rPr>
      </w:pPr>
    </w:p>
    <w:p>
      <w:pPr>
        <w:ind w:left="240" w:hanging="225"/>
        <w:spacing w:after="0"/>
        <w:tabs>
          <w:tab w:leader="none" w:pos="2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Included restructuring costs of $48.2, $40.2 net of tax, $49.9, $42.1 net of tax, and $12.6, $8.7 net of tax, recorded in the first, third and fourth quarter, respectively.</w:t>
      </w:r>
    </w:p>
    <w:p>
      <w:pPr>
        <w:spacing w:after="0" w:line="33" w:lineRule="exact"/>
        <w:rPr>
          <w:rFonts w:ascii="Arial" w:cs="Arial" w:eastAsia="Arial" w:hAnsi="Arial"/>
          <w:sz w:val="15"/>
          <w:szCs w:val="15"/>
          <w:color w:val="auto"/>
        </w:rPr>
      </w:pPr>
    </w:p>
    <w:p>
      <w:pPr>
        <w:ind w:left="240" w:hanging="23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pension settlement expenses related to one of our United States plans of $10.2, $6.3 net of tax, recorded in the first quarter.</w:t>
      </w:r>
    </w:p>
    <w:p>
      <w:pPr>
        <w:spacing w:after="0" w:line="18" w:lineRule="exact"/>
        <w:rPr>
          <w:rFonts w:ascii="Arial" w:cs="Arial" w:eastAsia="Arial" w:hAnsi="Arial"/>
          <w:sz w:val="16"/>
          <w:szCs w:val="16"/>
          <w:color w:val="auto"/>
        </w:rPr>
      </w:pPr>
    </w:p>
    <w:p>
      <w:pPr>
        <w:ind w:left="280" w:right="20" w:hanging="265"/>
        <w:spacing w:after="0" w:line="264" w:lineRule="auto"/>
        <w:tabs>
          <w:tab w:leader="none" w:pos="23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goodwill impairment charge of $66.8 recorded in selling and administrative expenses and related tax charges of $3.7 recorded in provision for income taxes in the second quarter.</w:t>
      </w:r>
    </w:p>
    <w:p>
      <w:pPr>
        <w:ind w:left="240" w:hanging="23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software impairment charge of $6.0, $4.5 net of tax, recorded in the second quarter.</w:t>
      </w:r>
    </w:p>
    <w:p>
      <w:pPr>
        <w:spacing w:after="0" w:line="18" w:lineRule="exact"/>
        <w:rPr>
          <w:rFonts w:ascii="Arial" w:cs="Arial" w:eastAsia="Arial" w:hAnsi="Arial"/>
          <w:sz w:val="16"/>
          <w:szCs w:val="16"/>
          <w:color w:val="auto"/>
        </w:rPr>
      </w:pPr>
    </w:p>
    <w:p>
      <w:pPr>
        <w:ind w:left="220" w:hanging="212"/>
        <w:spacing w:after="0"/>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loss on the disposition of subsidiaries of $5.8, $5.2 net of tax, recorded in the third quarter.</w:t>
      </w:r>
    </w:p>
    <w:p>
      <w:pPr>
        <w:spacing w:after="0" w:line="18" w:lineRule="exact"/>
        <w:rPr>
          <w:rFonts w:ascii="Arial" w:cs="Arial" w:eastAsia="Arial" w:hAnsi="Arial"/>
          <w:sz w:val="16"/>
          <w:szCs w:val="16"/>
          <w:color w:val="auto"/>
        </w:rPr>
      </w:pPr>
    </w:p>
    <w:p>
      <w:pPr>
        <w:ind w:left="220" w:hanging="205"/>
        <w:spacing w:after="0"/>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discrete valuation allowance in Germany of $12.4 recorded in the third quarter.</w:t>
      </w:r>
    </w:p>
    <w:p>
      <w:pPr>
        <w:spacing w:after="0" w:line="18" w:lineRule="exact"/>
        <w:rPr>
          <w:rFonts w:ascii="Arial" w:cs="Arial" w:eastAsia="Arial" w:hAnsi="Arial"/>
          <w:sz w:val="16"/>
          <w:szCs w:val="16"/>
          <w:color w:val="auto"/>
        </w:rPr>
      </w:pPr>
    </w:p>
    <w:p>
      <w:pPr>
        <w:jc w:val="both"/>
        <w:ind w:left="280" w:hanging="265"/>
        <w:spacing w:after="0" w:line="264" w:lineRule="auto"/>
        <w:tabs>
          <w:tab w:leader="none" w:pos="25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the results are restructuring costs per diluted share of $(0.69), $(0.72), and $(0.15) for the first, third, and fourth quarter, respectively, pension settlement expenses per diluted share of $(0.11) for the first quarter, goodwill and related tax charges per diluted share of $(1.21) for the second quarter, software impairment charge of $(0.08) for the second quarter, loss on the disposition of subsidiaries of $(0.09) for the third quarter, and discrete valuation allowance in Germany of $(0.21) for the third quarter.</w:t>
      </w:r>
    </w:p>
    <w:p>
      <w:pPr>
        <w:ind w:left="240" w:hanging="23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restructuring costs of $39.8, $31.4 net of tax, recorded in the first quarter.</w:t>
      </w:r>
    </w:p>
    <w:p>
      <w:pPr>
        <w:spacing w:after="0" w:line="18" w:lineRule="exact"/>
        <w:rPr>
          <w:rFonts w:ascii="Arial" w:cs="Arial" w:eastAsia="Arial" w:hAnsi="Arial"/>
          <w:sz w:val="16"/>
          <w:szCs w:val="16"/>
          <w:color w:val="auto"/>
        </w:rPr>
      </w:pPr>
    </w:p>
    <w:p>
      <w:pPr>
        <w:ind w:left="280" w:hanging="265"/>
        <w:spacing w:after="0" w:line="264" w:lineRule="auto"/>
        <w:tabs>
          <w:tab w:leader="none" w:pos="21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goodwill impairment and related charges of $65.6 recorded in selling and administrative expenses and related tax charges of $10.3 recorded in provision for income taxes in the second quarter.</w:t>
      </w:r>
    </w:p>
    <w:p>
      <w:pPr>
        <w:ind w:left="280" w:hanging="265"/>
        <w:spacing w:after="0" w:line="264" w:lineRule="auto"/>
        <w:tabs>
          <w:tab w:leader="none" w:pos="209"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gain of $80.4 from the acquisition of the remaining controlling interest in Manpower Switzerland recorded in interest and other expenses (income), net in the second quarter.</w:t>
      </w:r>
    </w:p>
    <w:p>
      <w:pPr>
        <w:ind w:left="240" w:hanging="23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gain of $30.4 from the ManpowerGroup Greater China Limited IPO recorded in the third quarter.</w:t>
      </w:r>
    </w:p>
    <w:p>
      <w:pPr>
        <w:spacing w:after="0" w:line="18" w:lineRule="exact"/>
        <w:rPr>
          <w:rFonts w:ascii="Arial" w:cs="Arial" w:eastAsia="Arial" w:hAnsi="Arial"/>
          <w:sz w:val="16"/>
          <w:szCs w:val="16"/>
          <w:color w:val="auto"/>
        </w:rPr>
      </w:pPr>
    </w:p>
    <w:p>
      <w:pPr>
        <w:ind w:left="280" w:hanging="265"/>
        <w:spacing w:after="0" w:line="285" w:lineRule="auto"/>
        <w:tabs>
          <w:tab w:leader="none" w:pos="206"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the results are restructuring costs per diluted share of $(0.51) for the first quarter, goodwill and related tax and other charges per diluted share of $(1.26) for the second quarter, Manpower Switzerland acquisition gain per diluted share of $1.32 for the second quarter and ManpowerGroup Greater China Limited IPO gain per diluted share of $0.50 for the third quarter.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98" w:name="page99"/>
    <w:bookmarkEnd w:id="98"/>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Deloitte &amp; Touche LLP, an independent registered public accounting firm, as stated in their report which appears herein.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100" w:name="page101"/>
    <w:bookmarkEnd w:id="100"/>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9" w:lineRule="exact"/>
        <w:rPr>
          <w:sz w:val="20"/>
          <w:szCs w:val="20"/>
          <w:color w:val="auto"/>
        </w:rPr>
      </w:pPr>
    </w:p>
    <w:p>
      <w:pPr>
        <w:ind w:left="580" w:hanging="370"/>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184" w:lineRule="exact"/>
        <w:rPr>
          <w:rFonts w:ascii="Arial" w:cs="Arial" w:eastAsia="Arial" w:hAnsi="Arial"/>
          <w:sz w:val="18"/>
          <w:szCs w:val="18"/>
          <w:color w:val="auto"/>
        </w:rPr>
      </w:pPr>
    </w:p>
    <w:p>
      <w:pPr>
        <w:ind w:left="580" w:hanging="370"/>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7, 2021 under the caption “Election of Directors,” which information is hereby incorporated herein by reference.</w:t>
      </w:r>
    </w:p>
    <w:p>
      <w:pPr>
        <w:spacing w:after="0" w:line="129" w:lineRule="exact"/>
        <w:rPr>
          <w:rFonts w:ascii="Arial" w:cs="Arial" w:eastAsia="Arial" w:hAnsi="Arial"/>
          <w:sz w:val="18"/>
          <w:szCs w:val="18"/>
          <w:color w:val="auto"/>
        </w:rPr>
      </w:pPr>
    </w:p>
    <w:p>
      <w:pPr>
        <w:jc w:val="both"/>
        <w:ind w:left="580" w:hanging="370"/>
        <w:spacing w:after="0" w:line="263"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has determined that each of Gina R. Boswell, John F. Ferraro, and Paul Read, chair of the audit committee, is an “audit committee financial expert.” Ms. Boswell, Mr. Ferraro, and Mr. Read are all “independent” as that term is used in Item 7(d)(3)(iv) of Schedule 14A under the Exchange Act.</w:t>
      </w:r>
    </w:p>
    <w:p>
      <w:pPr>
        <w:spacing w:after="0" w:line="143" w:lineRule="exact"/>
        <w:rPr>
          <w:rFonts w:ascii="Arial" w:cs="Arial" w:eastAsia="Arial" w:hAnsi="Arial"/>
          <w:sz w:val="18"/>
          <w:szCs w:val="18"/>
          <w:color w:val="auto"/>
        </w:rPr>
      </w:pPr>
    </w:p>
    <w:p>
      <w:pPr>
        <w:jc w:val="both"/>
        <w:ind w:left="580" w:right="20" w:hanging="370"/>
        <w:spacing w:after="0" w:line="263"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 Committee. The information required by this Item is set forth in our Proxy Statement for the Annual Meeting of Shareholders to be held on May 7, 2021 under the caption “Election of Directors - Meetings and Committees of the Board,” which information is hereby incorporated herein by reference.</w:t>
      </w:r>
    </w:p>
    <w:p>
      <w:pPr>
        <w:spacing w:after="0" w:line="143" w:lineRule="exact"/>
        <w:rPr>
          <w:rFonts w:ascii="Arial" w:cs="Arial" w:eastAsia="Arial" w:hAnsi="Arial"/>
          <w:sz w:val="18"/>
          <w:szCs w:val="18"/>
          <w:color w:val="auto"/>
        </w:rPr>
      </w:pPr>
    </w:p>
    <w:p>
      <w:pPr>
        <w:jc w:val="both"/>
        <w:ind w:left="580" w:hanging="370"/>
        <w:spacing w:after="0" w:line="275" w:lineRule="auto"/>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7, 2021, under the captions "Compensation Discussion and Analysis," "Compensation Tables" and "CEO Pay Ratio;"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15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7, 2021, under the caption “Security Ownership of Certain Beneficial Owners,” and under the caption “Beneficial Ownership of Directors and Executive Officers,” which information is hereby incorporated herein by reference.</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as of December 31, 2020 about our shares of common stock outstanding and available for issuance under our existing equity compensation plans.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88"/>
              </w:rPr>
              <w:t>Weighted-average exercise</w:t>
            </w:r>
          </w:p>
        </w:tc>
        <w:tc>
          <w:tcPr>
            <w:tcW w:w="120" w:type="dxa"/>
            <w:vAlign w:val="bottom"/>
          </w:tcPr>
          <w:p>
            <w:pPr>
              <w:spacing w:after="0"/>
              <w:rPr>
                <w:sz w:val="19"/>
                <w:szCs w:val="19"/>
                <w:color w:val="auto"/>
              </w:rPr>
            </w:pPr>
          </w:p>
        </w:tc>
        <w:tc>
          <w:tcPr>
            <w:tcW w:w="17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Weighted-average</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2"/>
              </w:rPr>
              <w:t>Number of securities remaining</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Number of securities to be</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price of outstanding</w:t>
            </w: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contractual term of</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90"/>
              </w:rPr>
              <w:t>available for future issuance under</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issued upon exercise of</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 warrants and</w:t>
            </w: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 options,</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89"/>
              </w:rPr>
              <w:t>equity compensation plans as of</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 options,</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rights</w:t>
            </w: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warrants and rights</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89"/>
              </w:rPr>
              <w:t>December 31, 2020</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 and rights</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as of December 31, 2020</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as of December 31,</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91"/>
              </w:rPr>
              <w:t>(excluding securities reflected in the</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as of December 31, 2020</w:t>
            </w:r>
          </w:p>
        </w:tc>
        <w:tc>
          <w:tcPr>
            <w:tcW w:w="2080" w:type="dxa"/>
            <w:vAlign w:val="bottom"/>
          </w:tcPr>
          <w:p>
            <w:pPr>
              <w:jc w:val="center"/>
              <w:ind w:right="30"/>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2020 (years)</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94"/>
              </w:rPr>
              <w:t>first column) (1)</w:t>
            </w:r>
          </w:p>
        </w:tc>
      </w:tr>
      <w:tr>
        <w:trPr>
          <w:trHeight w:val="209"/>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Equity compensation plans</w:t>
            </w:r>
          </w:p>
        </w:tc>
        <w:tc>
          <w:tcPr>
            <w:tcW w:w="12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740" w:type="dxa"/>
            <w:vAlign w:val="bottom"/>
            <w:tcBorders>
              <w:top w:val="single" w:sz="8" w:color="auto"/>
            </w:tcBorders>
            <w:shd w:val="clear" w:color="auto" w:fill="CFF0FC"/>
          </w:tcPr>
          <w:p>
            <w:pPr>
              <w:spacing w:after="0"/>
              <w:rPr>
                <w:sz w:val="18"/>
                <w:szCs w:val="18"/>
                <w:color w:val="auto"/>
              </w:rPr>
            </w:pPr>
          </w:p>
        </w:tc>
      </w:tr>
      <w:tr>
        <w:trPr>
          <w:trHeight w:val="230"/>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approved by security holders</w:t>
            </w:r>
          </w:p>
        </w:tc>
        <w:tc>
          <w:tcPr>
            <w:tcW w:w="2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1,660,725</w:t>
            </w:r>
          </w:p>
        </w:tc>
        <w:tc>
          <w:tcPr>
            <w:tcW w:w="120" w:type="dxa"/>
            <w:vAlign w:val="bottom"/>
            <w:shd w:val="clear" w:color="auto" w:fill="CFF0FC"/>
          </w:tcPr>
          <w:p>
            <w:pPr>
              <w:spacing w:after="0"/>
              <w:rPr>
                <w:sz w:val="20"/>
                <w:szCs w:val="20"/>
                <w:color w:val="auto"/>
              </w:rPr>
            </w:pPr>
          </w:p>
        </w:tc>
        <w:tc>
          <w:tcPr>
            <w:tcW w:w="2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91.14</w:t>
            </w:r>
          </w:p>
        </w:tc>
        <w:tc>
          <w:tcPr>
            <w:tcW w:w="1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0"/>
                <w:szCs w:val="20"/>
                <w:color w:val="auto"/>
              </w:rPr>
            </w:pPr>
          </w:p>
        </w:tc>
        <w:tc>
          <w:tcPr>
            <w:tcW w:w="2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4,956,446</w:t>
            </w:r>
          </w:p>
        </w:tc>
      </w:tr>
      <w:tr>
        <w:trPr>
          <w:trHeight w:val="215"/>
        </w:trPr>
        <w:tc>
          <w:tcPr>
            <w:tcW w:w="2240" w:type="dxa"/>
            <w:vAlign w:val="bottom"/>
            <w:gridSpan w:val="2"/>
          </w:tcPr>
          <w:p>
            <w:pPr>
              <w:spacing w:after="0"/>
              <w:rPr>
                <w:sz w:val="20"/>
                <w:szCs w:val="20"/>
                <w:color w:val="auto"/>
              </w:rPr>
            </w:pPr>
            <w:r>
              <w:rPr>
                <w:rFonts w:ascii="Arial" w:cs="Arial" w:eastAsia="Arial" w:hAnsi="Arial"/>
                <w:sz w:val="18"/>
                <w:szCs w:val="18"/>
                <w:color w:val="auto"/>
              </w:rPr>
              <w:t>Equity compensation plans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not approved by security</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1,660,725</w:t>
            </w:r>
          </w:p>
        </w:tc>
        <w:tc>
          <w:tcPr>
            <w:tcW w:w="120" w:type="dxa"/>
            <w:vAlign w:val="bottom"/>
            <w:shd w:val="clear" w:color="auto" w:fill="CFF0FC"/>
          </w:tcPr>
          <w:p>
            <w:pPr>
              <w:spacing w:after="0"/>
              <w:rPr>
                <w:sz w:val="19"/>
                <w:szCs w:val="19"/>
                <w:color w:val="auto"/>
              </w:rPr>
            </w:pPr>
          </w:p>
        </w:tc>
        <w:tc>
          <w:tcPr>
            <w:tcW w:w="2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91.14</w:t>
            </w: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2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4,956,446</w:t>
            </w:r>
          </w:p>
        </w:tc>
      </w:tr>
    </w:tbl>
    <w:p>
      <w:pPr>
        <w:spacing w:after="0" w:line="4" w:lineRule="exact"/>
        <w:rPr>
          <w:sz w:val="20"/>
          <w:szCs w:val="20"/>
          <w:color w:val="auto"/>
        </w:rPr>
      </w:pPr>
    </w:p>
    <w:p>
      <w:pPr>
        <w:ind w:right="140" w:firstLine="8"/>
        <w:spacing w:after="0" w:line="293" w:lineRule="auto"/>
        <w:tabs>
          <w:tab w:leader="none" w:pos="22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number of shares remaining available for future issuance under the following plans: 1990 Employee Stock Purchase Plan – 51,352 shares; Savings Related Share Option Scheme – 591,055 shares; and 2011 Equity Incentive Plan – 4,314,039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7, 2021, under the caption “Board Independence and Related Party Transactions” and “Meetings and Committees of the Board,” which information is hereby incorporated herein by reference.</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7, 2021, under the captions “Fees Billed by Deloitte &amp; Touche” and “Independent Auditor Services Policy” in the Audit Committee Report, which information is hereby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(a)(1) 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Page Number</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Consolidated Financial Statements: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gridSpan w:val="4"/>
          </w:tcPr>
          <w:p>
            <w:pPr>
              <w:ind w:left="440"/>
              <w:spacing w:after="0"/>
              <w:rPr>
                <w:rFonts w:ascii="Arial" w:cs="Arial" w:eastAsia="Arial" w:hAnsi="Arial"/>
                <w:sz w:val="18"/>
                <w:szCs w:val="18"/>
                <w:u w:val="single" w:color="auto"/>
                <w:color w:val="0000EE"/>
                <w:w w:val="99"/>
              </w:rPr>
            </w:pPr>
            <w:hyperlink w:anchor="page50">
              <w:r>
                <w:rPr>
                  <w:rFonts w:ascii="Arial" w:cs="Arial" w:eastAsia="Arial" w:hAnsi="Arial"/>
                  <w:sz w:val="18"/>
                  <w:szCs w:val="18"/>
                  <w:u w:val="single" w:color="auto"/>
                  <w:color w:val="0000EE"/>
                  <w:w w:val="99"/>
                </w:rPr>
                <w:t>Report of Independent Registered Public Accounting Firm</w:t>
              </w:r>
            </w:hyperlink>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34"/>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7440" w:type="dxa"/>
            <w:vAlign w:val="bottom"/>
            <w:gridSpan w:val="9"/>
            <w:shd w:val="clear" w:color="auto" w:fill="CFF0FC"/>
          </w:tcPr>
          <w:p>
            <w:pPr>
              <w:ind w:left="440"/>
              <w:spacing w:after="0"/>
              <w:rPr>
                <w:rFonts w:ascii="Arial" w:cs="Arial" w:eastAsia="Arial" w:hAnsi="Arial"/>
                <w:sz w:val="18"/>
                <w:szCs w:val="18"/>
                <w:u w:val="single" w:color="auto"/>
                <w:color w:val="0000EE"/>
                <w:w w:val="90"/>
              </w:rPr>
            </w:pPr>
            <w:hyperlink w:anchor="page53">
              <w:r>
                <w:rPr>
                  <w:rFonts w:ascii="Arial" w:cs="Arial" w:eastAsia="Arial" w:hAnsi="Arial"/>
                  <w:sz w:val="18"/>
                  <w:szCs w:val="18"/>
                  <w:u w:val="single" w:color="auto"/>
                  <w:color w:val="0000EE"/>
                  <w:w w:val="90"/>
                </w:rPr>
                <w:t>Consolidated Statements of Operations for the years ended December 31, 2020, 2019 and 2018</w:t>
              </w:r>
            </w:hyperlink>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right="234"/>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8800" w:type="dxa"/>
            <w:vAlign w:val="bottom"/>
            <w:gridSpan w:val="13"/>
          </w:tcPr>
          <w:p>
            <w:pPr>
              <w:ind w:left="440"/>
              <w:spacing w:after="0"/>
              <w:rPr>
                <w:rFonts w:ascii="Arial" w:cs="Arial" w:eastAsia="Arial" w:hAnsi="Arial"/>
                <w:sz w:val="18"/>
                <w:szCs w:val="18"/>
                <w:u w:val="single" w:color="auto"/>
                <w:color w:val="0000EE"/>
                <w:w w:val="95"/>
              </w:rPr>
            </w:pPr>
            <w:hyperlink w:anchor="page53">
              <w:r>
                <w:rPr>
                  <w:rFonts w:ascii="Arial" w:cs="Arial" w:eastAsia="Arial" w:hAnsi="Arial"/>
                  <w:sz w:val="18"/>
                  <w:szCs w:val="18"/>
                  <w:u w:val="single" w:color="auto"/>
                  <w:color w:val="0000EE"/>
                  <w:w w:val="95"/>
                </w:rPr>
                <w:t>Consolidated Statements of Comprehensive Income for the years ended December 31, 2020, 2019 and 2018</w:t>
              </w:r>
            </w:hyperlink>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34"/>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5180" w:type="dxa"/>
            <w:vAlign w:val="bottom"/>
            <w:gridSpan w:val="5"/>
            <w:shd w:val="clear" w:color="auto" w:fill="CFF0FC"/>
          </w:tcPr>
          <w:p>
            <w:pPr>
              <w:ind w:left="440"/>
              <w:spacing w:after="0"/>
              <w:rPr>
                <w:rFonts w:ascii="Arial" w:cs="Arial" w:eastAsia="Arial" w:hAnsi="Arial"/>
                <w:sz w:val="18"/>
                <w:szCs w:val="18"/>
                <w:u w:val="single" w:color="auto"/>
                <w:color w:val="0000EE"/>
                <w:w w:val="90"/>
              </w:rPr>
            </w:pPr>
            <w:hyperlink w:anchor="page54">
              <w:r>
                <w:rPr>
                  <w:rFonts w:ascii="Arial" w:cs="Arial" w:eastAsia="Arial" w:hAnsi="Arial"/>
                  <w:sz w:val="18"/>
                  <w:szCs w:val="18"/>
                  <w:u w:val="single" w:color="auto"/>
                  <w:color w:val="0000EE"/>
                  <w:w w:val="90"/>
                </w:rPr>
                <w:t>Consolidated Balance Sheets as of December 31, 2020 and 2019</w:t>
              </w:r>
            </w:hyperlink>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right="234"/>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7440" w:type="dxa"/>
            <w:vAlign w:val="bottom"/>
            <w:gridSpan w:val="9"/>
          </w:tcPr>
          <w:p>
            <w:pPr>
              <w:ind w:left="440"/>
              <w:spacing w:after="0"/>
              <w:rPr>
                <w:rFonts w:ascii="Arial" w:cs="Arial" w:eastAsia="Arial" w:hAnsi="Arial"/>
                <w:sz w:val="18"/>
                <w:szCs w:val="18"/>
                <w:u w:val="single" w:color="auto"/>
                <w:color w:val="0000EE"/>
                <w:w w:val="90"/>
              </w:rPr>
            </w:pPr>
            <w:hyperlink w:anchor="page55">
              <w:r>
                <w:rPr>
                  <w:rFonts w:ascii="Arial" w:cs="Arial" w:eastAsia="Arial" w:hAnsi="Arial"/>
                  <w:sz w:val="18"/>
                  <w:szCs w:val="18"/>
                  <w:u w:val="single" w:color="auto"/>
                  <w:color w:val="0000EE"/>
                  <w:w w:val="90"/>
                </w:rPr>
                <w:t>Consolidated Statements of Cash Flows for the years ended December 31, 2020, 2019 and 2018</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34"/>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8800" w:type="dxa"/>
            <w:vAlign w:val="bottom"/>
            <w:gridSpan w:val="13"/>
            <w:shd w:val="clear" w:color="auto" w:fill="CFF0FC"/>
          </w:tcPr>
          <w:p>
            <w:pPr>
              <w:ind w:left="440"/>
              <w:spacing w:after="0"/>
              <w:rPr>
                <w:rFonts w:ascii="Arial" w:cs="Arial" w:eastAsia="Arial" w:hAnsi="Arial"/>
                <w:sz w:val="18"/>
                <w:szCs w:val="18"/>
                <w:u w:val="single" w:color="auto"/>
                <w:color w:val="0000EE"/>
                <w:w w:val="98"/>
              </w:rPr>
            </w:pPr>
            <w:hyperlink w:anchor="page56">
              <w:r>
                <w:rPr>
                  <w:rFonts w:ascii="Arial" w:cs="Arial" w:eastAsia="Arial" w:hAnsi="Arial"/>
                  <w:sz w:val="18"/>
                  <w:szCs w:val="18"/>
                  <w:u w:val="single" w:color="auto"/>
                  <w:color w:val="0000EE"/>
                  <w:w w:val="98"/>
                </w:rPr>
                <w:t>Consolidated Statements of Shareholders’ Equity for the years ended December 31, 2020, 2019 and 2018</w:t>
              </w:r>
            </w:hyperlink>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right="234"/>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rFonts w:ascii="Arial" w:cs="Arial" w:eastAsia="Arial" w:hAnsi="Arial"/>
                <w:sz w:val="18"/>
                <w:szCs w:val="18"/>
                <w:u w:val="single" w:color="auto"/>
                <w:color w:val="0000EE"/>
                <w:w w:val="95"/>
              </w:rPr>
            </w:pPr>
            <w:hyperlink w:anchor="page57">
              <w:r>
                <w:rPr>
                  <w:rFonts w:ascii="Arial" w:cs="Arial" w:eastAsia="Arial" w:hAnsi="Arial"/>
                  <w:sz w:val="18"/>
                  <w:szCs w:val="18"/>
                  <w:u w:val="single" w:color="auto"/>
                  <w:color w:val="0000EE"/>
                  <w:w w:val="95"/>
                </w:rPr>
                <w:t>Notes to Consolidated Financial Statements</w:t>
              </w:r>
            </w:hyperlink>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234"/>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431"/>
        </w:trPr>
        <w:tc>
          <w:tcPr>
            <w:tcW w:w="3820" w:type="dxa"/>
            <w:vAlign w:val="bottom"/>
          </w:tcPr>
          <w:p>
            <w:pPr>
              <w:spacing w:after="0"/>
              <w:rPr>
                <w:sz w:val="20"/>
                <w:szCs w:val="20"/>
                <w:color w:val="auto"/>
              </w:rPr>
            </w:pPr>
            <w:r>
              <w:rPr>
                <w:rFonts w:ascii="Arial" w:cs="Arial" w:eastAsia="Arial" w:hAnsi="Arial"/>
                <w:sz w:val="18"/>
                <w:szCs w:val="18"/>
                <w:color w:val="auto"/>
              </w:rPr>
              <w:t>(a)(2) Financial Statement Schedule.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940" w:type="dxa"/>
            <w:vAlign w:val="bottom"/>
            <w:gridSpan w:val="2"/>
          </w:tcPr>
          <w:p>
            <w:pPr>
              <w:spacing w:after="0"/>
              <w:rPr>
                <w:sz w:val="20"/>
                <w:szCs w:val="20"/>
                <w:color w:val="auto"/>
              </w:rPr>
            </w:pPr>
            <w:r>
              <w:rPr>
                <w:rFonts w:ascii="Arial" w:cs="Arial" w:eastAsia="Arial" w:hAnsi="Arial"/>
                <w:sz w:val="18"/>
                <w:szCs w:val="18"/>
                <w:color w:val="auto"/>
                <w:w w:val="96"/>
              </w:rPr>
              <w:t>SCHEDULE II—Valuation and Qualifying Accounts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gridSpan w:val="4"/>
          </w:tcPr>
          <w:p>
            <w:pPr>
              <w:spacing w:after="0"/>
              <w:rPr>
                <w:sz w:val="20"/>
                <w:szCs w:val="20"/>
                <w:color w:val="auto"/>
              </w:rPr>
            </w:pPr>
            <w:r>
              <w:rPr>
                <w:rFonts w:ascii="Arial" w:cs="Arial" w:eastAsia="Arial" w:hAnsi="Arial"/>
                <w:sz w:val="18"/>
                <w:szCs w:val="18"/>
                <w:color w:val="auto"/>
                <w:w w:val="91"/>
              </w:rPr>
              <w:t>For the years ended December 31, 2020, 2019 and 2018, in millions: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Provisions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16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Year</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4"/>
                <w:szCs w:val="14"/>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and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3820" w:type="dxa"/>
            <w:vAlign w:val="bottom"/>
          </w:tcPr>
          <w:p>
            <w:pPr>
              <w:ind w:left="166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16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(c) below.</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3.1</w:t>
            </w:r>
          </w:p>
        </w:tc>
        <w:tc>
          <w:tcPr>
            <w:tcW w:w="10320" w:type="dxa"/>
            <w:vAlign w:val="bottom"/>
            <w:gridSpan w:val="10"/>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Amended and Restated Articles of Incorporation of ManpowerGroup Inc., incorporated by reference to the Company’s Quarterly Report on</w:t>
              </w:r>
            </w:hyperlink>
          </w:p>
        </w:tc>
      </w:tr>
      <w:tr>
        <w:trPr>
          <w:trHeight w:val="196"/>
        </w:trPr>
        <w:tc>
          <w:tcPr>
            <w:tcW w:w="9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Form 10-Q for the quarter ended June 30, 2013.</w:t>
              </w:r>
            </w:hyperlink>
          </w:p>
        </w:tc>
        <w:tc>
          <w:tcPr>
            <w:tcW w:w="2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3.2</w:t>
            </w:r>
          </w:p>
        </w:tc>
        <w:tc>
          <w:tcPr>
            <w:tcW w:w="10320" w:type="dxa"/>
            <w:vAlign w:val="bottom"/>
            <w:gridSpan w:val="10"/>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Text of Amendments to the ManpowerGroup Inc. Amended and Restated By-laws, incorporated by reference to the Company’s Quarterly</w:t>
              </w:r>
            </w:hyperlink>
          </w:p>
        </w:tc>
      </w:tr>
      <w:tr>
        <w:trPr>
          <w:trHeight w:val="196"/>
        </w:trPr>
        <w:tc>
          <w:tcPr>
            <w:tcW w:w="9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Report on Form 10-Q for the quarter ended March 31, 2020.</w:t>
              </w:r>
            </w:hyperlink>
          </w:p>
        </w:tc>
        <w:tc>
          <w:tcPr>
            <w:tcW w:w="5560" w:type="dxa"/>
            <w:vAlign w:val="bottom"/>
            <w:tcBorders>
              <w:top w:val="single" w:sz="8" w:color="0000EE"/>
            </w:tcBorders>
            <w:gridSpan w:val="3"/>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425"/>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3.3</w:t>
            </w:r>
          </w:p>
        </w:tc>
        <w:tc>
          <w:tcPr>
            <w:tcW w:w="10320" w:type="dxa"/>
            <w:vAlign w:val="bottom"/>
            <w:gridSpan w:val="10"/>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Amended and Restated By-laws of ManpowerGroup Inc., as amended through April 16, 2020 (complete version), incorporated by reference to</w:t>
              </w:r>
            </w:hyperlink>
          </w:p>
        </w:tc>
      </w:tr>
      <w:tr>
        <w:trPr>
          <w:trHeight w:val="196"/>
        </w:trPr>
        <w:tc>
          <w:tcPr>
            <w:tcW w:w="920" w:type="dxa"/>
            <w:vAlign w:val="bottom"/>
          </w:tcPr>
          <w:p>
            <w:pPr>
              <w:spacing w:after="0"/>
              <w:rPr>
                <w:sz w:val="17"/>
                <w:szCs w:val="17"/>
                <w:color w:val="auto"/>
              </w:rPr>
            </w:pPr>
          </w:p>
        </w:tc>
        <w:tc>
          <w:tcPr>
            <w:tcW w:w="102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the Company’s Quarterly Report on Form 10-Q for the quarter ended March 31, 2020.</w:t>
              </w:r>
            </w:hyperlink>
          </w:p>
        </w:tc>
        <w:tc>
          <w:tcPr>
            <w:tcW w:w="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4.1</w:t>
            </w:r>
          </w:p>
        </w:tc>
        <w:tc>
          <w:tcPr>
            <w:tcW w:w="10320" w:type="dxa"/>
            <w:vAlign w:val="bottom"/>
            <w:gridSpan w:val="10"/>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Fiscal and Paying Agency Agreement between the Company and Citibank, N.A., London Branch as Fiscal Agent, Principal Paying Agent and</w:t>
              </w:r>
            </w:hyperlink>
          </w:p>
        </w:tc>
      </w:tr>
      <w:tr>
        <w:trPr>
          <w:trHeight w:val="20"/>
        </w:trPr>
        <w:tc>
          <w:tcPr>
            <w:tcW w:w="92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Registrar and Transfer Agent, dated as of June 22, 2018 (including the form of Note attached thereto as Schedule I), incorporated by reference</w:t>
              </w:r>
            </w:hyperlink>
          </w:p>
        </w:tc>
        <w:tc>
          <w:tcPr>
            <w:tcW w:w="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to the Company’s Current Report on Form 8-K dated June 22, 2018.</w:t>
              </w:r>
            </w:hyperlink>
          </w:p>
        </w:tc>
      </w:tr>
      <w:tr>
        <w:trPr>
          <w:trHeight w:val="885"/>
        </w:trPr>
        <w:tc>
          <w:tcPr>
            <w:tcW w:w="920" w:type="dxa"/>
            <w:vAlign w:val="bottom"/>
          </w:tcPr>
          <w:p>
            <w:pPr>
              <w:spacing w:after="0"/>
              <w:rPr>
                <w:sz w:val="24"/>
                <w:szCs w:val="24"/>
                <w:color w:val="auto"/>
              </w:rPr>
            </w:pPr>
          </w:p>
        </w:tc>
        <w:tc>
          <w:tcPr>
            <w:tcW w:w="4900" w:type="dxa"/>
            <w:vAlign w:val="bottom"/>
            <w:tcBorders>
              <w:top w:val="single" w:sz="8" w:color="0000EE"/>
            </w:tcBorders>
            <w:gridSpan w:val="3"/>
          </w:tcPr>
          <w:p>
            <w:pPr>
              <w:ind w:left="4560"/>
              <w:spacing w:after="0"/>
              <w:rPr>
                <w:sz w:val="20"/>
                <w:szCs w:val="20"/>
                <w:color w:val="auto"/>
              </w:rPr>
            </w:pPr>
            <w:r>
              <w:rPr>
                <w:rFonts w:ascii="Arial" w:cs="Arial" w:eastAsia="Arial" w:hAnsi="Arial"/>
                <w:sz w:val="18"/>
                <w:szCs w:val="18"/>
                <w:color w:val="auto"/>
              </w:rPr>
              <w:t>103</w:t>
            </w:r>
          </w:p>
        </w:tc>
        <w:tc>
          <w:tcPr>
            <w:tcW w:w="1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080" w:type="dxa"/>
            <w:vAlign w:val="bottom"/>
            <w:tcBorders>
              <w:bottom w:val="single" w:sz="8" w:color="0000EE"/>
            </w:tcBorders>
            <w:gridSpan w:val="22"/>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Fiscal and Paying Agency Agreement between the Company and Citibank, N.A., as Fiscal Agent, Principal Paying Agent and Registrar and</w:t>
              </w:r>
            </w:hyperlink>
          </w:p>
        </w:tc>
        <w:tc>
          <w:tcPr>
            <w:tcW w:w="2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Transfer Agent, dated as of September 11, 2015 (including the form of Note attached thereto as Schedule I), incorporated by reference to the</w:t>
              </w:r>
            </w:hyperlink>
          </w:p>
        </w:tc>
      </w:tr>
      <w:tr>
        <w:trPr>
          <w:trHeight w:val="196"/>
        </w:trPr>
        <w:tc>
          <w:tcPr>
            <w:tcW w:w="92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Company’s Current Report on Form 8-K dated September 11, 2015.</w:t>
              </w:r>
            </w:hyperlink>
          </w:p>
        </w:tc>
        <w:tc>
          <w:tcPr>
            <w:tcW w:w="2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320" w:type="dxa"/>
            <w:vAlign w:val="bottom"/>
            <w:gridSpan w:val="29"/>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Description of Securities Registered Pursuant to Section 12 of the Securities Exchange Act of 1934</w:t>
              </w:r>
            </w:hyperlink>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tcBorders>
              <w:bottom w:val="single" w:sz="8" w:color="0000EE"/>
            </w:tcBorders>
            <w:gridSpan w:val="27"/>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Amended and Restated Five-Year Credit Agreement dated as of June 18, 2018 among the Company, a syndicate of lenders and Citibank, N.A.,</w:t>
              </w:r>
            </w:hyperlink>
          </w:p>
        </w:tc>
        <w:tc>
          <w:tcPr>
            <w:tcW w:w="40" w:type="dxa"/>
            <w:vAlign w:val="bottom"/>
            <w:gridSpan w:val="2"/>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320" w:type="dxa"/>
            <w:vAlign w:val="bottom"/>
            <w:gridSpan w:val="29"/>
          </w:tcPr>
          <w:p>
            <w:pPr>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as Administrative Agent, incorporated by reference to the Company’s Current Report on Form 8-K dated June 22, 2018.</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320" w:type="dxa"/>
            <w:vAlign w:val="bottom"/>
            <w:gridSpan w:val="29"/>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Manpower Savings Related Share Option Scheme incorporated by reference to the Company’s Annual Report on Form 10-K for the year</w:t>
              </w:r>
            </w:hyperlink>
          </w:p>
        </w:tc>
      </w:tr>
      <w:tr>
        <w:trPr>
          <w:trHeight w:val="196"/>
        </w:trPr>
        <w:tc>
          <w:tcPr>
            <w:tcW w:w="920" w:type="dxa"/>
            <w:vAlign w:val="bottom"/>
          </w:tcPr>
          <w:p>
            <w:pPr>
              <w:spacing w:after="0"/>
              <w:rPr>
                <w:sz w:val="17"/>
                <w:szCs w:val="17"/>
                <w:color w:val="auto"/>
              </w:rPr>
            </w:pPr>
          </w:p>
        </w:tc>
        <w:tc>
          <w:tcPr>
            <w:tcW w:w="2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ended December 31, 2010. **</w:t>
              </w:r>
            </w:hyperlink>
          </w:p>
        </w:tc>
        <w:tc>
          <w:tcPr>
            <w:tcW w:w="7700" w:type="dxa"/>
            <w:vAlign w:val="bottom"/>
            <w:tcBorders>
              <w:top w:val="single" w:sz="8" w:color="0000EE"/>
            </w:tcBorders>
            <w:gridSpan w:val="16"/>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9460" w:type="dxa"/>
            <w:vAlign w:val="bottom"/>
            <w:tcBorders>
              <w:bottom w:val="single" w:sz="8" w:color="0000EE"/>
            </w:tcBorders>
            <w:gridSpan w:val="14"/>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Manpower 1990 Employee Stock Purchase Plan (Amended and Restated effective April 26, 2005), incorporated by reference to the</w:t>
              </w:r>
            </w:hyperlink>
          </w:p>
        </w:tc>
        <w:tc>
          <w:tcPr>
            <w:tcW w:w="86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Company’s Quarterly Report on Form 10-Q for the quarter ended March 31, 2005. **</w:t>
              </w:r>
            </w:hyperlink>
          </w:p>
        </w:tc>
      </w:tr>
      <w:tr>
        <w:trPr>
          <w:trHeight w:val="20"/>
        </w:trPr>
        <w:tc>
          <w:tcPr>
            <w:tcW w:w="9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10.6(a)</w:t>
            </w:r>
          </w:p>
        </w:tc>
        <w:tc>
          <w:tcPr>
            <w:tcW w:w="9800" w:type="dxa"/>
            <w:vAlign w:val="bottom"/>
            <w:tcBorders>
              <w:bottom w:val="single" w:sz="8" w:color="0000EE"/>
            </w:tcBorders>
            <w:gridSpan w:val="16"/>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Terms and Conditions Regarding the Grant of Awards to Non-Employee Directors Under the 2011 Equity Incentive Plan (Amended and</w:t>
              </w:r>
            </w:hyperlink>
          </w:p>
        </w:tc>
        <w:tc>
          <w:tcPr>
            <w:tcW w:w="520" w:type="dxa"/>
            <w:vAlign w:val="bottom"/>
            <w:gridSpan w:val="13"/>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320" w:type="dxa"/>
            <w:vAlign w:val="bottom"/>
            <w:gridSpan w:val="29"/>
          </w:tcPr>
          <w:p>
            <w:pPr>
              <w:spacing w:after="0"/>
              <w:rPr>
                <w:rFonts w:ascii="Arial" w:cs="Arial" w:eastAsia="Arial" w:hAnsi="Arial"/>
                <w:sz w:val="18"/>
                <w:szCs w:val="18"/>
                <w:u w:val="single" w:color="auto"/>
                <w:color w:val="0000EE"/>
                <w:w w:val="90"/>
              </w:rPr>
            </w:pPr>
            <w:hyperlink r:id="rId139">
              <w:r>
                <w:rPr>
                  <w:rFonts w:ascii="Arial" w:cs="Arial" w:eastAsia="Arial" w:hAnsi="Arial"/>
                  <w:sz w:val="18"/>
                  <w:szCs w:val="18"/>
                  <w:u w:val="single" w:color="auto"/>
                  <w:color w:val="0000EE"/>
                  <w:w w:val="90"/>
                </w:rPr>
                <w:t>Restated January 1, 2020), incorporated by reference to the Company's Annual Report on Form 10-K for the year ended December 31, 2019 **</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10.6(b)</w:t>
            </w:r>
          </w:p>
        </w:tc>
        <w:tc>
          <w:tcPr>
            <w:tcW w:w="9640" w:type="dxa"/>
            <w:vAlign w:val="bottom"/>
            <w:tcBorders>
              <w:bottom w:val="single" w:sz="8" w:color="0000EE"/>
            </w:tcBorders>
            <w:gridSpan w:val="15"/>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ManpowerGroup Inc. Compensation for Non-Employee Directors (Amended and Restated Effective January 1, 2020. incorporated by</w:t>
              </w:r>
            </w:hyperlink>
          </w:p>
        </w:tc>
        <w:tc>
          <w:tcPr>
            <w:tcW w:w="68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5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reference to the Company's Report on Form 10-K for the year ended December 31, 2019**</w:t>
              </w:r>
            </w:hyperlink>
          </w:p>
        </w:tc>
        <w:tc>
          <w:tcPr>
            <w:tcW w:w="3760" w:type="dxa"/>
            <w:vAlign w:val="bottom"/>
            <w:gridSpan w:val="1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10.6(c)</w:t>
            </w:r>
          </w:p>
        </w:tc>
        <w:tc>
          <w:tcPr>
            <w:tcW w:w="10320" w:type="dxa"/>
            <w:vAlign w:val="bottom"/>
            <w:gridSpan w:val="29"/>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Severance Agreement between Jonas Prising and the Company dated as of February 14, 2020, incorporated by reference to the Company’s</w:t>
              </w:r>
            </w:hyperlink>
          </w:p>
        </w:tc>
      </w:tr>
      <w:tr>
        <w:trPr>
          <w:trHeight w:val="196"/>
        </w:trPr>
        <w:tc>
          <w:tcPr>
            <w:tcW w:w="92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Quarterly Report on Form 10-Q for the quarter ended March 31, 2020. **</w:t>
              </w:r>
            </w:hyperlink>
          </w:p>
        </w:tc>
        <w:tc>
          <w:tcPr>
            <w:tcW w:w="4680" w:type="dxa"/>
            <w:vAlign w:val="bottom"/>
            <w:tcBorders>
              <w:top w:val="single" w:sz="8" w:color="0000EE"/>
            </w:tcBorders>
            <w:gridSpan w:val="10"/>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10.6(d)</w:t>
            </w:r>
          </w:p>
        </w:tc>
        <w:tc>
          <w:tcPr>
            <w:tcW w:w="9940" w:type="dxa"/>
            <w:vAlign w:val="bottom"/>
            <w:tcBorders>
              <w:bottom w:val="single" w:sz="8" w:color="0000EE"/>
            </w:tcBorders>
            <w:gridSpan w:val="18"/>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Severance Agreement between Mara Swan and the Company dated as of December 11, 2017, incorporated by reference to the Company’s</w:t>
              </w:r>
            </w:hyperlink>
          </w:p>
        </w:tc>
        <w:tc>
          <w:tcPr>
            <w:tcW w:w="38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Current Report on Form 8-K dated December 12, 2017. **</w:t>
              </w:r>
            </w:hyperlink>
          </w:p>
        </w:tc>
      </w:tr>
      <w:tr>
        <w:trPr>
          <w:trHeight w:val="20"/>
        </w:trPr>
        <w:tc>
          <w:tcPr>
            <w:tcW w:w="9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10.6(e)</w:t>
            </w:r>
          </w:p>
        </w:tc>
        <w:tc>
          <w:tcPr>
            <w:tcW w:w="10300" w:type="dxa"/>
            <w:vAlign w:val="bottom"/>
            <w:tcBorders>
              <w:bottom w:val="single" w:sz="8" w:color="0000EE"/>
            </w:tcBorders>
            <w:gridSpan w:val="28"/>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Form of Amendment to Severance Agreement entered into between the Company and Mara Swan, incorporated by reference to the Company's</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Quarterly Report on Form 10-Q for the quarter ended March 31, 2018. **</w:t>
              </w:r>
            </w:hyperlink>
          </w:p>
        </w:tc>
        <w:tc>
          <w:tcPr>
            <w:tcW w:w="5020" w:type="dxa"/>
            <w:vAlign w:val="bottom"/>
            <w:gridSpan w:val="20"/>
          </w:tcPr>
          <w:p>
            <w:pPr>
              <w:spacing w:after="0"/>
              <w:rPr>
                <w:sz w:val="17"/>
                <w:szCs w:val="17"/>
                <w:color w:val="auto"/>
              </w:rPr>
            </w:pP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10.6(f)</w:t>
            </w:r>
          </w:p>
        </w:tc>
        <w:tc>
          <w:tcPr>
            <w:tcW w:w="10320" w:type="dxa"/>
            <w:vAlign w:val="bottom"/>
            <w:gridSpan w:val="29"/>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Severance Agreement dated November 8, 2018 between the Company and Richard Buchband, incorporated by reference to the Company's</w:t>
              </w:r>
            </w:hyperlink>
          </w:p>
        </w:tc>
      </w:tr>
      <w:tr>
        <w:trPr>
          <w:trHeight w:val="196"/>
        </w:trPr>
        <w:tc>
          <w:tcPr>
            <w:tcW w:w="920" w:type="dxa"/>
            <w:vAlign w:val="bottom"/>
          </w:tcPr>
          <w:p>
            <w:pPr>
              <w:spacing w:after="0"/>
              <w:rPr>
                <w:sz w:val="17"/>
                <w:szCs w:val="17"/>
                <w:color w:val="auto"/>
              </w:rPr>
            </w:pPr>
          </w:p>
        </w:tc>
        <w:tc>
          <w:tcPr>
            <w:tcW w:w="99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Annual Report on Form 10-K for the fiscal year ended December 31, 2018. **</w:t>
              </w:r>
            </w:hyperlink>
          </w:p>
        </w:tc>
        <w:tc>
          <w:tcPr>
            <w:tcW w:w="34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10.6(g)</w:t>
            </w:r>
          </w:p>
        </w:tc>
        <w:tc>
          <w:tcPr>
            <w:tcW w:w="10320" w:type="dxa"/>
            <w:vAlign w:val="bottom"/>
            <w:gridSpan w:val="29"/>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2003 Equity Incentive Plan of Manpower Inc. (Amended and Restated Effective April 28, 2009), incorporated by reference to the Company’s</w:t>
              </w:r>
            </w:hyperlink>
          </w:p>
        </w:tc>
      </w:tr>
      <w:tr>
        <w:trPr>
          <w:trHeight w:val="196"/>
        </w:trPr>
        <w:tc>
          <w:tcPr>
            <w:tcW w:w="92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Registration Statement on Form S-8 dated September 4, 2009. **</w:t>
              </w:r>
            </w:hyperlink>
          </w:p>
        </w:tc>
        <w:tc>
          <w:tcPr>
            <w:tcW w:w="5480" w:type="dxa"/>
            <w:vAlign w:val="bottom"/>
            <w:tcBorders>
              <w:top w:val="single" w:sz="8" w:color="0000EE"/>
            </w:tcBorders>
            <w:gridSpan w:val="17"/>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10.6(h)</w:t>
            </w:r>
          </w:p>
        </w:tc>
        <w:tc>
          <w:tcPr>
            <w:tcW w:w="10320" w:type="dxa"/>
            <w:vAlign w:val="bottom"/>
            <w:gridSpan w:val="29"/>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Amendment of Manpower Inc. 2003 Equity Incentive Plan, incorporated by reference to the Company’s Quarterly Report on Form 10-Q for</w:t>
              </w:r>
            </w:hyperlink>
          </w:p>
        </w:tc>
      </w:tr>
      <w:tr>
        <w:trPr>
          <w:trHeight w:val="196"/>
        </w:trPr>
        <w:tc>
          <w:tcPr>
            <w:tcW w:w="92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the quarter ended March 31, 2010. **</w:t>
              </w:r>
            </w:hyperlink>
          </w:p>
        </w:tc>
        <w:tc>
          <w:tcPr>
            <w:tcW w:w="24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10.6(i)</w:t>
            </w:r>
          </w:p>
        </w:tc>
        <w:tc>
          <w:tcPr>
            <w:tcW w:w="10040" w:type="dxa"/>
            <w:vAlign w:val="bottom"/>
            <w:tcBorders>
              <w:bottom w:val="single" w:sz="8" w:color="0000EE"/>
            </w:tcBorders>
            <w:gridSpan w:val="20"/>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2011 Equity Incentive Plan of Manpower Inc. (Amended and Restated Effective May 8, 2020), incorporated by reference to the Company’s</w:t>
              </w:r>
            </w:hyperlink>
          </w:p>
        </w:tc>
        <w:tc>
          <w:tcPr>
            <w:tcW w:w="2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Registration Statement on Form S-8 dated May 29, 2020. **</w:t>
              </w:r>
            </w:hyperlink>
          </w:p>
        </w:tc>
      </w:tr>
      <w:tr>
        <w:trPr>
          <w:trHeight w:val="20"/>
        </w:trPr>
        <w:tc>
          <w:tcPr>
            <w:tcW w:w="920" w:type="dxa"/>
            <w:vAlign w:val="bottom"/>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10.6(j)</w:t>
            </w:r>
          </w:p>
        </w:tc>
        <w:tc>
          <w:tcPr>
            <w:tcW w:w="10320" w:type="dxa"/>
            <w:vAlign w:val="bottom"/>
            <w:gridSpan w:val="29"/>
          </w:tcPr>
          <w:p>
            <w:pPr>
              <w:spacing w:after="0"/>
              <w:rPr>
                <w:rFonts w:ascii="Arial" w:cs="Arial" w:eastAsia="Arial" w:hAnsi="Arial"/>
                <w:sz w:val="18"/>
                <w:szCs w:val="18"/>
                <w:u w:val="single" w:color="auto"/>
                <w:color w:val="0000EE"/>
                <w:w w:val="96"/>
              </w:rPr>
            </w:pPr>
            <w:hyperlink r:id="rId148">
              <w:r>
                <w:rPr>
                  <w:rFonts w:ascii="Arial" w:cs="Arial" w:eastAsia="Arial" w:hAnsi="Arial"/>
                  <w:sz w:val="18"/>
                  <w:szCs w:val="18"/>
                  <w:u w:val="single" w:color="auto"/>
                  <w:color w:val="0000EE"/>
                  <w:w w:val="96"/>
                </w:rPr>
                <w:t>Form of Indemnification Agreement, incorporated by reference to the Company’s Current Report on Form 8-K dated October 31, 2006.</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10.7(a)</w:t>
            </w:r>
          </w:p>
        </w:tc>
        <w:tc>
          <w:tcPr>
            <w:tcW w:w="10060" w:type="dxa"/>
            <w:vAlign w:val="bottom"/>
            <w:tcBorders>
              <w:bottom w:val="single" w:sz="8" w:color="0000EE"/>
            </w:tcBorders>
            <w:gridSpan w:val="21"/>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Form of Stock Option Agreement under 2011 Equity Incentive Plan, incorporated by reference to the Company’s Quarterly Report on Form</w:t>
              </w:r>
            </w:hyperlink>
          </w:p>
        </w:tc>
        <w:tc>
          <w:tcPr>
            <w:tcW w:w="2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10-Q for the quarter ended March 31, 2019. **</w:t>
              </w:r>
            </w:hyperlink>
          </w:p>
        </w:tc>
        <w:tc>
          <w:tcPr>
            <w:tcW w:w="6940" w:type="dxa"/>
            <w:vAlign w:val="bottom"/>
            <w:gridSpan w:val="2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10.7(b)</w:t>
            </w:r>
          </w:p>
        </w:tc>
        <w:tc>
          <w:tcPr>
            <w:tcW w:w="10220" w:type="dxa"/>
            <w:vAlign w:val="bottom"/>
            <w:tcBorders>
              <w:bottom w:val="single" w:sz="8" w:color="0000EE"/>
            </w:tcBorders>
            <w:gridSpan w:val="25"/>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Restricted Stock Unit Agreement under 2011 Equity Incentive Plan, incorporated by reference to the Company’s Quarterly Report on</w:t>
              </w:r>
            </w:hyperlink>
          </w:p>
        </w:tc>
        <w:tc>
          <w:tcPr>
            <w:tcW w:w="1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Form 10-Q for the quarter ended March 31, 2012. **</w:t>
              </w:r>
            </w:hyperlink>
          </w:p>
        </w:tc>
      </w:tr>
      <w:tr>
        <w:trPr>
          <w:trHeight w:val="20"/>
        </w:trPr>
        <w:tc>
          <w:tcPr>
            <w:tcW w:w="920" w:type="dxa"/>
            <w:vAlign w:val="bottom"/>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10.7(c)</w:t>
            </w:r>
          </w:p>
        </w:tc>
        <w:tc>
          <w:tcPr>
            <w:tcW w:w="10280" w:type="dxa"/>
            <w:vAlign w:val="bottom"/>
            <w:tcBorders>
              <w:bottom w:val="single" w:sz="8" w:color="0000EE"/>
            </w:tcBorders>
            <w:gridSpan w:val="27"/>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Form of 2014 Career Share Agreement under the 2011 Equity Incentive Plan, incorporated by reference to the Company’s Quarterly Report on</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Form 10-Q for the quarter ended March 31, 2014. **</w:t>
              </w:r>
            </w:hyperlink>
          </w:p>
        </w:tc>
      </w:tr>
      <w:tr>
        <w:trPr>
          <w:trHeight w:val="20"/>
        </w:trPr>
        <w:tc>
          <w:tcPr>
            <w:tcW w:w="920" w:type="dxa"/>
            <w:vAlign w:val="bottom"/>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10.7 (d)</w:t>
            </w:r>
          </w:p>
        </w:tc>
        <w:tc>
          <w:tcPr>
            <w:tcW w:w="10260" w:type="dxa"/>
            <w:vAlign w:val="bottom"/>
            <w:tcBorders>
              <w:bottom w:val="single" w:sz="8" w:color="0000EE"/>
            </w:tcBorders>
            <w:gridSpan w:val="26"/>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Form of 2016 Performance Share Unit Agreement under 2011 Equity Incentive Plan of ManpowerGroup Inc., incorporated by reference to the</w:t>
              </w:r>
            </w:hyperlink>
          </w:p>
        </w:tc>
        <w:tc>
          <w:tcPr>
            <w:tcW w:w="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Company’s Quarterly Report on Form 10-Q for the Quarter ended March 31, 2016. **</w:t>
              </w:r>
            </w:hyperlink>
          </w:p>
        </w:tc>
      </w:tr>
      <w:tr>
        <w:trPr>
          <w:trHeight w:val="898"/>
        </w:trPr>
        <w:tc>
          <w:tcPr>
            <w:tcW w:w="920" w:type="dxa"/>
            <w:vAlign w:val="bottom"/>
          </w:tcPr>
          <w:p>
            <w:pPr>
              <w:spacing w:after="0"/>
              <w:rPr>
                <w:sz w:val="24"/>
                <w:szCs w:val="24"/>
                <w:color w:val="auto"/>
              </w:rPr>
            </w:pPr>
          </w:p>
        </w:tc>
        <w:tc>
          <w:tcPr>
            <w:tcW w:w="4880" w:type="dxa"/>
            <w:vAlign w:val="bottom"/>
            <w:tcBorders>
              <w:top w:val="single" w:sz="8" w:color="0000EE"/>
            </w:tcBorders>
            <w:gridSpan w:val="8"/>
          </w:tcPr>
          <w:p>
            <w:pPr>
              <w:ind w:left="4560"/>
              <w:spacing w:after="0"/>
              <w:rPr>
                <w:sz w:val="20"/>
                <w:szCs w:val="20"/>
                <w:color w:val="auto"/>
              </w:rPr>
            </w:pPr>
            <w:r>
              <w:rPr>
                <w:rFonts w:ascii="Arial" w:cs="Arial" w:eastAsia="Arial" w:hAnsi="Arial"/>
                <w:sz w:val="18"/>
                <w:szCs w:val="18"/>
                <w:color w:val="auto"/>
                <w:w w:val="99"/>
              </w:rPr>
              <w:t>104</w:t>
            </w: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4" w:name="page105"/>
    <w:bookmarkEnd w:id="104"/>
    <w:p>
      <w:pPr>
        <w:ind w:left="920" w:right="6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 (e)</w:t>
      </w:r>
      <w:r>
        <w:rPr>
          <w:sz w:val="20"/>
          <w:szCs w:val="20"/>
          <w:color w:val="auto"/>
        </w:rPr>
        <w:tab/>
      </w:r>
      <w:hyperlink r:id="rId155">
        <w:r>
          <w:rPr>
            <w:rFonts w:ascii="Arial" w:cs="Arial" w:eastAsia="Arial" w:hAnsi="Arial"/>
            <w:sz w:val="18"/>
            <w:szCs w:val="18"/>
            <w:u w:val="single" w:color="auto"/>
            <w:color w:val="0000EE"/>
          </w:rPr>
          <w:t>Form of 2019 Performance Share Unit Agreement under 2011 Equity Incentive Plan of ManpowerGroup Inc., incorporated by reference to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Company’s Quarterly Report on Form 10-Q for the Quarter ended March 31, 2019. **</w:t>
        </w:r>
      </w:hyperlink>
    </w:p>
    <w:p>
      <w:pPr>
        <w:spacing w:after="0" w:line="184" w:lineRule="exact"/>
        <w:rPr>
          <w:sz w:val="20"/>
          <w:szCs w:val="20"/>
          <w:color w:val="auto"/>
        </w:rPr>
      </w:pPr>
    </w:p>
    <w:p>
      <w:pPr>
        <w:ind w:left="920" w:right="2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10.7(f)</w:t>
      </w:r>
      <w:r>
        <w:rPr>
          <w:sz w:val="20"/>
          <w:szCs w:val="20"/>
          <w:color w:val="auto"/>
        </w:rPr>
        <w:tab/>
      </w:r>
      <w:hyperlink w:anchor="page109">
        <w:r>
          <w:rPr>
            <w:rFonts w:ascii="Arial" w:cs="Arial" w:eastAsia="Arial" w:hAnsi="Arial"/>
            <w:sz w:val="18"/>
            <w:szCs w:val="18"/>
            <w:u w:val="single" w:color="auto"/>
            <w:color w:val="0000EE"/>
          </w:rPr>
          <w:t>2019 Restricted Stock Unit Agreement, under the 2011 Equity Incentive Plan of ManpowerGroup Inc., dated as of August 14, 2019 between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Michelle S. Nettles and the Company. **</w:t>
        </w:r>
      </w:hyperlink>
    </w:p>
    <w:p>
      <w:pPr>
        <w:spacing w:after="0" w:line="170"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10.8(a)</w:t>
      </w:r>
      <w:r>
        <w:rPr>
          <w:sz w:val="20"/>
          <w:szCs w:val="20"/>
          <w:color w:val="auto"/>
        </w:rPr>
        <w:tab/>
      </w:r>
      <w:hyperlink w:anchor="page114">
        <w:r>
          <w:rPr>
            <w:rFonts w:ascii="Arial" w:cs="Arial" w:eastAsia="Arial" w:hAnsi="Arial"/>
            <w:sz w:val="16"/>
            <w:szCs w:val="16"/>
            <w:u w:val="single" w:color="auto"/>
            <w:color w:val="0000EE"/>
          </w:rPr>
          <w:t>Severance Agreement between Michelle S. Nettles and the Company dated as of August 14, 2019. **</w:t>
        </w:r>
      </w:hyperlink>
    </w:p>
    <w:p>
      <w:pPr>
        <w:spacing w:after="0" w:line="239" w:lineRule="exact"/>
        <w:rPr>
          <w:sz w:val="20"/>
          <w:szCs w:val="20"/>
          <w:color w:val="auto"/>
        </w:rPr>
      </w:pPr>
    </w:p>
    <w:p>
      <w:pPr>
        <w:ind w:left="920" w:right="3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10.8(b)</w:t>
      </w:r>
      <w:r>
        <w:rPr>
          <w:sz w:val="20"/>
          <w:szCs w:val="20"/>
          <w:color w:val="auto"/>
        </w:rPr>
        <w:tab/>
      </w:r>
      <w:hyperlink r:id="rId156">
        <w:r>
          <w:rPr>
            <w:rFonts w:ascii="Arial" w:cs="Arial" w:eastAsia="Arial" w:hAnsi="Arial"/>
            <w:sz w:val="18"/>
            <w:szCs w:val="18"/>
            <w:u w:val="single" w:color="auto"/>
            <w:color w:val="0000EE"/>
          </w:rPr>
          <w:t>Severance Agreement between John T. McGinnis and the Company dated December 12, 2018, incorporated by reference to the Company's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Current Report on Form 8-K dated December 12, 2018. **</w:t>
        </w:r>
      </w:hyperlink>
    </w:p>
    <w:p>
      <w:pPr>
        <w:spacing w:after="0" w:line="170" w:lineRule="exact"/>
        <w:rPr>
          <w:sz w:val="20"/>
          <w:szCs w:val="20"/>
          <w:color w:val="auto"/>
        </w:rPr>
      </w:pPr>
    </w:p>
    <w:p>
      <w:pPr>
        <w:ind w:left="920" w:right="220" w:hanging="903"/>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10.8(c)</w:t>
      </w:r>
      <w:r>
        <w:rPr>
          <w:sz w:val="20"/>
          <w:szCs w:val="20"/>
          <w:color w:val="auto"/>
        </w:rPr>
        <w:tab/>
      </w:r>
      <w:hyperlink r:id="rId157">
        <w:r>
          <w:rPr>
            <w:rFonts w:ascii="Arial" w:cs="Arial" w:eastAsia="Arial" w:hAnsi="Arial"/>
            <w:sz w:val="18"/>
            <w:szCs w:val="18"/>
            <w:u w:val="single" w:color="auto"/>
            <w:color w:val="0000EE"/>
          </w:rPr>
          <w:t>Letter Agreement between John T. McGinnis and the Company dated as of November 17, 2015, incorporated by reference to the Company's</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Current Report on Form 8-K dated January 28, 2016. **</w:t>
        </w:r>
      </w:hyperlink>
    </w:p>
    <w:p>
      <w:pPr>
        <w:spacing w:after="0" w:line="184"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158">
        <w:r>
          <w:rPr>
            <w:rFonts w:ascii="Arial" w:cs="Arial" w:eastAsia="Arial" w:hAnsi="Arial"/>
            <w:sz w:val="16"/>
            <w:szCs w:val="16"/>
            <w:u w:val="single" w:color="auto"/>
            <w:color w:val="0000EE"/>
          </w:rPr>
          <w:t>ManpowerGroup Inc. Annual Incentive Plan, incorporated by reference to the Company's Current Report on Form 8-K dated February 15,</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2018. **</w:t>
        </w:r>
      </w:hyperlink>
    </w:p>
    <w:p>
      <w:pPr>
        <w:spacing w:after="0" w:line="224" w:lineRule="exact"/>
        <w:rPr>
          <w:sz w:val="20"/>
          <w:szCs w:val="20"/>
          <w:color w:val="auto"/>
        </w:rPr>
      </w:pPr>
    </w:p>
    <w:p>
      <w:pPr>
        <w:ind w:left="920" w:hanging="912"/>
        <w:spacing w:after="0"/>
        <w:tabs>
          <w:tab w:leader="none" w:pos="920" w:val="left"/>
        </w:tabs>
        <w:numPr>
          <w:ilvl w:val="0"/>
          <w:numId w:val="56"/>
        </w:numPr>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Subsidiaries of the Company.</w:t>
        </w:r>
      </w:hyperlink>
    </w:p>
    <w:p>
      <w:pPr>
        <w:spacing w:after="0" w:line="225"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39">
        <w:r>
          <w:rPr>
            <w:rFonts w:ascii="Arial" w:cs="Arial" w:eastAsia="Arial" w:hAnsi="Arial"/>
            <w:sz w:val="16"/>
            <w:szCs w:val="16"/>
            <w:u w:val="single" w:color="auto"/>
            <w:color w:val="0000EE"/>
          </w:rPr>
          <w:t>Consent of Deloitte &amp; Touche LLP</w:t>
        </w:r>
        <w:r>
          <w:rPr>
            <w:rFonts w:ascii="Arial" w:cs="Arial" w:eastAsia="Arial" w:hAnsi="Arial"/>
            <w:sz w:val="16"/>
            <w:szCs w:val="16"/>
            <w:color w:val="0000EE"/>
          </w:rPr>
          <w:t>.</w:t>
        </w:r>
      </w:hyperlink>
    </w:p>
    <w:p>
      <w:pPr>
        <w:spacing w:after="0" w:line="225" w:lineRule="exact"/>
        <w:rPr>
          <w:sz w:val="20"/>
          <w:szCs w:val="20"/>
          <w:color w:val="auto"/>
        </w:rPr>
      </w:pPr>
    </w:p>
    <w:p>
      <w:pPr>
        <w:ind w:left="920" w:hanging="912"/>
        <w:spacing w:after="0"/>
        <w:tabs>
          <w:tab w:leader="none" w:pos="920" w:val="left"/>
        </w:tabs>
        <w:numPr>
          <w:ilvl w:val="0"/>
          <w:numId w:val="57"/>
        </w:numPr>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Power of Attorney.</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3"/>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Certification of Jonas Prising, Chief Executive Officer, pursuant to Section 13a-14(a) of the Securities Exchange Act of 1934.</w:t>
              </w:r>
            </w:hyperlink>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3"/>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Certification of John T. McGinnis, Executive Vice President and Chief Financial Officer, pursuant to Section 13a-14(a) of the Securities</w:t>
              </w:r>
            </w:hyperlink>
          </w:p>
        </w:tc>
      </w:tr>
      <w:tr>
        <w:trPr>
          <w:trHeight w:val="196"/>
        </w:trPr>
        <w:tc>
          <w:tcPr>
            <w:tcW w:w="920" w:type="dxa"/>
            <w:vAlign w:val="bottom"/>
          </w:tcPr>
          <w:p>
            <w:pPr>
              <w:spacing w:after="0"/>
              <w:rPr>
                <w:sz w:val="17"/>
                <w:szCs w:val="17"/>
                <w:color w:val="auto"/>
              </w:rPr>
            </w:pPr>
          </w:p>
        </w:tc>
        <w:tc>
          <w:tcPr>
            <w:tcW w:w="1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Exchange Act of 1934.</w:t>
              </w:r>
            </w:hyperlink>
          </w:p>
        </w:tc>
        <w:tc>
          <w:tcPr>
            <w:tcW w:w="81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46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gridSpan w:val="3"/>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Statement of Jonas Prising, Chief Executive Officer, pursuant to 18 U.S.C. ss. 1350.</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gridSpan w:val="3"/>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Statement of John T. McGinnis, Executive Vice President and Chief Financial Officer, pursuant to 18 U.S.C. ss. 1350.</w:t>
              </w:r>
            </w:hyperlink>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3"/>
          </w:tcPr>
          <w:p>
            <w:pPr>
              <w:spacing w:after="0"/>
              <w:rPr>
                <w:sz w:val="20"/>
                <w:szCs w:val="20"/>
                <w:color w:val="auto"/>
              </w:rPr>
            </w:pPr>
            <w:r>
              <w:rPr>
                <w:rFonts w:ascii="Arial" w:cs="Arial" w:eastAsia="Arial" w:hAnsi="Arial"/>
                <w:sz w:val="18"/>
                <w:szCs w:val="18"/>
                <w:color w:val="212529"/>
                <w:w w:val="90"/>
              </w:rPr>
              <w:t xml:space="preserve">Inline XBRL Instance Document </w:t>
            </w:r>
            <w:r>
              <w:rPr>
                <w:rFonts w:ascii="Arial" w:cs="Arial" w:eastAsia="Arial" w:hAnsi="Arial"/>
                <w:sz w:val="18"/>
                <w:szCs w:val="18"/>
                <w:color w:val="000000"/>
                <w:w w:val="90"/>
              </w:rPr>
              <w:t>- the instance document does not appear in the Interactive Data File because its XBRL tags are embedded</w:t>
            </w:r>
          </w:p>
        </w:tc>
      </w:tr>
      <w:tr>
        <w:trPr>
          <w:trHeight w:val="230"/>
        </w:trPr>
        <w:tc>
          <w:tcPr>
            <w:tcW w:w="920" w:type="dxa"/>
            <w:vAlign w:val="bottom"/>
          </w:tcPr>
          <w:p>
            <w:pPr>
              <w:spacing w:after="0"/>
              <w:rPr>
                <w:sz w:val="20"/>
                <w:szCs w:val="20"/>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4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3"/>
          </w:tcPr>
          <w:p>
            <w:pPr>
              <w:spacing w:after="0"/>
              <w:rPr>
                <w:sz w:val="20"/>
                <w:szCs w:val="20"/>
                <w:color w:val="auto"/>
              </w:rPr>
            </w:pPr>
            <w:r>
              <w:rPr>
                <w:rFonts w:ascii="Arial" w:cs="Arial" w:eastAsia="Arial" w:hAnsi="Arial"/>
                <w:sz w:val="18"/>
                <w:szCs w:val="18"/>
                <w:color w:val="212529"/>
              </w:rPr>
              <w:t>Inline XBRL Taxonomy Extension Calculation Linkbase Document</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3"/>
          </w:tcPr>
          <w:p>
            <w:pPr>
              <w:spacing w:after="0"/>
              <w:rPr>
                <w:sz w:val="20"/>
                <w:szCs w:val="20"/>
                <w:color w:val="auto"/>
              </w:rPr>
            </w:pPr>
            <w:r>
              <w:rPr>
                <w:rFonts w:ascii="Arial" w:cs="Arial" w:eastAsia="Arial" w:hAnsi="Arial"/>
                <w:sz w:val="18"/>
                <w:szCs w:val="18"/>
                <w:color w:val="212529"/>
              </w:rPr>
              <w:t>Inline XBRL Taxonomy Extension Definition Linkbase Document</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3"/>
          </w:tcPr>
          <w:p>
            <w:pPr>
              <w:spacing w:after="0"/>
              <w:rPr>
                <w:sz w:val="20"/>
                <w:szCs w:val="20"/>
                <w:color w:val="auto"/>
              </w:rPr>
            </w:pPr>
            <w:r>
              <w:rPr>
                <w:rFonts w:ascii="Arial" w:cs="Arial" w:eastAsia="Arial" w:hAnsi="Arial"/>
                <w:sz w:val="18"/>
                <w:szCs w:val="18"/>
                <w:color w:val="212529"/>
              </w:rPr>
              <w:t>Inline XBRL Taxonomy Extension Label Linkbase Document</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3"/>
          </w:tcPr>
          <w:p>
            <w:pPr>
              <w:spacing w:after="0"/>
              <w:rPr>
                <w:sz w:val="20"/>
                <w:szCs w:val="20"/>
                <w:color w:val="auto"/>
              </w:rPr>
            </w:pPr>
            <w:r>
              <w:rPr>
                <w:rFonts w:ascii="Arial" w:cs="Arial" w:eastAsia="Arial" w:hAnsi="Arial"/>
                <w:sz w:val="18"/>
                <w:szCs w:val="18"/>
                <w:color w:val="212529"/>
              </w:rPr>
              <w:t>Inline XBRL Taxonomy Extension Presentation Linkbase Document</w:t>
            </w:r>
          </w:p>
        </w:tc>
      </w:tr>
    </w:tbl>
    <w:p>
      <w:pPr>
        <w:spacing w:after="0" w:line="215" w:lineRule="exact"/>
        <w:rPr>
          <w:sz w:val="20"/>
          <w:szCs w:val="20"/>
          <w:color w:val="auto"/>
        </w:rPr>
      </w:pPr>
    </w:p>
    <w:p>
      <w:pPr>
        <w:ind w:left="920" w:hanging="912"/>
        <w:spacing w:after="0" w:line="277"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cover page from the Company’s Annual Report on Form 10-K for the fiscal year ended December 31, 2020 has been formatted in Inline</w:t>
      </w:r>
      <w:r>
        <w:rPr>
          <w:rFonts w:ascii="Arial" w:cs="Arial" w:eastAsia="Arial" w:hAnsi="Arial"/>
          <w:sz w:val="18"/>
          <w:szCs w:val="18"/>
          <w:color w:val="212529"/>
        </w:rPr>
        <w:t xml:space="preserve"> </w:t>
      </w:r>
      <w:r>
        <w:rPr>
          <w:rFonts w:ascii="Arial" w:cs="Arial" w:eastAsia="Arial" w:hAnsi="Arial"/>
          <w:sz w:val="18"/>
          <w:szCs w:val="18"/>
          <w:color w:val="000000"/>
        </w:rPr>
        <w:t>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MANPOWERGROUP INC.</w:t>
      </w:r>
    </w:p>
    <w:p>
      <w:pPr>
        <w:spacing w:after="0" w:line="306" w:lineRule="exact"/>
        <w:rPr>
          <w:sz w:val="20"/>
          <w:szCs w:val="20"/>
          <w:color w:val="auto"/>
        </w:rPr>
      </w:pPr>
    </w:p>
    <w:p>
      <w:pPr>
        <w:ind w:left="70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Jonas Prising</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Jonas Prising</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Chairman and Chief Executive Officer</w:t>
      </w:r>
    </w:p>
    <w:p>
      <w:pPr>
        <w:spacing w:after="0" w:line="30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  February 19, 2021</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Borders>
              <w:bottom w:val="single" w:sz="8" w:color="auto"/>
            </w:tcBorders>
            <w:gridSpan w:val="4"/>
          </w:tcPr>
          <w:p>
            <w:pPr>
              <w:ind w:left="11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562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Date</w:t>
            </w:r>
          </w:p>
        </w:tc>
      </w:tr>
      <w:tr>
        <w:trPr>
          <w:trHeight w:val="418"/>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Jonas Prising</w:t>
            </w:r>
          </w:p>
        </w:tc>
        <w:tc>
          <w:tcPr>
            <w:tcW w:w="1520" w:type="dxa"/>
            <w:vAlign w:val="bottom"/>
            <w:gridSpan w:val="3"/>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Chairman, Chief Executive Officer and a Director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19, 2021</w:t>
            </w:r>
          </w:p>
        </w:tc>
      </w:tr>
      <w:tr>
        <w:trPr>
          <w:trHeight w:val="237"/>
        </w:trPr>
        <w:tc>
          <w:tcPr>
            <w:tcW w:w="2700" w:type="dxa"/>
            <w:vAlign w:val="bottom"/>
            <w:gridSpan w:val="4"/>
          </w:tcPr>
          <w:p>
            <w:pPr>
              <w:spacing w:after="0"/>
              <w:rPr>
                <w:sz w:val="20"/>
                <w:szCs w:val="20"/>
                <w:color w:val="auto"/>
              </w:rPr>
            </w:pPr>
            <w:r>
              <w:rPr>
                <w:rFonts w:ascii="Arial" w:cs="Arial" w:eastAsia="Arial" w:hAnsi="Arial"/>
                <w:sz w:val="18"/>
                <w:szCs w:val="18"/>
                <w:color w:val="auto"/>
              </w:rPr>
              <w:t>Jonas Prising</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26"/>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John T. McGinnis</w:t>
            </w:r>
          </w:p>
        </w:tc>
        <w:tc>
          <w:tcPr>
            <w:tcW w:w="118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19, 2021</w:t>
            </w:r>
          </w:p>
        </w:tc>
      </w:tr>
      <w:tr>
        <w:trPr>
          <w:trHeight w:val="237"/>
        </w:trPr>
        <w:tc>
          <w:tcPr>
            <w:tcW w:w="2700" w:type="dxa"/>
            <w:vAlign w:val="bottom"/>
            <w:gridSpan w:val="4"/>
          </w:tcPr>
          <w:p>
            <w:pPr>
              <w:spacing w:after="0"/>
              <w:rPr>
                <w:sz w:val="20"/>
                <w:szCs w:val="20"/>
                <w:color w:val="auto"/>
              </w:rPr>
            </w:pPr>
            <w:r>
              <w:rPr>
                <w:rFonts w:ascii="Arial" w:cs="Arial" w:eastAsia="Arial" w:hAnsi="Arial"/>
                <w:sz w:val="18"/>
                <w:szCs w:val="18"/>
                <w:color w:val="auto"/>
              </w:rPr>
              <w:t>John T. McGinnis</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73"/>
        </w:trPr>
        <w:tc>
          <w:tcPr>
            <w:tcW w:w="2700" w:type="dxa"/>
            <w:vAlign w:val="bottom"/>
            <w:gridSpan w:val="4"/>
          </w:tcPr>
          <w:p>
            <w:pPr>
              <w:spacing w:after="0"/>
              <w:rPr>
                <w:sz w:val="20"/>
                <w:szCs w:val="20"/>
                <w:color w:val="auto"/>
              </w:rPr>
            </w:pPr>
            <w:r>
              <w:rPr>
                <w:rFonts w:ascii="Arial" w:cs="Arial" w:eastAsia="Arial" w:hAnsi="Arial"/>
                <w:sz w:val="18"/>
                <w:szCs w:val="18"/>
                <w:color w:val="auto"/>
              </w:rPr>
              <w:t>/s/ Donald Mondano</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Global Controller and Treasurer</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February 19, 2021</w:t>
            </w:r>
          </w:p>
        </w:tc>
      </w:tr>
      <w:tr>
        <w:trPr>
          <w:trHeight w:val="237"/>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Donald Mondano</w:t>
            </w:r>
          </w:p>
        </w:tc>
        <w:tc>
          <w:tcPr>
            <w:tcW w:w="1220" w:type="dxa"/>
            <w:vAlign w:val="bottom"/>
            <w:gridSpan w:val="2"/>
          </w:tcPr>
          <w:p>
            <w:pPr>
              <w:spacing w:after="0"/>
              <w:rPr>
                <w:sz w:val="20"/>
                <w:szCs w:val="20"/>
                <w:color w:val="auto"/>
              </w:rPr>
            </w:pP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(Principal Accounting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4"/>
        </w:trPr>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Directors: Gina R. Boswell, Jean-Philippe Courtois, Cari M. Dominguez, William Downe, John F. Ferraro, William P. Gipson, Patricia A. Hemingway Hall, Julie M. Howard, Ulice Payne, Jr., Paul Read, Elizabeth P. Sartain, and Michael J. Van Handel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Buchband</w:t>
            </w:r>
          </w:p>
        </w:tc>
      </w:tr>
      <w:tr>
        <w:trPr>
          <w:trHeight w:val="222"/>
        </w:trPr>
        <w:tc>
          <w:tcPr>
            <w:tcW w:w="70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Richard Buchband</w:t>
            </w:r>
          </w:p>
        </w:tc>
      </w:tr>
      <w:tr>
        <w:trPr>
          <w:trHeight w:val="230"/>
        </w:trPr>
        <w:tc>
          <w:tcPr>
            <w:tcW w:w="70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513"/>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560" w:type="dxa"/>
            <w:vAlign w:val="bottom"/>
          </w:tcPr>
          <w:p>
            <w:pPr>
              <w:spacing w:after="0"/>
              <w:rPr>
                <w:sz w:val="20"/>
                <w:szCs w:val="20"/>
                <w:color w:val="auto"/>
              </w:rPr>
            </w:pPr>
            <w:r>
              <w:rPr>
                <w:rFonts w:ascii="Arial" w:cs="Arial" w:eastAsia="Arial" w:hAnsi="Arial"/>
                <w:sz w:val="18"/>
                <w:szCs w:val="18"/>
                <w:color w:val="auto"/>
              </w:rPr>
              <w:t>February 19, 2021</w:t>
            </w:r>
          </w:p>
        </w:tc>
      </w:tr>
    </w:tbl>
    <w:p>
      <w:pPr>
        <w:spacing w:after="0" w:line="215" w:lineRule="exact"/>
        <w:rPr>
          <w:sz w:val="20"/>
          <w:szCs w:val="20"/>
          <w:color w:val="auto"/>
        </w:rPr>
      </w:pPr>
    </w:p>
    <w:p>
      <w:pPr>
        <w:ind w:left="5480" w:right="4680" w:hanging="5472"/>
        <w:spacing w:after="0" w:line="573" w:lineRule="auto"/>
        <w:tabs>
          <w:tab w:leader="none" w:pos="269" w:val="left"/>
        </w:tabs>
        <w:numPr>
          <w:ilvl w:val="0"/>
          <w:numId w:val="59"/>
        </w:numPr>
        <w:rPr>
          <w:rFonts w:ascii="Arial" w:cs="Arial" w:eastAsia="Arial" w:hAnsi="Arial"/>
          <w:sz w:val="17"/>
          <w:szCs w:val="17"/>
          <w:color w:val="auto"/>
        </w:rPr>
      </w:pPr>
      <w:r>
        <w:rPr>
          <w:rFonts w:ascii="Arial" w:cs="Arial" w:eastAsia="Arial" w:hAnsi="Arial"/>
          <w:sz w:val="17"/>
          <w:szCs w:val="17"/>
          <w:color w:val="auto"/>
        </w:rPr>
        <w:t>Pursuant to authority granted by powers of attorney, copies of which are filed herewith. 106</w:t>
      </w:r>
    </w:p>
    <w:p>
      <w:pPr>
        <w:sectPr>
          <w:pgSz w:w="11900" w:h="16838" w:orient="portrait"/>
          <w:cols w:equalWidth="0" w:num="1">
            <w:col w:w="11240"/>
          </w:cols>
          <w:pgMar w:left="320" w:top="35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Exhibit 4.3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Inc.</w:t>
      </w:r>
    </w:p>
    <w:p>
      <w:pPr>
        <w:spacing w:after="0" w:line="239" w:lineRule="exact"/>
        <w:rPr>
          <w:sz w:val="20"/>
          <w:szCs w:val="20"/>
          <w:color w:val="auto"/>
        </w:rPr>
      </w:pPr>
    </w:p>
    <w:p>
      <w:pPr>
        <w:ind w:left="3500"/>
        <w:spacing w:after="0"/>
        <w:rPr>
          <w:sz w:val="20"/>
          <w:szCs w:val="20"/>
          <w:color w:val="auto"/>
        </w:rPr>
      </w:pPr>
      <w:r>
        <w:rPr>
          <w:rFonts w:ascii="Arial" w:cs="Arial" w:eastAsia="Arial" w:hAnsi="Arial"/>
          <w:sz w:val="22"/>
          <w:szCs w:val="22"/>
          <w:i w:val="1"/>
          <w:iCs w:val="1"/>
          <w:color w:val="auto"/>
        </w:rPr>
        <w:t>Description of Securities Registered Pursuant to</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Section 12 of the Securities Exchange Act of 1934</w:t>
      </w:r>
    </w:p>
    <w:p>
      <w:pPr>
        <w:spacing w:after="0" w:line="215" w:lineRule="exact"/>
        <w:rPr>
          <w:sz w:val="20"/>
          <w:szCs w:val="20"/>
          <w:color w:val="auto"/>
        </w:rPr>
      </w:pPr>
    </w:p>
    <w:p>
      <w:pPr>
        <w:ind w:right="180" w:firstLine="864"/>
        <w:spacing w:after="0" w:line="277" w:lineRule="auto"/>
        <w:rPr>
          <w:sz w:val="20"/>
          <w:szCs w:val="20"/>
          <w:color w:val="auto"/>
        </w:rPr>
      </w:pPr>
      <w:r>
        <w:rPr>
          <w:rFonts w:ascii="Arial" w:cs="Arial" w:eastAsia="Arial" w:hAnsi="Arial"/>
          <w:sz w:val="19"/>
          <w:szCs w:val="19"/>
          <w:color w:val="auto"/>
        </w:rPr>
        <w:t>As of December 31, 2020, ManpowerGroup Inc. (“ManpowerGroup,” “we,” “our,” “us”) has one class of securities registered under Section 12 of the Securities Exchange Act of 1934, as amended: common stock, $.01 par value, authorized 125,000,000 shares, issued 117,555,991 shares (the “Common Stock”). The following is a summary of the material terms and rights of our Common Stock and the provisions of our Amended and Restated Articles of Incorporation (the “Articles”) and our Amended and Restated By-laws (the “By-laws”), each of which is incorporated by reference as an exhibit to our Annual Report on Form 10-K for the year ended December 31, 2020, of which this exhibit is a part. The summary is not complete and you should refer to the applicable provisions of our Articles and By-laws.</w:t>
      </w:r>
    </w:p>
    <w:p>
      <w:pPr>
        <w:spacing w:after="0" w:line="179"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Our Articles authorize us to issue up to 25,000,000 shares of preferred stock, $.01 par value. As of December 31, 2020, we have not issued any shares of preferred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Rights</w:t>
      </w:r>
    </w:p>
    <w:p>
      <w:pPr>
        <w:spacing w:after="0" w:line="239" w:lineRule="exact"/>
        <w:rPr>
          <w:sz w:val="20"/>
          <w:szCs w:val="20"/>
          <w:color w:val="auto"/>
        </w:rPr>
      </w:pPr>
    </w:p>
    <w:p>
      <w:pPr>
        <w:jc w:val="both"/>
        <w:ind w:right="80" w:firstLine="864"/>
        <w:spacing w:after="0"/>
        <w:rPr>
          <w:sz w:val="20"/>
          <w:szCs w:val="20"/>
          <w:color w:val="auto"/>
        </w:rPr>
      </w:pPr>
      <w:r>
        <w:rPr>
          <w:rFonts w:ascii="Arial" w:cs="Arial" w:eastAsia="Arial" w:hAnsi="Arial"/>
          <w:sz w:val="22"/>
          <w:szCs w:val="22"/>
          <w:color w:val="auto"/>
        </w:rPr>
        <w:t>The holders of our Common Stock shall be entitled to receive such dividends as may be declared thereon from time to time by the Board of Directors, in its discretion, out of any funds of ManpowerGroup at the time legally available for payment of dividends on Common Stock.</w:t>
      </w:r>
    </w:p>
    <w:p>
      <w:pPr>
        <w:spacing w:after="0" w:line="213" w:lineRule="exact"/>
        <w:rPr>
          <w:sz w:val="20"/>
          <w:szCs w:val="20"/>
          <w:color w:val="auto"/>
        </w:rPr>
      </w:pPr>
    </w:p>
    <w:p>
      <w:pPr>
        <w:ind w:firstLine="864"/>
        <w:spacing w:after="0" w:line="248" w:lineRule="auto"/>
        <w:rPr>
          <w:sz w:val="20"/>
          <w:szCs w:val="20"/>
          <w:color w:val="auto"/>
        </w:rPr>
      </w:pPr>
      <w:r>
        <w:rPr>
          <w:rFonts w:ascii="Arial" w:cs="Arial" w:eastAsia="Arial" w:hAnsi="Arial"/>
          <w:sz w:val="21"/>
          <w:szCs w:val="21"/>
          <w:color w:val="auto"/>
        </w:rPr>
        <w:t>If we were to issue preferred stock, any dividends in connection with such preferred stock shall be paid or declared and set apart for payment for each dividend period before any dividend (other than a dividend payable solely in Common Stock) for the same period shall be paid upon or set apart for payment on the Common Stock, and, if dividends on the preferred stock shall be cumulative or partially cumulative, all unpaid dividends thereon for any past dividend period shall be fully paid or declared and set apart for payment, but without interest, before any dividend (other than a dividend payable solely in Common Stock) shall be paid upon or set apart for payment in the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Rights</w:t>
      </w:r>
    </w:p>
    <w:p>
      <w:pPr>
        <w:spacing w:after="0" w:line="239" w:lineRule="exact"/>
        <w:rPr>
          <w:sz w:val="20"/>
          <w:szCs w:val="20"/>
          <w:color w:val="auto"/>
        </w:rPr>
      </w:pPr>
    </w:p>
    <w:p>
      <w:pPr>
        <w:ind w:right="80" w:firstLine="864"/>
        <w:spacing w:after="0" w:line="235" w:lineRule="auto"/>
        <w:rPr>
          <w:sz w:val="20"/>
          <w:szCs w:val="20"/>
          <w:color w:val="auto"/>
        </w:rPr>
      </w:pPr>
      <w:r>
        <w:rPr>
          <w:rFonts w:ascii="Arial" w:cs="Arial" w:eastAsia="Arial" w:hAnsi="Arial"/>
          <w:sz w:val="22"/>
          <w:szCs w:val="22"/>
          <w:color w:val="auto"/>
        </w:rPr>
        <w:t>Except as otherwise provided by law and except as may be determined by the Board of Directors with respect to shares of preferred stock as provided in our Articles, only the holders of shares of Common Stock shall be entitled to vote for the election of directors of ManpowerGroup and for all other corporate purposes. Except as otherwise provided by law, upon any such vote, each holder of Common Stock shall be entitled to one vote for each share of Common Stock held of record by such shareholder. Our Articles do not provide for cumulative voting. Further, our Board of Directors does not have a classified structure.</w:t>
      </w:r>
    </w:p>
    <w:p>
      <w:pPr>
        <w:spacing w:after="0" w:line="215" w:lineRule="exact"/>
        <w:rPr>
          <w:sz w:val="20"/>
          <w:szCs w:val="20"/>
          <w:color w:val="auto"/>
        </w:rPr>
      </w:pPr>
    </w:p>
    <w:p>
      <w:pPr>
        <w:ind w:right="60" w:firstLine="864"/>
        <w:spacing w:after="0" w:line="250" w:lineRule="auto"/>
        <w:rPr>
          <w:sz w:val="20"/>
          <w:szCs w:val="20"/>
          <w:color w:val="auto"/>
        </w:rPr>
      </w:pPr>
      <w:r>
        <w:rPr>
          <w:rFonts w:ascii="Arial" w:cs="Arial" w:eastAsia="Arial" w:hAnsi="Arial"/>
          <w:sz w:val="22"/>
          <w:szCs w:val="22"/>
          <w:color w:val="auto"/>
        </w:rPr>
        <w:t>Pursuant to our By-laws if a quorum exists, generally, action on a matter by a voting group is approved if the votes cast within the voting group favoring the action exceed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line="282" w:lineRule="auto"/>
        <w:rPr>
          <w:sz w:val="20"/>
          <w:szCs w:val="20"/>
          <w:color w:val="auto"/>
        </w:rPr>
      </w:pPr>
      <w:r>
        <w:rPr>
          <w:rFonts w:ascii="Arial" w:cs="Arial" w:eastAsia="Arial" w:hAnsi="Arial"/>
          <w:sz w:val="19"/>
          <w:szCs w:val="19"/>
          <w:color w:val="auto"/>
        </w:rPr>
        <w:t>cast opposing the action, unless our Articles, By-laws, or the Wisconsin business corporation law require a greater number of affirmative votes. For the election of directors, in a non-contested election, directors shall be elected by a majority of the votes cast by holders of shares of our Common Stock entitled to vote in the election at a shareholders meeting at which a quorum is present. In a contested election, directors shall be elected by a plurality of the votes cast by holders of shares of our Common Stock entitled to vote in the election at a shareholders meeting at which a quorum is present.</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Liquidation Rights</w:t>
      </w:r>
    </w:p>
    <w:p>
      <w:pPr>
        <w:spacing w:after="0" w:line="239"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auto"/>
        </w:rPr>
        <w:t>In the event of a voluntary or involuntary dissolution, liquidation or winding up of ManpowerGroup, after there have been paid to or set aside for any holders of shares of preferred stock the full preferential amounts to which they are entitled as provided in our Articles, the holders of outstanding shares of Common Stock shall be entitled to share ratably, according to the number of shares held by each, in the remaining assets of ManpowerGroup available for distribution.</w:t>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Listing</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Our Common Stock is listed for trading on the New York Stock Exchange under the symbol “MAN.”</w:t>
      </w: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right="60" w:firstLine="864"/>
        <w:spacing w:after="0" w:line="274" w:lineRule="auto"/>
        <w:rPr>
          <w:sz w:val="20"/>
          <w:szCs w:val="20"/>
          <w:color w:val="auto"/>
        </w:rPr>
      </w:pPr>
      <w:r>
        <w:rPr>
          <w:rFonts w:ascii="Arial" w:cs="Arial" w:eastAsia="Arial" w:hAnsi="Arial"/>
          <w:sz w:val="21"/>
          <w:szCs w:val="21"/>
          <w:color w:val="auto"/>
        </w:rPr>
        <w:t>There are no conversion rights or redemption or sinking fund provisions for our Common Stock. The holders of our Common Stock also do not have preemptive rights to purchase or subscribe for any stock or other securities.</w:t>
      </w:r>
    </w:p>
    <w:p>
      <w:pPr>
        <w:sectPr>
          <w:pgSz w:w="11900" w:h="16838" w:orient="portrait"/>
          <w:cols w:equalWidth="0" w:num="1">
            <w:col w:w="10980"/>
          </w:cols>
          <w:pgMar w:left="320" w:top="361" w:right="59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10.7(f)</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ManpowerGroup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40" w:lineRule="exact"/>
        <w:rPr>
          <w:sz w:val="20"/>
          <w:szCs w:val="20"/>
          <w:color w:val="auto"/>
        </w:rPr>
      </w:pPr>
    </w:p>
    <w:p>
      <w:pPr>
        <w:ind w:right="940" w:firstLine="851"/>
        <w:spacing w:after="0" w:line="236" w:lineRule="auto"/>
        <w:rPr>
          <w:sz w:val="20"/>
          <w:szCs w:val="20"/>
          <w:color w:val="auto"/>
        </w:rPr>
      </w:pPr>
      <w:r>
        <w:rPr>
          <w:rFonts w:ascii="Arial" w:cs="Arial" w:eastAsia="Arial" w:hAnsi="Arial"/>
          <w:sz w:val="20"/>
          <w:szCs w:val="20"/>
          <w:color w:val="auto"/>
        </w:rPr>
        <w:t>This Restricted Stock Unit Agreement (this “Agreement”) is executed as of August 14, 2019 by and between ManpowerGroup Inc., a Wisconsin corporation (the “Corporation”), and Michelle Nettles (the “Employee”).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ind w:right="160" w:firstLine="851"/>
        <w:spacing w:after="0" w:line="236" w:lineRule="auto"/>
        <w:rPr>
          <w:sz w:val="20"/>
          <w:szCs w:val="20"/>
          <w:color w:val="auto"/>
        </w:rPr>
      </w:pPr>
      <w:r>
        <w:rPr>
          <w:rFonts w:ascii="Arial" w:cs="Arial" w:eastAsia="Arial" w:hAnsi="Arial"/>
          <w:sz w:val="20"/>
          <w:szCs w:val="20"/>
          <w:color w:val="auto"/>
        </w:rPr>
        <w:t>WHEREAS the Board of Directors of the Corporation has established the 2011 Equity Incentive Plan (the “Plan”) with the approval of the shareholders of the Corporation; and</w:t>
      </w:r>
    </w:p>
    <w:p>
      <w:pPr>
        <w:spacing w:after="0" w:line="209" w:lineRule="exact"/>
        <w:rPr>
          <w:sz w:val="20"/>
          <w:szCs w:val="20"/>
          <w:color w:val="auto"/>
        </w:rPr>
      </w:pPr>
    </w:p>
    <w:p>
      <w:pPr>
        <w:ind w:right="500" w:firstLine="851"/>
        <w:spacing w:after="0" w:line="236" w:lineRule="auto"/>
        <w:rPr>
          <w:sz w:val="20"/>
          <w:szCs w:val="20"/>
          <w:color w:val="auto"/>
        </w:rPr>
      </w:pPr>
      <w:r>
        <w:rPr>
          <w:rFonts w:ascii="Arial" w:cs="Arial" w:eastAsia="Arial" w:hAnsi="Arial"/>
          <w:sz w:val="20"/>
          <w:szCs w:val="20"/>
          <w:color w:val="auto"/>
        </w:rPr>
        <w:t>WHEREAS, the Employee has been granted Restricted Stock Units (“RSUs”) under the Plan subject to the terms provided in this Agreement and the Plan.</w:t>
      </w:r>
    </w:p>
    <w:p>
      <w:pPr>
        <w:spacing w:after="0" w:line="209"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NOW, THEREFORE, the Corporation and the Employee hereby agree as follows:</w:t>
      </w:r>
    </w:p>
    <w:p>
      <w:pPr>
        <w:spacing w:after="0" w:line="216" w:lineRule="exact"/>
        <w:rPr>
          <w:sz w:val="20"/>
          <w:szCs w:val="20"/>
          <w:color w:val="auto"/>
        </w:rPr>
      </w:pPr>
    </w:p>
    <w:p>
      <w:pPr>
        <w:ind w:right="120" w:firstLine="859"/>
        <w:spacing w:after="0" w:line="229" w:lineRule="auto"/>
        <w:tabs>
          <w:tab w:leader="none" w:pos="1126"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Provisions of Plan Control</w:t>
      </w:r>
      <w:r>
        <w:rPr>
          <w:rFonts w:ascii="Arial" w:cs="Arial" w:eastAsia="Arial" w:hAnsi="Arial"/>
          <w:sz w:val="20"/>
          <w:szCs w:val="20"/>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212" w:lineRule="exact"/>
        <w:rPr>
          <w:rFonts w:ascii="Arial" w:cs="Arial" w:eastAsia="Arial" w:hAnsi="Arial"/>
          <w:sz w:val="20"/>
          <w:szCs w:val="20"/>
          <w:color w:val="auto"/>
        </w:rPr>
      </w:pPr>
    </w:p>
    <w:p>
      <w:pPr>
        <w:ind w:right="40" w:firstLine="859"/>
        <w:spacing w:after="0"/>
        <w:tabs>
          <w:tab w:leader="none" w:pos="112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Terms of Award</w:t>
      </w:r>
      <w:r>
        <w:rPr>
          <w:rFonts w:ascii="Arial" w:cs="Arial" w:eastAsia="Arial" w:hAnsi="Arial"/>
          <w:sz w:val="19"/>
          <w:szCs w:val="19"/>
          <w:color w:val="auto"/>
        </w:rPr>
        <w:t>. The Employee has been granted 11,928 RSUs under the Plan. The Administrator has determined that the Employee will vest in the RSUs granted hereunder ratably over a four-year period following the date hereof, where 25% of the RSUs shall vest on each annual anniversary date hereof, provided that the Employee is still in the employ of the Corporation or one of its Subsidiaries on each such date. To the extent that the number of Shares vesting on any anniversary date is a fractional number, the cumulative number shall be rounded to the closest whole number, provided however, that to the extent necessary, the cumulative number of Shares vesting on the 4</w:t>
      </w:r>
      <w:r>
        <w:rPr>
          <w:rFonts w:ascii="Arial" w:cs="Arial" w:eastAsia="Arial" w:hAnsi="Arial"/>
          <w:sz w:val="15"/>
          <w:szCs w:val="15"/>
          <w:color w:val="auto"/>
        </w:rPr>
        <w:t>th</w:t>
      </w:r>
      <w:r>
        <w:rPr>
          <w:rFonts w:ascii="Arial" w:cs="Arial" w:eastAsia="Arial" w:hAnsi="Arial"/>
          <w:sz w:val="19"/>
          <w:szCs w:val="19"/>
          <w:color w:val="auto"/>
        </w:rPr>
        <w:t xml:space="preserve"> annual anniversary date shall be adjusted so that the total Shares that have vested on or before the 4</w:t>
      </w:r>
      <w:r>
        <w:rPr>
          <w:rFonts w:ascii="Arial" w:cs="Arial" w:eastAsia="Arial" w:hAnsi="Arial"/>
          <w:sz w:val="15"/>
          <w:szCs w:val="15"/>
          <w:color w:val="auto"/>
        </w:rPr>
        <w:t>th</w:t>
      </w:r>
      <w:r>
        <w:rPr>
          <w:rFonts w:ascii="Arial" w:cs="Arial" w:eastAsia="Arial" w:hAnsi="Arial"/>
          <w:sz w:val="19"/>
          <w:szCs w:val="19"/>
          <w:color w:val="auto"/>
        </w:rPr>
        <w:t xml:space="preserve"> annual anniversary date equals the total number of Shares indicated above.</w:t>
      </w:r>
    </w:p>
    <w:p>
      <w:pPr>
        <w:spacing w:after="0" w:line="212" w:lineRule="exact"/>
        <w:rPr>
          <w:sz w:val="20"/>
          <w:szCs w:val="20"/>
          <w:color w:val="auto"/>
        </w:rPr>
      </w:pPr>
    </w:p>
    <w:p>
      <w:pPr>
        <w:ind w:right="100" w:firstLine="851"/>
        <w:spacing w:after="0" w:line="236" w:lineRule="auto"/>
        <w:rPr>
          <w:sz w:val="20"/>
          <w:szCs w:val="20"/>
          <w:color w:val="auto"/>
        </w:rPr>
      </w:pPr>
      <w:r>
        <w:rPr>
          <w:rFonts w:ascii="Arial" w:cs="Arial" w:eastAsia="Arial" w:hAnsi="Arial"/>
          <w:sz w:val="20"/>
          <w:szCs w:val="20"/>
          <w:color w:val="auto"/>
        </w:rPr>
        <w:t>Notwithstanding the foregoing, the provisions of Section 8(e) of the Plan, regarding a Triggering Event, shall not apply to this Agreement. Instead, in connection with a Triggering Event, all RSUs shall vest in full upon any of the following:</w:t>
      </w:r>
    </w:p>
    <w:p>
      <w:pPr>
        <w:spacing w:after="0" w:line="209" w:lineRule="exact"/>
        <w:rPr>
          <w:sz w:val="20"/>
          <w:szCs w:val="20"/>
          <w:color w:val="auto"/>
        </w:rPr>
      </w:pPr>
    </w:p>
    <w:p>
      <w:pPr>
        <w:ind w:left="1700" w:right="280" w:hanging="842"/>
        <w:spacing w:after="0" w:line="230" w:lineRule="auto"/>
        <w:tabs>
          <w:tab w:leader="none" w:pos="17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the Corporation’s shares remain publicly traded on a national securities exchange after the Triggering Event, upon termination of Employee’s employment by the Corporation other than for “Cause,” as defined below, or upon Employee’s voluntary termination of his employment for “Good Reason,” as defined below, during a Protected Period or within two (2) years following a Triggering Event;</w:t>
      </w:r>
    </w:p>
    <w:p>
      <w:pPr>
        <w:spacing w:after="0" w:line="211" w:lineRule="exact"/>
        <w:rPr>
          <w:rFonts w:ascii="Arial" w:cs="Arial" w:eastAsia="Arial" w:hAnsi="Arial"/>
          <w:sz w:val="20"/>
          <w:szCs w:val="20"/>
          <w:color w:val="auto"/>
        </w:rPr>
      </w:pPr>
    </w:p>
    <w:p>
      <w:pPr>
        <w:ind w:left="1700" w:right="100" w:hanging="842"/>
        <w:spacing w:after="0" w:line="232" w:lineRule="auto"/>
        <w:tabs>
          <w:tab w:leader="none" w:pos="17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Upon a Triggering Event where the Corporation’s shares do not remain publicly traded on a national securities exchange after the Triggering Event, unless the RSUs granted hereunder are converted, on a tax-free basis, into similar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ind w:left="1700" w:right="320"/>
        <w:spacing w:after="0" w:line="236" w:lineRule="auto"/>
        <w:rPr>
          <w:sz w:val="20"/>
          <w:szCs w:val="20"/>
          <w:color w:val="auto"/>
        </w:rPr>
      </w:pPr>
      <w:r>
        <w:rPr>
          <w:rFonts w:ascii="Arial" w:cs="Arial" w:eastAsia="Arial" w:hAnsi="Arial"/>
          <w:sz w:val="20"/>
          <w:szCs w:val="20"/>
          <w:color w:val="auto"/>
        </w:rPr>
        <w:t>stock units based on the shares of an acquiring corporation that is publicly traded on a national securities exchange; or</w:t>
      </w:r>
    </w:p>
    <w:p>
      <w:pPr>
        <w:spacing w:after="0" w:line="209" w:lineRule="exact"/>
        <w:rPr>
          <w:sz w:val="20"/>
          <w:szCs w:val="20"/>
          <w:color w:val="auto"/>
        </w:rPr>
      </w:pPr>
    </w:p>
    <w:p>
      <w:pPr>
        <w:ind w:left="1700" w:right="160" w:hanging="842"/>
        <w:spacing w:after="0" w:line="229" w:lineRule="auto"/>
        <w:tabs>
          <w:tab w:leader="none" w:pos="1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Corporation’s shares do not remain publicly traded on a national securities exchange after the Triggering Event and the RSUs granted hereunder are converted, on a tax-free basis, into similar restricted stock units based on the shares of an acquiring corporation that is publicly traded on a national securities exchange, upon termination of Employee’s employment by the Corporation other than for “Cause,” as defined below, or upon the Employee’s voluntary termination of his employment for “Good Reason,” as defined below, during a Protected Period or within two (2) years following a Triggering Event.</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In the event of accelerated vesting due to the termination of Employee’s employment during a Protected Period, the accelerated vesting will occur as of the date of the Triggering Event.</w:t>
      </w:r>
    </w:p>
    <w:p>
      <w:pPr>
        <w:spacing w:after="0" w:line="209"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Further, the provision of Section 8(d)(2) of the Plan as it relates to vesting upon normal or early retirement shall not apply to this Agreement. For the avoidance of doubt, the provisions of Section 8(d)(2) relating to death or Disability prior to vesting will apply such that upon the Employee’s death or Disability prior to the vesting date set forth in paragraph 2 above, Employee will immediately earn and become vested in the RSUs granted hereunder. No accelerated vesting of the Restricted Stock Units shall occur upon a Retirement or early retirement without the consent of the Administrator.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paragraph:</w:t>
      </w:r>
    </w:p>
    <w:p>
      <w:pPr>
        <w:spacing w:after="0" w:line="216" w:lineRule="exact"/>
        <w:rPr>
          <w:sz w:val="20"/>
          <w:szCs w:val="20"/>
          <w:color w:val="auto"/>
        </w:rPr>
      </w:pPr>
    </w:p>
    <w:p>
      <w:pPr>
        <w:ind w:left="2120" w:hanging="411"/>
        <w:spacing w:after="0"/>
        <w:tabs>
          <w:tab w:leader="none" w:pos="21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Termination for “Cause” will mean termination of the Employee’s employment upon:</w:t>
      </w:r>
    </w:p>
    <w:p>
      <w:pPr>
        <w:spacing w:after="0" w:line="242" w:lineRule="exact"/>
        <w:rPr>
          <w:rFonts w:ascii="Arial" w:cs="Arial" w:eastAsia="Arial" w:hAnsi="Arial"/>
          <w:sz w:val="20"/>
          <w:szCs w:val="20"/>
          <w:color w:val="auto"/>
        </w:rPr>
      </w:pPr>
    </w:p>
    <w:p>
      <w:pPr>
        <w:ind w:left="2980" w:hanging="853"/>
        <w:spacing w:after="0" w:line="232" w:lineRule="auto"/>
        <w:tabs>
          <w:tab w:leader="none" w:pos="29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Employee’s repeated failure to perform his duties with the Corporation in a competent, diligent and satisfactory manner as determined by the Corporation’s Chief Executive Officer in his reasonable judgment;</w:t>
      </w:r>
    </w:p>
    <w:p>
      <w:pPr>
        <w:spacing w:after="0" w:line="210" w:lineRule="exact"/>
        <w:rPr>
          <w:rFonts w:ascii="Arial" w:cs="Arial" w:eastAsia="Arial" w:hAnsi="Arial"/>
          <w:sz w:val="20"/>
          <w:szCs w:val="20"/>
          <w:color w:val="auto"/>
        </w:rPr>
      </w:pPr>
    </w:p>
    <w:p>
      <w:pPr>
        <w:ind w:left="2980" w:right="60" w:hanging="853"/>
        <w:spacing w:after="0" w:line="229" w:lineRule="auto"/>
        <w:tabs>
          <w:tab w:leader="none" w:pos="29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Employee’s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208" w:lineRule="exact"/>
        <w:rPr>
          <w:rFonts w:ascii="Arial" w:cs="Arial" w:eastAsia="Arial" w:hAnsi="Arial"/>
          <w:sz w:val="20"/>
          <w:szCs w:val="20"/>
          <w:color w:val="auto"/>
        </w:rPr>
      </w:pPr>
    </w:p>
    <w:p>
      <w:pPr>
        <w:ind w:left="2980" w:right="1160" w:hanging="853"/>
        <w:spacing w:after="0" w:line="236" w:lineRule="auto"/>
        <w:tabs>
          <w:tab w:leader="none" w:pos="29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act by Employee of fraud, material dishonesty or material disloyalty involving ManpowerGroup;</w:t>
      </w:r>
    </w:p>
    <w:p>
      <w:pPr>
        <w:spacing w:after="0" w:line="209" w:lineRule="exact"/>
        <w:rPr>
          <w:rFonts w:ascii="Arial" w:cs="Arial" w:eastAsia="Arial" w:hAnsi="Arial"/>
          <w:sz w:val="20"/>
          <w:szCs w:val="20"/>
          <w:color w:val="auto"/>
        </w:rPr>
      </w:pPr>
    </w:p>
    <w:p>
      <w:pPr>
        <w:ind w:left="2980" w:right="240" w:hanging="853"/>
        <w:spacing w:after="0" w:line="230" w:lineRule="auto"/>
        <w:tabs>
          <w:tab w:leader="none" w:pos="29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any violation by Employee of a ManpowerGroup policy of material import (including, but not limited to, the Code of Business Conduct and Ethics, the Insider Trading Policy, the Anti-Corruption Policy, Policy on Gifts, Entertainment and Sponsorships and policies included in the Employee Handbook);</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110" w:name="page111"/>
    <w:bookmarkEnd w:id="110"/>
    <w:p>
      <w:pPr>
        <w:ind w:left="1860" w:right="740" w:hanging="853"/>
        <w:spacing w:after="0" w:line="236" w:lineRule="auto"/>
        <w:tabs>
          <w:tab w:leader="none" w:pos="18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act by Employee of moral turpitude which is likely to result in discredit to or loss of business, reputation or goodwill of ManpowerGroup;</w:t>
      </w:r>
    </w:p>
    <w:p>
      <w:pPr>
        <w:spacing w:after="0" w:line="209" w:lineRule="exact"/>
        <w:rPr>
          <w:rFonts w:ascii="Arial" w:cs="Arial" w:eastAsia="Arial" w:hAnsi="Arial"/>
          <w:sz w:val="20"/>
          <w:szCs w:val="20"/>
          <w:color w:val="auto"/>
        </w:rPr>
      </w:pPr>
    </w:p>
    <w:p>
      <w:pPr>
        <w:ind w:left="1860" w:hanging="853"/>
        <w:spacing w:after="0"/>
        <w:tabs>
          <w:tab w:leader="none" w:pos="18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Employee’s chronic absence from work other than by reason of a serious health condition;</w:t>
      </w:r>
    </w:p>
    <w:p>
      <w:pPr>
        <w:spacing w:after="0" w:line="229" w:lineRule="exact"/>
        <w:rPr>
          <w:rFonts w:ascii="Arial" w:cs="Arial" w:eastAsia="Arial" w:hAnsi="Arial"/>
          <w:sz w:val="20"/>
          <w:szCs w:val="20"/>
          <w:color w:val="auto"/>
        </w:rPr>
      </w:pPr>
    </w:p>
    <w:p>
      <w:pPr>
        <w:ind w:left="1860" w:right="780" w:hanging="853"/>
        <w:spacing w:after="0" w:line="236" w:lineRule="auto"/>
        <w:tabs>
          <w:tab w:leader="none" w:pos="18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Employee’s commissions of a crime the circumstances of which substantially relate to Employee’s employment duties with ManpowerGroup; or</w:t>
      </w:r>
    </w:p>
    <w:p>
      <w:pPr>
        <w:spacing w:after="0" w:line="195" w:lineRule="exact"/>
        <w:rPr>
          <w:rFonts w:ascii="Arial" w:cs="Arial" w:eastAsia="Arial" w:hAnsi="Arial"/>
          <w:sz w:val="20"/>
          <w:szCs w:val="20"/>
          <w:color w:val="auto"/>
        </w:rPr>
      </w:pPr>
    </w:p>
    <w:p>
      <w:pPr>
        <w:ind w:left="1860" w:hanging="853"/>
        <w:spacing w:after="0" w:line="247" w:lineRule="auto"/>
        <w:tabs>
          <w:tab w:leader="none" w:pos="18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willful engaging by Employee in conduct which is demonstrably and materially injurious to ManpowerGroup. For purposes of this Agreement, no act, or failure to act, on Employee’s part will be deemed “willful” unless done, or omitted to be done, by Employee not in good faith.</w:t>
      </w:r>
    </w:p>
    <w:p>
      <w:pPr>
        <w:spacing w:after="0" w:line="189" w:lineRule="exact"/>
        <w:rPr>
          <w:rFonts w:ascii="Arial" w:cs="Arial" w:eastAsia="Arial" w:hAnsi="Arial"/>
          <w:sz w:val="19"/>
          <w:szCs w:val="19"/>
          <w:color w:val="auto"/>
        </w:rPr>
      </w:pPr>
    </w:p>
    <w:p>
      <w:pPr>
        <w:ind w:left="1000" w:right="300" w:hanging="411"/>
        <w:spacing w:after="0" w:line="236" w:lineRule="auto"/>
        <w:tabs>
          <w:tab w:leader="none" w:pos="10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“Good Reason” will mean, without the Employee’s consent, the occurrence of any one or more of the following:</w:t>
      </w:r>
    </w:p>
    <w:p>
      <w:pPr>
        <w:spacing w:after="0" w:line="209" w:lineRule="exact"/>
        <w:rPr>
          <w:rFonts w:ascii="Arial" w:cs="Arial" w:eastAsia="Arial" w:hAnsi="Arial"/>
          <w:sz w:val="20"/>
          <w:szCs w:val="20"/>
          <w:color w:val="auto"/>
        </w:rPr>
      </w:pPr>
    </w:p>
    <w:p>
      <w:pPr>
        <w:ind w:left="1860" w:right="120" w:hanging="853"/>
        <w:spacing w:after="0" w:line="236" w:lineRule="auto"/>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material breach of any material obligation of the Corporation for the payment or provision of compensation or other benefits to Employee;</w:t>
      </w:r>
    </w:p>
    <w:p>
      <w:pPr>
        <w:spacing w:after="0" w:line="209" w:lineRule="exact"/>
        <w:rPr>
          <w:rFonts w:ascii="Arial" w:cs="Arial" w:eastAsia="Arial" w:hAnsi="Arial"/>
          <w:sz w:val="20"/>
          <w:szCs w:val="20"/>
          <w:color w:val="auto"/>
        </w:rPr>
      </w:pPr>
    </w:p>
    <w:p>
      <w:pPr>
        <w:ind w:left="1860" w:hanging="853"/>
        <w:spacing w:after="0"/>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material diminution in Employee’s base salary;</w:t>
      </w:r>
    </w:p>
    <w:p>
      <w:pPr>
        <w:spacing w:after="0" w:line="242" w:lineRule="exact"/>
        <w:rPr>
          <w:rFonts w:ascii="Arial" w:cs="Arial" w:eastAsia="Arial" w:hAnsi="Arial"/>
          <w:sz w:val="20"/>
          <w:szCs w:val="20"/>
          <w:color w:val="auto"/>
        </w:rPr>
      </w:pPr>
    </w:p>
    <w:p>
      <w:pPr>
        <w:ind w:left="1860" w:right="20" w:hanging="853"/>
        <w:spacing w:after="0" w:line="230" w:lineRule="auto"/>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accompanied by a material reduction in Employee’s target bonus opportunity for a given fiscal year (as compared to the prior fiscal year), except where all senior level executives have similar proportionate reductions in their target bonus percentages;</w:t>
      </w:r>
    </w:p>
    <w:p>
      <w:pPr>
        <w:spacing w:after="0" w:line="211" w:lineRule="exact"/>
        <w:rPr>
          <w:rFonts w:ascii="Arial" w:cs="Arial" w:eastAsia="Arial" w:hAnsi="Arial"/>
          <w:sz w:val="20"/>
          <w:szCs w:val="20"/>
          <w:color w:val="auto"/>
        </w:rPr>
      </w:pPr>
    </w:p>
    <w:p>
      <w:pPr>
        <w:ind w:left="1860" w:right="660" w:hanging="853"/>
        <w:spacing w:after="0" w:line="232" w:lineRule="auto"/>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material diminution in Employee’s authority, duties or responsibilities, which is not accompanied by a material reduction in Employee’s target bonus opportunity but which diminution occurs within two years after the occurrence of a Triggering Event;</w:t>
      </w:r>
    </w:p>
    <w:p>
      <w:pPr>
        <w:spacing w:after="0" w:line="210" w:lineRule="exact"/>
        <w:rPr>
          <w:rFonts w:ascii="Arial" w:cs="Arial" w:eastAsia="Arial" w:hAnsi="Arial"/>
          <w:sz w:val="20"/>
          <w:szCs w:val="20"/>
          <w:color w:val="auto"/>
        </w:rPr>
      </w:pPr>
    </w:p>
    <w:p>
      <w:pPr>
        <w:ind w:left="1860" w:right="140" w:hanging="853"/>
        <w:spacing w:after="0" w:line="230" w:lineRule="auto"/>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material reduction in Employee’s annual target bonus opportunity for a given fiscal year (as compared to the prior fiscal year) which is not accompanied by a material diminution in Employee’s authority, duties or responsibilities, but which reduction occurs within two years after the occurrence of a Triggering Event; or</w:t>
      </w:r>
    </w:p>
    <w:p>
      <w:pPr>
        <w:spacing w:after="0" w:line="198" w:lineRule="exact"/>
        <w:rPr>
          <w:rFonts w:ascii="Arial" w:cs="Arial" w:eastAsia="Arial" w:hAnsi="Arial"/>
          <w:sz w:val="20"/>
          <w:szCs w:val="20"/>
          <w:color w:val="auto"/>
        </w:rPr>
      </w:pPr>
    </w:p>
    <w:p>
      <w:pPr>
        <w:ind w:left="1860" w:right="20" w:hanging="853"/>
        <w:spacing w:after="0" w:line="232" w:lineRule="auto"/>
        <w:tabs>
          <w:tab w:leader="none" w:pos="18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Employee’s being required by the Corporation to materially change the location of his principal office; provided such new location is one in excess of fifty miles from the location of Employee’s principal office before such change; or</w:t>
      </w:r>
    </w:p>
    <w:p>
      <w:pPr>
        <w:spacing w:after="0" w:line="197" w:lineRule="exact"/>
        <w:rPr>
          <w:sz w:val="20"/>
          <w:szCs w:val="20"/>
          <w:color w:val="auto"/>
        </w:rPr>
      </w:pPr>
    </w:p>
    <w:p>
      <w:pPr>
        <w:ind w:left="1020" w:right="160"/>
        <w:spacing w:after="0" w:line="230" w:lineRule="auto"/>
        <w:rPr>
          <w:sz w:val="20"/>
          <w:szCs w:val="20"/>
          <w:color w:val="auto"/>
        </w:rPr>
      </w:pPr>
      <w:r>
        <w:rPr>
          <w:rFonts w:ascii="Arial" w:cs="Arial" w:eastAsia="Arial" w:hAnsi="Arial"/>
          <w:sz w:val="20"/>
          <w:szCs w:val="20"/>
          <w:color w:val="auto"/>
        </w:rPr>
        <w:t>Notwithstanding the provisions above, Good Reason does not exist unless (i) Employee objects to any material diminution or breach described above by written notice to the Corporation within twenty (20) business days after such diminution or breach occurs, (ii) the Corporation fails to cure such diminution or breach within thirty (30) days after such notice is given and (iii) Employee’s</w:t>
      </w:r>
    </w:p>
    <w:p>
      <w:pPr>
        <w:spacing w:after="0" w:line="19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62230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11" w:name="page112"/>
    <w:bookmarkEnd w:id="111"/>
    <w:p>
      <w:pPr>
        <w:ind w:left="2120" w:right="760"/>
        <w:spacing w:after="0" w:line="236" w:lineRule="auto"/>
        <w:rPr>
          <w:sz w:val="20"/>
          <w:szCs w:val="20"/>
          <w:color w:val="auto"/>
        </w:rPr>
      </w:pPr>
      <w:r>
        <w:rPr>
          <w:rFonts w:ascii="Arial" w:cs="Arial" w:eastAsia="Arial" w:hAnsi="Arial"/>
          <w:sz w:val="20"/>
          <w:szCs w:val="20"/>
          <w:color w:val="auto"/>
        </w:rPr>
        <w:t>employment with ManpowerGroup is terminated by Employee within ninety (90) days after such diminution or breach occurs.</w:t>
      </w:r>
    </w:p>
    <w:p>
      <w:pPr>
        <w:spacing w:after="0" w:line="200" w:lineRule="exact"/>
        <w:rPr>
          <w:sz w:val="20"/>
          <w:szCs w:val="20"/>
          <w:color w:val="auto"/>
        </w:rPr>
      </w:pPr>
    </w:p>
    <w:p>
      <w:pPr>
        <w:spacing w:after="0" w:line="239" w:lineRule="exact"/>
        <w:rPr>
          <w:sz w:val="20"/>
          <w:szCs w:val="20"/>
          <w:color w:val="auto"/>
        </w:rPr>
      </w:pPr>
    </w:p>
    <w:p>
      <w:pPr>
        <w:ind w:left="-20" w:right="120" w:firstLine="859"/>
        <w:spacing w:after="0" w:line="229" w:lineRule="auto"/>
        <w:tabs>
          <w:tab w:leader="none" w:pos="110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Dividend Equivalents and Voting Rights</w:t>
      </w:r>
      <w:r>
        <w:rPr>
          <w:rFonts w:ascii="Arial" w:cs="Arial" w:eastAsia="Arial" w:hAnsi="Arial"/>
          <w:sz w:val="20"/>
          <w:szCs w:val="20"/>
          <w:color w:val="auto"/>
        </w:rPr>
        <w:t>. The Employee shall be credited with additional RSUs equivalent to the dividends or distributions the Employee would have received if the Employee had been the owner of a number of Shares equal of the number of RSUs credited to the Employee during the year or shorter period that the Employee holds RSUs. The manner of calculating and crediting such additional RSUs shall be determined in accordance with the Plan. The Employee shall not have any voting or other ownership rights in the Corporation arising from the grant of RSUs under this Agreement.</w:t>
      </w:r>
    </w:p>
    <w:p>
      <w:pPr>
        <w:spacing w:after="0" w:line="212" w:lineRule="exact"/>
        <w:rPr>
          <w:rFonts w:ascii="Arial" w:cs="Arial" w:eastAsia="Arial" w:hAnsi="Arial"/>
          <w:sz w:val="20"/>
          <w:szCs w:val="20"/>
          <w:color w:val="auto"/>
        </w:rPr>
      </w:pPr>
    </w:p>
    <w:p>
      <w:pPr>
        <w:ind w:left="-20" w:right="20" w:firstLine="859"/>
        <w:spacing w:after="0" w:line="230" w:lineRule="auto"/>
        <w:tabs>
          <w:tab w:leader="none" w:pos="110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Corporation may require payment or reimbursement of or may withhold any tax that it believes is required as a result of the grant or vesting of such RSUs or any payments in connection with the RSUs, and the Corporation may defer making delivery of any Shares in respect of RSUs until arrangements satisfactory to the Corporation have been made with regard to any such payment, reimbursement, or withholding obligation.</w:t>
      </w:r>
    </w:p>
    <w:p>
      <w:pPr>
        <w:spacing w:after="0" w:line="211" w:lineRule="exact"/>
        <w:rPr>
          <w:rFonts w:ascii="Arial" w:cs="Arial" w:eastAsia="Arial" w:hAnsi="Arial"/>
          <w:sz w:val="20"/>
          <w:szCs w:val="20"/>
          <w:color w:val="auto"/>
        </w:rPr>
      </w:pPr>
    </w:p>
    <w:p>
      <w:pPr>
        <w:ind w:left="-20" w:right="200" w:firstLine="859"/>
        <w:spacing w:after="0" w:line="229" w:lineRule="auto"/>
        <w:tabs>
          <w:tab w:leader="none" w:pos="110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Issuance and Delivery of Shares</w:t>
      </w:r>
      <w:r>
        <w:rPr>
          <w:rFonts w:ascii="Arial" w:cs="Arial" w:eastAsia="Arial" w:hAnsi="Arial"/>
          <w:sz w:val="20"/>
          <w:szCs w:val="20"/>
          <w:color w:val="auto"/>
        </w:rPr>
        <w:t>. In accordance with the Plan, Shares shall be distributed to the Participant as of the date on which the RSUs vest; provided, however, that to the extent that the RSUs become vested upon Retirement, if required in order to avoid the imposition of a Section 409A penalty tax to the Employee, the Shares shall not be distributed to the Participant until the first business day after the date that is six (6) months after the date of the Employee’s “separation of service” as such term is defined under Section 409A of the Code. Shares shall be registered in the name of the Employee (either in book-entry form or otherwise) promptly following the vesting date.</w:t>
      </w:r>
    </w:p>
    <w:p>
      <w:pPr>
        <w:spacing w:after="0" w:line="208" w:lineRule="exact"/>
        <w:rPr>
          <w:rFonts w:ascii="Arial" w:cs="Arial" w:eastAsia="Arial" w:hAnsi="Arial"/>
          <w:sz w:val="20"/>
          <w:szCs w:val="20"/>
          <w:color w:val="auto"/>
        </w:rPr>
      </w:pPr>
    </w:p>
    <w:p>
      <w:pPr>
        <w:ind w:left="-20" w:firstLine="859"/>
        <w:spacing w:after="0" w:line="229" w:lineRule="auto"/>
        <w:tabs>
          <w:tab w:leader="none" w:pos="110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The granting of RSUs, and any payments or other benefits received by the Employee in connection with the RSUs, is discretionary and shall not be deemed a part of the Employee’s regular, recurring compensation for any purpose, including without limitation for purposes of termination, indemnity, or severance pay law of any country and shall not be included in, nor have any effect on, the determination of benefits under any other employee benefit plan, contract or similar arrangement provided to the Employee unless expressly so provided by such other plan, contract or arrangement, or unless the Committee expressly determines otherwise.</w:t>
      </w:r>
    </w:p>
    <w:p>
      <w:pPr>
        <w:spacing w:after="0" w:line="208" w:lineRule="exact"/>
        <w:rPr>
          <w:rFonts w:ascii="Arial" w:cs="Arial" w:eastAsia="Arial" w:hAnsi="Arial"/>
          <w:sz w:val="20"/>
          <w:szCs w:val="20"/>
          <w:color w:val="auto"/>
        </w:rPr>
      </w:pPr>
    </w:p>
    <w:p>
      <w:pPr>
        <w:ind w:left="-20" w:right="360" w:firstLine="859"/>
        <w:spacing w:after="0" w:line="236" w:lineRule="auto"/>
        <w:tabs>
          <w:tab w:leader="none" w:pos="1106"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Multiple Executed Copies</w:t>
      </w:r>
      <w:r>
        <w:rPr>
          <w:rFonts w:ascii="Arial" w:cs="Arial" w:eastAsia="Arial" w:hAnsi="Arial"/>
          <w:sz w:val="20"/>
          <w:szCs w:val="20"/>
          <w:color w:val="auto"/>
        </w:rPr>
        <w:t>. This Agreement may be executed in multiple copies, each of which will constitute an original, and which together will constitute one and the same agreement providing for a single grant of RSUs.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52"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IN WITNESS WHEREOF, the Corporation has caused this Agreement to be executed as of the date and year first above written.</w:t>
      </w:r>
    </w:p>
    <w:p>
      <w:pPr>
        <w:spacing w:after="0" w:line="10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ManpowerGroup Inc.</w:t>
      </w:r>
    </w:p>
    <w:p>
      <w:pPr>
        <w:spacing w:after="0" w:line="381"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Richard Buchband________________</w:t>
            </w:r>
          </w:p>
        </w:tc>
        <w:tc>
          <w:tcPr>
            <w:tcW w:w="1180" w:type="dxa"/>
            <w:vAlign w:val="bottom"/>
          </w:tcPr>
          <w:p>
            <w:pPr>
              <w:spacing w:after="0"/>
              <w:rPr>
                <w:sz w:val="19"/>
                <w:szCs w:val="19"/>
                <w:color w:val="auto"/>
              </w:rPr>
            </w:pPr>
          </w:p>
        </w:tc>
      </w:tr>
      <w:tr>
        <w:trPr>
          <w:trHeight w:val="219"/>
        </w:trPr>
        <w:tc>
          <w:tcPr>
            <w:tcW w:w="400" w:type="dxa"/>
            <w:vAlign w:val="bottom"/>
          </w:tcPr>
          <w:p>
            <w:pPr>
              <w:spacing w:after="0"/>
              <w:rPr>
                <w:sz w:val="19"/>
                <w:szCs w:val="19"/>
                <w:color w:val="auto"/>
              </w:rPr>
            </w:pPr>
          </w:p>
        </w:tc>
        <w:tc>
          <w:tcPr>
            <w:tcW w:w="5360" w:type="dxa"/>
            <w:vAlign w:val="bottom"/>
            <w:gridSpan w:val="3"/>
          </w:tcPr>
          <w:p>
            <w:pPr>
              <w:ind w:left="120"/>
              <w:spacing w:after="0" w:line="219" w:lineRule="exact"/>
              <w:rPr>
                <w:sz w:val="20"/>
                <w:szCs w:val="20"/>
                <w:color w:val="auto"/>
              </w:rPr>
            </w:pPr>
            <w:r>
              <w:rPr>
                <w:rFonts w:ascii="Arial" w:cs="Arial" w:eastAsia="Arial" w:hAnsi="Arial"/>
                <w:sz w:val="20"/>
                <w:szCs w:val="20"/>
                <w:color w:val="auto"/>
                <w:w w:val="98"/>
              </w:rPr>
              <w:t>Richard Buchband, Senior Vice President, General Counsel</w:t>
            </w:r>
          </w:p>
        </w:tc>
      </w:tr>
      <w:tr>
        <w:trPr>
          <w:trHeight w:val="237"/>
        </w:trPr>
        <w:tc>
          <w:tcPr>
            <w:tcW w:w="400" w:type="dxa"/>
            <w:vAlign w:val="bottom"/>
          </w:tcPr>
          <w:p>
            <w:pPr>
              <w:spacing w:after="0"/>
              <w:rPr>
                <w:sz w:val="20"/>
                <w:szCs w:val="20"/>
                <w:color w:val="auto"/>
              </w:rPr>
            </w:pPr>
          </w:p>
        </w:tc>
        <w:tc>
          <w:tcPr>
            <w:tcW w:w="5360" w:type="dxa"/>
            <w:vAlign w:val="bottom"/>
            <w:gridSpan w:val="3"/>
          </w:tcPr>
          <w:p>
            <w:pPr>
              <w:ind w:left="120"/>
              <w:spacing w:after="0"/>
              <w:rPr>
                <w:sz w:val="20"/>
                <w:szCs w:val="20"/>
                <w:color w:val="auto"/>
              </w:rPr>
            </w:pPr>
            <w:r>
              <w:rPr>
                <w:rFonts w:ascii="Arial" w:cs="Arial" w:eastAsia="Arial" w:hAnsi="Arial"/>
                <w:sz w:val="20"/>
                <w:szCs w:val="20"/>
                <w:color w:val="auto"/>
              </w:rPr>
              <w:t>and Secretary</w:t>
            </w:r>
          </w:p>
        </w:tc>
      </w:tr>
    </w:tbl>
    <w:p>
      <w:pPr>
        <w:spacing w:after="0" w:line="316" w:lineRule="exact"/>
        <w:rPr>
          <w:sz w:val="20"/>
          <w:szCs w:val="20"/>
          <w:color w:val="auto"/>
        </w:rPr>
      </w:pPr>
    </w:p>
    <w:p>
      <w:pPr>
        <w:jc w:val="both"/>
        <w:ind w:right="320" w:firstLine="851"/>
        <w:spacing w:after="0" w:line="236" w:lineRule="auto"/>
        <w:rPr>
          <w:sz w:val="20"/>
          <w:szCs w:val="20"/>
          <w:color w:val="auto"/>
        </w:rPr>
      </w:pPr>
      <w:r>
        <w:rPr>
          <w:rFonts w:ascii="Arial" w:cs="Arial" w:eastAsia="Arial" w:hAnsi="Arial"/>
          <w:sz w:val="20"/>
          <w:szCs w:val="20"/>
          <w:color w:val="auto"/>
        </w:rPr>
        <w:t>The undersigned Employee hereby accepts the foregoing grant of Restricted Stock Units and agrees to the several terms and conditions hereof and of the Plan.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Michelle Nettles___________________________</w:t>
            </w:r>
          </w:p>
        </w:tc>
      </w:tr>
      <w:tr>
        <w:trPr>
          <w:trHeight w:val="219"/>
        </w:trPr>
        <w:tc>
          <w:tcPr>
            <w:tcW w:w="25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620" w:type="dxa"/>
            <w:vAlign w:val="bottom"/>
          </w:tcPr>
          <w:p>
            <w:pPr>
              <w:spacing w:after="0" w:line="219" w:lineRule="exact"/>
              <w:rPr>
                <w:sz w:val="20"/>
                <w:szCs w:val="20"/>
                <w:color w:val="auto"/>
              </w:rPr>
            </w:pPr>
            <w:r>
              <w:rPr>
                <w:rFonts w:ascii="Arial" w:cs="Arial" w:eastAsia="Arial" w:hAnsi="Arial"/>
                <w:sz w:val="20"/>
                <w:szCs w:val="20"/>
                <w:color w:val="auto"/>
              </w:rPr>
              <w:t>Michelle</w:t>
            </w:r>
          </w:p>
        </w:tc>
      </w:tr>
      <w:tr>
        <w:trPr>
          <w:trHeight w:val="237"/>
        </w:trPr>
        <w:tc>
          <w:tcPr>
            <w:tcW w:w="2560" w:type="dxa"/>
            <w:vAlign w:val="bottom"/>
          </w:tcPr>
          <w:p>
            <w:pPr>
              <w:spacing w:after="0"/>
              <w:rPr>
                <w:sz w:val="20"/>
                <w:szCs w:val="20"/>
                <w:color w:val="auto"/>
              </w:rPr>
            </w:pPr>
            <w:r>
              <w:rPr>
                <w:rFonts w:ascii="Arial" w:cs="Arial" w:eastAsia="Arial" w:hAnsi="Arial"/>
                <w:sz w:val="20"/>
                <w:szCs w:val="20"/>
                <w:color w:val="auto"/>
              </w:rPr>
              <w:t>Nettles</w:t>
            </w:r>
          </w:p>
        </w:tc>
        <w:tc>
          <w:tcPr>
            <w:tcW w:w="7180" w:type="dxa"/>
            <w:vAlign w:val="bottom"/>
            <w:gridSpan w:val="2"/>
          </w:tcPr>
          <w:p>
            <w:pPr>
              <w:jc w:val="right"/>
              <w:ind w:right="4241"/>
              <w:spacing w:after="0"/>
              <w:rPr>
                <w:sz w:val="20"/>
                <w:szCs w:val="20"/>
                <w:color w:val="auto"/>
              </w:rPr>
            </w:pPr>
            <w:r>
              <w:rPr>
                <w:rFonts w:ascii="Arial" w:cs="Arial" w:eastAsia="Arial" w:hAnsi="Arial"/>
                <w:sz w:val="20"/>
                <w:szCs w:val="20"/>
                <w:color w:val="auto"/>
              </w:rPr>
              <w:t>Employee</w:t>
            </w:r>
          </w:p>
        </w:tc>
      </w:tr>
      <w:tr>
        <w:trPr>
          <w:trHeight w:val="648"/>
        </w:trPr>
        <w:tc>
          <w:tcPr>
            <w:tcW w:w="2560" w:type="dxa"/>
            <w:vAlign w:val="bottom"/>
          </w:tcPr>
          <w:p>
            <w:pPr>
              <w:spacing w:after="0"/>
              <w:rPr>
                <w:sz w:val="24"/>
                <w:szCs w:val="24"/>
                <w:color w:val="auto"/>
              </w:rPr>
            </w:pPr>
          </w:p>
        </w:tc>
        <w:tc>
          <w:tcPr>
            <w:tcW w:w="7180" w:type="dxa"/>
            <w:vAlign w:val="bottom"/>
            <w:gridSpan w:val="2"/>
          </w:tcPr>
          <w:p>
            <w:pPr>
              <w:jc w:val="right"/>
              <w:ind w:right="3961"/>
              <w:spacing w:after="0"/>
              <w:rPr>
                <w:sz w:val="20"/>
                <w:szCs w:val="20"/>
                <w:color w:val="auto"/>
              </w:rPr>
            </w:pPr>
            <w:r>
              <w:rPr>
                <w:rFonts w:ascii="Arial" w:cs="Arial" w:eastAsia="Arial" w:hAnsi="Arial"/>
                <w:sz w:val="20"/>
                <w:szCs w:val="20"/>
                <w:color w:val="auto"/>
              </w:rPr>
              <w:t>5</w:t>
            </w:r>
          </w:p>
        </w:tc>
      </w:tr>
    </w:tbl>
    <w:p>
      <w:pPr>
        <w:sectPr>
          <w:pgSz w:w="11900" w:h="16838" w:orient="portrait"/>
          <w:cols w:equalWidth="0" w:num="1">
            <w:col w:w="11220"/>
          </w:cols>
          <w:pgMar w:left="320" w:top="352"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10.8(a)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jc w:val="center"/>
        <w:spacing w:after="0" w:line="230"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August 14, 2019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Michelle Nettles</w:t>
      </w:r>
    </w:p>
    <w:p>
      <w:pPr>
        <w:spacing w:after="0" w:line="238" w:lineRule="auto"/>
        <w:rPr>
          <w:sz w:val="20"/>
          <w:szCs w:val="20"/>
          <w:color w:val="auto"/>
        </w:rPr>
      </w:pPr>
      <w:r>
        <w:rPr>
          <w:rFonts w:ascii="Arial" w:cs="Arial" w:eastAsia="Arial" w:hAnsi="Arial"/>
          <w:sz w:val="22"/>
          <w:szCs w:val="22"/>
          <w:color w:val="auto"/>
        </w:rPr>
        <w:t>Senior Vice President,</w:t>
      </w:r>
    </w:p>
    <w:p>
      <w:pPr>
        <w:spacing w:after="0" w:line="230" w:lineRule="auto"/>
        <w:rPr>
          <w:sz w:val="20"/>
          <w:szCs w:val="20"/>
          <w:color w:val="auto"/>
        </w:rPr>
      </w:pPr>
      <w:r>
        <w:rPr>
          <w:rFonts w:ascii="Arial" w:cs="Arial" w:eastAsia="Arial" w:hAnsi="Arial"/>
          <w:sz w:val="22"/>
          <w:szCs w:val="22"/>
          <w:color w:val="auto"/>
        </w:rPr>
        <w:t>Chief People &amp; Culture Officer</w:t>
      </w:r>
    </w:p>
    <w:p>
      <w:pPr>
        <w:spacing w:after="0" w:line="231" w:lineRule="auto"/>
        <w:rPr>
          <w:sz w:val="20"/>
          <w:szCs w:val="20"/>
          <w:color w:val="auto"/>
        </w:rPr>
      </w:pPr>
      <w:r>
        <w:rPr>
          <w:rFonts w:ascii="Arial" w:cs="Arial" w:eastAsia="Arial" w:hAnsi="Arial"/>
          <w:sz w:val="22"/>
          <w:szCs w:val="22"/>
          <w:color w:val="auto"/>
        </w:rPr>
        <w:t>ManpowerGroup Inc.</w:t>
      </w:r>
    </w:p>
    <w:p>
      <w:pPr>
        <w:spacing w:after="0" w:line="230"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Michelle:</w:t>
      </w:r>
    </w:p>
    <w:p>
      <w:pPr>
        <w:spacing w:after="0" w:line="206" w:lineRule="exact"/>
        <w:rPr>
          <w:sz w:val="20"/>
          <w:szCs w:val="20"/>
          <w:color w:val="auto"/>
        </w:rPr>
      </w:pPr>
    </w:p>
    <w:p>
      <w:pPr>
        <w:ind w:right="260" w:firstLine="864"/>
        <w:spacing w:after="0" w:line="252" w:lineRule="auto"/>
        <w:rPr>
          <w:sz w:val="20"/>
          <w:szCs w:val="20"/>
          <w:color w:val="auto"/>
        </w:rPr>
      </w:pPr>
      <w:r>
        <w:rPr>
          <w:rFonts w:ascii="Arial" w:cs="Arial" w:eastAsia="Arial" w:hAnsi="Arial"/>
          <w:sz w:val="21"/>
          <w:szCs w:val="21"/>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206" w:lineRule="exact"/>
        <w:rPr>
          <w:rFonts w:ascii="Arial" w:cs="Arial" w:eastAsia="Arial" w:hAnsi="Arial"/>
          <w:sz w:val="22"/>
          <w:szCs w:val="22"/>
          <w:color w:val="auto"/>
        </w:rPr>
      </w:pPr>
    </w:p>
    <w:p>
      <w:pPr>
        <w:ind w:left="1700" w:right="240" w:hanging="842"/>
        <w:spacing w:after="0" w:line="250" w:lineRule="auto"/>
        <w:tabs>
          <w:tab w:leader="none" w:pos="170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174" w:lineRule="exact"/>
        <w:rPr>
          <w:rFonts w:ascii="Arial" w:cs="Arial" w:eastAsia="Arial" w:hAnsi="Arial"/>
          <w:sz w:val="22"/>
          <w:szCs w:val="22"/>
          <w:color w:val="auto"/>
        </w:rPr>
      </w:pPr>
    </w:p>
    <w:p>
      <w:pPr>
        <w:ind w:left="1700" w:right="20" w:hanging="842"/>
        <w:spacing w:after="0" w:line="271" w:lineRule="auto"/>
        <w:tabs>
          <w:tab w:leader="none" w:pos="170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ind w:left="842" w:right="100"/>
        <w:spacing w:after="0" w:line="248" w:lineRule="auto"/>
        <w:rPr>
          <w:sz w:val="20"/>
          <w:szCs w:val="20"/>
          <w:color w:val="auto"/>
        </w:rPr>
      </w:pPr>
      <w:r>
        <w:rPr>
          <w:rFonts w:ascii="Arial" w:cs="Arial" w:eastAsia="Arial" w:hAnsi="Arial"/>
          <w:sz w:val="21"/>
          <w:szCs w:val="21"/>
          <w:color w:val="auto"/>
        </w:rPr>
        <w:t>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77" w:lineRule="exact"/>
        <w:rPr>
          <w:sz w:val="20"/>
          <w:szCs w:val="20"/>
          <w:color w:val="auto"/>
        </w:rPr>
      </w:pPr>
    </w:p>
    <w:p>
      <w:pPr>
        <w:ind w:left="842" w:hanging="842"/>
        <w:spacing w:after="0"/>
        <w:tabs>
          <w:tab w:leader="none" w:pos="84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06" w:lineRule="exact"/>
        <w:rPr>
          <w:rFonts w:ascii="Arial" w:cs="Arial" w:eastAsia="Arial" w:hAnsi="Arial"/>
          <w:sz w:val="22"/>
          <w:szCs w:val="22"/>
          <w:color w:val="auto"/>
        </w:rPr>
      </w:pPr>
    </w:p>
    <w:p>
      <w:pPr>
        <w:ind w:left="1722" w:hanging="858"/>
        <w:spacing w:after="0" w:line="270" w:lineRule="auto"/>
        <w:tabs>
          <w:tab w:leader="none" w:pos="172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68" w:lineRule="exact"/>
        <w:rPr>
          <w:rFonts w:ascii="Arial" w:cs="Arial" w:eastAsia="Arial" w:hAnsi="Arial"/>
          <w:sz w:val="19"/>
          <w:szCs w:val="19"/>
          <w:color w:val="auto"/>
        </w:rPr>
      </w:pPr>
    </w:p>
    <w:p>
      <w:pPr>
        <w:ind w:left="1722" w:hanging="858"/>
        <w:spacing w:after="0" w:line="277" w:lineRule="auto"/>
        <w:tabs>
          <w:tab w:leader="none" w:pos="1722"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w:t>
      </w:r>
    </w:p>
    <w:p>
      <w:pPr>
        <w:spacing w:after="0" w:line="152"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115" w:name="page116"/>
    <w:bookmarkEnd w:id="115"/>
    <w:p>
      <w:pPr>
        <w:ind w:left="2580" w:right="180"/>
        <w:spacing w:after="0" w:line="274" w:lineRule="auto"/>
        <w:rPr>
          <w:sz w:val="20"/>
          <w:szCs w:val="20"/>
          <w:color w:val="auto"/>
        </w:rPr>
      </w:pPr>
      <w:r>
        <w:rPr>
          <w:rFonts w:ascii="Arial" w:cs="Arial" w:eastAsia="Arial" w:hAnsi="Arial"/>
          <w:sz w:val="21"/>
          <w:szCs w:val="21"/>
          <w:color w:val="auto"/>
        </w:rPr>
        <w:t>immediately prior to such merger or consolidation, of the Corporation’s then outstanding common stock or then outstanding voting securities, as the case may be; or</w:t>
      </w:r>
    </w:p>
    <w:p>
      <w:pPr>
        <w:spacing w:after="0" w:line="151" w:lineRule="exact"/>
        <w:rPr>
          <w:sz w:val="20"/>
          <w:szCs w:val="20"/>
          <w:color w:val="auto"/>
        </w:rPr>
      </w:pPr>
    </w:p>
    <w:p>
      <w:pPr>
        <w:ind w:left="2580" w:right="100" w:hanging="858"/>
        <w:spacing w:after="0" w:line="250" w:lineRule="auto"/>
        <w:tabs>
          <w:tab w:leader="none" w:pos="25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174" w:lineRule="exact"/>
        <w:rPr>
          <w:rFonts w:ascii="Arial" w:cs="Arial" w:eastAsia="Arial" w:hAnsi="Arial"/>
          <w:sz w:val="22"/>
          <w:szCs w:val="22"/>
          <w:color w:val="auto"/>
        </w:rPr>
      </w:pPr>
    </w:p>
    <w:p>
      <w:pPr>
        <w:ind w:left="2580" w:right="180" w:hanging="858"/>
        <w:spacing w:after="0" w:line="246" w:lineRule="exact"/>
        <w:tabs>
          <w:tab w:leader="none" w:pos="25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9"/>
          <w:szCs w:val="19"/>
          <w:color w:val="auto"/>
        </w:rPr>
        <w:t>‑</w:t>
      </w:r>
      <w:r>
        <w:rPr>
          <w:rFonts w:ascii="Arial" w:cs="Arial" w:eastAsia="Arial" w:hAnsi="Arial"/>
          <w:sz w:val="19"/>
          <w:szCs w:val="19"/>
          <w:color w:val="auto"/>
        </w:rPr>
        <w:t>12(c); or</w:t>
      </w:r>
    </w:p>
    <w:p>
      <w:pPr>
        <w:spacing w:after="0" w:line="190" w:lineRule="exact"/>
        <w:rPr>
          <w:rFonts w:ascii="Arial" w:cs="Arial" w:eastAsia="Arial" w:hAnsi="Arial"/>
          <w:sz w:val="19"/>
          <w:szCs w:val="19"/>
          <w:color w:val="auto"/>
        </w:rPr>
      </w:pPr>
    </w:p>
    <w:p>
      <w:pPr>
        <w:ind w:left="2580" w:right="40" w:hanging="858"/>
        <w:spacing w:after="0" w:line="236" w:lineRule="auto"/>
        <w:tabs>
          <w:tab w:leader="none" w:pos="25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87"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74" w:lineRule="exact"/>
        <w:rPr>
          <w:sz w:val="20"/>
          <w:szCs w:val="20"/>
          <w:color w:val="auto"/>
        </w:rPr>
      </w:pPr>
    </w:p>
    <w:p>
      <w:pPr>
        <w:ind w:left="1700" w:right="380" w:hanging="842"/>
        <w:spacing w:after="0" w:line="250" w:lineRule="auto"/>
        <w:tabs>
          <w:tab w:leader="none" w:pos="17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174" w:lineRule="exact"/>
        <w:rPr>
          <w:rFonts w:ascii="Arial" w:cs="Arial" w:eastAsia="Arial" w:hAnsi="Arial"/>
          <w:sz w:val="22"/>
          <w:szCs w:val="22"/>
          <w:color w:val="auto"/>
        </w:rPr>
      </w:pPr>
    </w:p>
    <w:p>
      <w:pPr>
        <w:ind w:left="2580" w:right="20" w:hanging="858"/>
        <w:spacing w:after="0" w:line="239" w:lineRule="auto"/>
        <w:tabs>
          <w:tab w:leader="none" w:pos="25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ind w:left="2580" w:hanging="858"/>
        <w:spacing w:after="0" w:line="230" w:lineRule="auto"/>
        <w:tabs>
          <w:tab w:leader="none" w:pos="25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ind w:left="2580" w:right="180" w:hanging="858"/>
        <w:spacing w:after="0" w:line="287" w:lineRule="auto"/>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ind w:left="2580"/>
        <w:spacing w:after="0"/>
        <w:rPr>
          <w:sz w:val="20"/>
          <w:szCs w:val="20"/>
          <w:color w:val="auto"/>
        </w:rPr>
      </w:pPr>
      <w:r>
        <w:rPr>
          <w:rFonts w:ascii="Arial" w:cs="Arial" w:eastAsia="Arial" w:hAnsi="Arial"/>
          <w:sz w:val="22"/>
          <w:szCs w:val="22"/>
          <w:color w:val="auto"/>
        </w:rPr>
        <w:t>bonus percentages;</w:t>
      </w:r>
    </w:p>
    <w:p>
      <w:pPr>
        <w:spacing w:after="0" w:line="8" w:lineRule="exact"/>
        <w:rPr>
          <w:sz w:val="20"/>
          <w:szCs w:val="20"/>
          <w:color w:val="auto"/>
        </w:rPr>
      </w:pPr>
    </w:p>
    <w:p>
      <w:pPr>
        <w:ind w:left="2580" w:right="200" w:hanging="858"/>
        <w:spacing w:after="0" w:line="230" w:lineRule="auto"/>
        <w:tabs>
          <w:tab w:leader="none" w:pos="2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 w:lineRule="exact"/>
        <w:rPr>
          <w:rFonts w:ascii="Arial" w:cs="Arial" w:eastAsia="Arial" w:hAnsi="Arial"/>
          <w:sz w:val="22"/>
          <w:szCs w:val="22"/>
          <w:color w:val="auto"/>
        </w:rPr>
      </w:pPr>
    </w:p>
    <w:p>
      <w:pPr>
        <w:ind w:left="2580" w:right="60" w:hanging="858"/>
        <w:spacing w:after="0" w:line="230" w:lineRule="auto"/>
        <w:tabs>
          <w:tab w:leader="none" w:pos="2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 w:lineRule="exact"/>
        <w:rPr>
          <w:rFonts w:ascii="Arial" w:cs="Arial" w:eastAsia="Arial" w:hAnsi="Arial"/>
          <w:sz w:val="22"/>
          <w:szCs w:val="22"/>
          <w:color w:val="auto"/>
        </w:rPr>
      </w:pPr>
    </w:p>
    <w:p>
      <w:pPr>
        <w:ind w:left="2580" w:right="80" w:hanging="858"/>
        <w:spacing w:after="0" w:line="234" w:lineRule="auto"/>
        <w:tabs>
          <w:tab w:leader="none" w:pos="2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87" w:lineRule="exact"/>
        <w:rPr>
          <w:sz w:val="20"/>
          <w:szCs w:val="20"/>
          <w:color w:val="auto"/>
        </w:rPr>
      </w:pPr>
    </w:p>
    <w:p>
      <w:pPr>
        <w:ind w:firstLine="864"/>
        <w:spacing w:after="0" w:line="273"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firstLine="8"/>
        <w:spacing w:after="0" w:line="232" w:lineRule="auto"/>
        <w:tabs>
          <w:tab w:leader="none" w:pos="3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5" w:lineRule="exact"/>
        <w:rPr>
          <w:rFonts w:ascii="Arial" w:cs="Arial" w:eastAsia="Arial" w:hAnsi="Arial"/>
          <w:sz w:val="22"/>
          <w:szCs w:val="22"/>
          <w:color w:val="auto"/>
        </w:rPr>
      </w:pPr>
    </w:p>
    <w:p>
      <w:pPr>
        <w:ind w:left="1700" w:right="100" w:hanging="842"/>
        <w:spacing w:after="0" w:line="279" w:lineRule="auto"/>
        <w:tabs>
          <w:tab w:leader="none" w:pos="170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50" w:lineRule="exact"/>
        <w:rPr>
          <w:rFonts w:ascii="Arial" w:cs="Arial" w:eastAsia="Arial" w:hAnsi="Arial"/>
          <w:sz w:val="19"/>
          <w:szCs w:val="19"/>
          <w:color w:val="auto"/>
        </w:rPr>
      </w:pPr>
    </w:p>
    <w:p>
      <w:pPr>
        <w:jc w:val="both"/>
        <w:ind w:left="1700" w:right="40" w:hanging="842"/>
        <w:spacing w:after="0" w:line="257" w:lineRule="auto"/>
        <w:tabs>
          <w:tab w:leader="none" w:pos="1700"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69" w:lineRule="exact"/>
        <w:rPr>
          <w:rFonts w:ascii="Arial" w:cs="Arial" w:eastAsia="Arial" w:hAnsi="Arial"/>
          <w:sz w:val="21"/>
          <w:szCs w:val="21"/>
          <w:color w:val="auto"/>
        </w:rPr>
      </w:pPr>
    </w:p>
    <w:p>
      <w:pPr>
        <w:ind w:left="1700" w:right="720" w:hanging="842"/>
        <w:spacing w:after="0" w:line="250" w:lineRule="auto"/>
        <w:tabs>
          <w:tab w:leader="none" w:pos="170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7" w:name="page118"/>
    <w:bookmarkEnd w:id="117"/>
    <w:p>
      <w:pPr>
        <w:ind w:left="2572" w:hanging="858"/>
        <w:spacing w:after="0" w:line="236" w:lineRule="auto"/>
        <w:tabs>
          <w:tab w:leader="none" w:pos="2572" w:val="left"/>
        </w:tabs>
        <w:numPr>
          <w:ilvl w:val="3"/>
          <w:numId w:val="73"/>
        </w:numPr>
        <w:rPr>
          <w:rFonts w:ascii="Arial" w:cs="Arial" w:eastAsia="Arial" w:hAnsi="Arial"/>
          <w:sz w:val="22"/>
          <w:szCs w:val="22"/>
          <w:color w:val="auto"/>
        </w:rPr>
      </w:pPr>
      <w:r>
        <w:rPr>
          <w:rFonts w:ascii="Arial" w:cs="Arial" w:eastAsia="Arial" w:hAnsi="Arial"/>
          <w:sz w:val="22"/>
          <w:szCs w:val="22"/>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7" w:lineRule="exact"/>
        <w:rPr>
          <w:rFonts w:ascii="Arial" w:cs="Arial" w:eastAsia="Arial" w:hAnsi="Arial"/>
          <w:sz w:val="22"/>
          <w:szCs w:val="22"/>
          <w:color w:val="auto"/>
        </w:rPr>
      </w:pPr>
    </w:p>
    <w:p>
      <w:pPr>
        <w:ind w:left="2572" w:right="180" w:hanging="858"/>
        <w:spacing w:after="0" w:line="282" w:lineRule="auto"/>
        <w:tabs>
          <w:tab w:leader="none" w:pos="2572" w:val="left"/>
        </w:tabs>
        <w:numPr>
          <w:ilvl w:val="3"/>
          <w:numId w:val="73"/>
        </w:numPr>
        <w:rPr>
          <w:rFonts w:ascii="Arial" w:cs="Arial" w:eastAsia="Arial" w:hAnsi="Arial"/>
          <w:sz w:val="19"/>
          <w:szCs w:val="19"/>
          <w:color w:val="auto"/>
        </w:rPr>
      </w:pPr>
      <w:r>
        <w:rPr>
          <w:rFonts w:ascii="Arial" w:cs="Arial" w:eastAsia="Arial" w:hAnsi="Arial"/>
          <w:sz w:val="19"/>
          <w:szCs w:val="19"/>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47" w:lineRule="exact"/>
        <w:rPr>
          <w:rFonts w:ascii="Arial" w:cs="Arial" w:eastAsia="Arial" w:hAnsi="Arial"/>
          <w:sz w:val="19"/>
          <w:szCs w:val="19"/>
          <w:color w:val="auto"/>
        </w:rPr>
      </w:pPr>
    </w:p>
    <w:p>
      <w:pPr>
        <w:ind w:left="2572" w:right="140" w:hanging="858"/>
        <w:spacing w:after="0" w:line="257" w:lineRule="auto"/>
        <w:tabs>
          <w:tab w:leader="none" w:pos="2572" w:val="left"/>
        </w:tabs>
        <w:numPr>
          <w:ilvl w:val="3"/>
          <w:numId w:val="73"/>
        </w:numPr>
        <w:rPr>
          <w:rFonts w:ascii="Arial" w:cs="Arial" w:eastAsia="Arial" w:hAnsi="Arial"/>
          <w:sz w:val="21"/>
          <w:szCs w:val="21"/>
          <w:color w:val="auto"/>
        </w:rPr>
      </w:pPr>
      <w:r>
        <w:rPr>
          <w:rFonts w:ascii="Arial" w:cs="Arial" w:eastAsia="Arial" w:hAnsi="Arial"/>
          <w:sz w:val="21"/>
          <w:szCs w:val="21"/>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69" w:lineRule="exact"/>
        <w:rPr>
          <w:rFonts w:ascii="Arial" w:cs="Arial" w:eastAsia="Arial" w:hAnsi="Arial"/>
          <w:sz w:val="21"/>
          <w:szCs w:val="21"/>
          <w:color w:val="auto"/>
        </w:rPr>
      </w:pPr>
    </w:p>
    <w:p>
      <w:pPr>
        <w:ind w:left="1692" w:right="700" w:hanging="842"/>
        <w:spacing w:after="0" w:line="282" w:lineRule="auto"/>
        <w:tabs>
          <w:tab w:leader="none" w:pos="169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the date of this letter agreement indicated above and ending on the first to occur of the following: (a) the date which is the two-year anniversary of the occurrence of a Change of Control; (b) the date which is the three year anniversary of the date of this letter agreement indicated above if no Change of Control occurs between the date of this letter agreement indicated above and such three year anniversary; or (c) the Date of Termination.</w:t>
      </w:r>
    </w:p>
    <w:p>
      <w:pPr>
        <w:spacing w:after="0" w:line="147" w:lineRule="exact"/>
        <w:rPr>
          <w:rFonts w:ascii="Arial" w:cs="Arial" w:eastAsia="Arial" w:hAnsi="Arial"/>
          <w:sz w:val="19"/>
          <w:szCs w:val="19"/>
          <w:color w:val="auto"/>
        </w:rPr>
      </w:pPr>
    </w:p>
    <w:p>
      <w:pPr>
        <w:ind w:left="852" w:hanging="852"/>
        <w:spacing w:after="0"/>
        <w:tabs>
          <w:tab w:leader="none" w:pos="852"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right="80" w:hanging="842"/>
        <w:spacing w:after="0" w:line="246" w:lineRule="auto"/>
        <w:tabs>
          <w:tab w:leader="none" w:pos="1692"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Termination by the Corporation for Cause or by You Other Than for Good Reason</w:t>
      </w:r>
      <w:r>
        <w:rPr>
          <w:rFonts w:ascii="Arial" w:cs="Arial" w:eastAsia="Arial" w:hAnsi="Arial"/>
          <w:sz w:val="21"/>
          <w:szCs w:val="21"/>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84" w:lineRule="exact"/>
        <w:rPr>
          <w:rFonts w:ascii="Arial" w:cs="Arial" w:eastAsia="Arial" w:hAnsi="Arial"/>
          <w:sz w:val="21"/>
          <w:szCs w:val="21"/>
          <w:color w:val="auto"/>
        </w:rPr>
      </w:pPr>
    </w:p>
    <w:p>
      <w:pPr>
        <w:ind w:left="1692" w:hanging="842"/>
        <w:spacing w:after="0" w:line="276" w:lineRule="auto"/>
        <w:tabs>
          <w:tab w:leader="none" w:pos="1692"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ind w:left="1952" w:hanging="251"/>
        <w:spacing w:after="0"/>
        <w:tabs>
          <w:tab w:leader="none" w:pos="1952" w:val="left"/>
        </w:tabs>
        <w:numPr>
          <w:ilvl w:val="2"/>
          <w:numId w:val="75"/>
        </w:numPr>
        <w:rPr>
          <w:rFonts w:ascii="Arial" w:cs="Arial" w:eastAsia="Arial" w:hAnsi="Arial"/>
          <w:sz w:val="22"/>
          <w:szCs w:val="22"/>
          <w:color w:val="auto"/>
        </w:rPr>
      </w:pPr>
      <w:r>
        <w:rPr>
          <w:rFonts w:ascii="Arial" w:cs="Arial" w:eastAsia="Arial" w:hAnsi="Arial"/>
          <w:sz w:val="22"/>
          <w:szCs w:val="22"/>
          <w:color w:val="auto"/>
        </w:rPr>
        <w:t>your unpaid bonus, if any, attributable to any complete fiscal year of the Consolidated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550" w:right="359" w:bottom="1440" w:gutter="0" w:footer="0" w:header="0"/>
        </w:sectPr>
      </w:pPr>
    </w:p>
    <w:bookmarkStart w:id="118" w:name="page119"/>
    <w:bookmarkEnd w:id="118"/>
    <w:p>
      <w:pPr>
        <w:ind w:left="842"/>
        <w:spacing w:after="0" w:line="273" w:lineRule="auto"/>
        <w:rPr>
          <w:sz w:val="20"/>
          <w:szCs w:val="20"/>
          <w:color w:val="auto"/>
        </w:rPr>
      </w:pPr>
      <w:r>
        <w:rPr>
          <w:rFonts w:ascii="Arial" w:cs="Arial" w:eastAsia="Arial" w:hAnsi="Arial"/>
          <w:sz w:val="19"/>
          <w:szCs w:val="19"/>
          <w:color w:val="auto"/>
        </w:rPr>
        <w:t>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61" w:lineRule="exact"/>
        <w:rPr>
          <w:sz w:val="20"/>
          <w:szCs w:val="20"/>
          <w:color w:val="auto"/>
        </w:rPr>
      </w:pPr>
    </w:p>
    <w:p>
      <w:pPr>
        <w:ind w:left="842" w:hanging="842"/>
        <w:spacing w:after="0" w:line="238" w:lineRule="auto"/>
        <w:tabs>
          <w:tab w:leader="none" w:pos="84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Other than in a Change of Control</w:t>
      </w:r>
      <w:r>
        <w:rPr>
          <w:rFonts w:ascii="Arial" w:cs="Arial" w:eastAsia="Arial" w:hAnsi="Arial"/>
          <w:sz w:val="22"/>
          <w:szCs w:val="22"/>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84" w:lineRule="exact"/>
        <w:rPr>
          <w:rFonts w:ascii="Arial" w:cs="Arial" w:eastAsia="Arial" w:hAnsi="Arial"/>
          <w:sz w:val="22"/>
          <w:szCs w:val="22"/>
          <w:color w:val="auto"/>
        </w:rPr>
      </w:pPr>
    </w:p>
    <w:p>
      <w:pPr>
        <w:ind w:left="2602" w:right="200" w:hanging="860"/>
        <w:spacing w:after="0" w:line="328" w:lineRule="auto"/>
        <w:tabs>
          <w:tab w:leader="none" w:pos="260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Corporation will pay you, your unpaid bonus, if any, attributable to any complete fiscal year of the Consolidated ManpowerGroup ended before the Date of Termination;</w:t>
      </w:r>
    </w:p>
    <w:p>
      <w:pPr>
        <w:spacing w:after="0" w:line="104" w:lineRule="exact"/>
        <w:rPr>
          <w:rFonts w:ascii="Arial" w:cs="Arial" w:eastAsia="Arial" w:hAnsi="Arial"/>
          <w:sz w:val="19"/>
          <w:szCs w:val="19"/>
          <w:color w:val="auto"/>
        </w:rPr>
      </w:pPr>
    </w:p>
    <w:p>
      <w:pPr>
        <w:ind w:left="2602" w:right="280" w:hanging="860"/>
        <w:spacing w:after="0" w:line="277" w:lineRule="auto"/>
        <w:tabs>
          <w:tab w:leader="none" w:pos="260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51" w:lineRule="exact"/>
        <w:rPr>
          <w:rFonts w:ascii="Arial" w:cs="Arial" w:eastAsia="Arial" w:hAnsi="Arial"/>
          <w:sz w:val="19"/>
          <w:szCs w:val="19"/>
          <w:color w:val="auto"/>
        </w:rPr>
      </w:pPr>
    </w:p>
    <w:p>
      <w:pPr>
        <w:ind w:left="2602" w:right="60" w:hanging="860"/>
        <w:spacing w:after="0" w:line="276" w:lineRule="auto"/>
        <w:tabs>
          <w:tab w:leader="none" w:pos="260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w:t>
      </w:r>
    </w:p>
    <w:p>
      <w:pPr>
        <w:spacing w:after="0" w:line="1" w:lineRule="exact"/>
        <w:rPr>
          <w:rFonts w:ascii="Arial" w:cs="Arial" w:eastAsia="Arial" w:hAnsi="Arial"/>
          <w:sz w:val="19"/>
          <w:szCs w:val="19"/>
          <w:color w:val="auto"/>
        </w:rPr>
      </w:pPr>
    </w:p>
    <w:p>
      <w:pPr>
        <w:ind w:left="2602"/>
        <w:spacing w:after="0"/>
        <w:rPr>
          <w:rFonts w:ascii="Arial" w:cs="Arial" w:eastAsia="Arial" w:hAnsi="Arial"/>
          <w:sz w:val="19"/>
          <w:szCs w:val="19"/>
          <w:color w:val="auto"/>
        </w:rPr>
      </w:pPr>
      <w:r>
        <w:rPr>
          <w:rFonts w:ascii="Arial" w:cs="Arial" w:eastAsia="Arial" w:hAnsi="Arial"/>
          <w:sz w:val="19"/>
          <w:szCs w:val="19"/>
          <w:color w:val="auto"/>
        </w:rPr>
        <w:t>(2) your target annual bonus for the fiscal year in which the Date of Termination occurs;</w:t>
      </w:r>
    </w:p>
    <w:p>
      <w:pPr>
        <w:spacing w:after="0" w:line="222" w:lineRule="exact"/>
        <w:rPr>
          <w:rFonts w:ascii="Arial" w:cs="Arial" w:eastAsia="Arial" w:hAnsi="Arial"/>
          <w:sz w:val="19"/>
          <w:szCs w:val="19"/>
          <w:color w:val="auto"/>
        </w:rPr>
      </w:pPr>
    </w:p>
    <w:p>
      <w:pPr>
        <w:ind w:left="2602" w:right="80" w:hanging="860"/>
        <w:spacing w:after="0" w:line="249" w:lineRule="exact"/>
        <w:tabs>
          <w:tab w:leader="none" w:pos="2602" w:val="left"/>
        </w:tabs>
        <w:numPr>
          <w:ilvl w:val="1"/>
          <w:numId w:val="76"/>
        </w:numPr>
        <w:rPr>
          <w:rFonts w:ascii="Arial" w:cs="Arial" w:eastAsia="Arial" w:hAnsi="Arial"/>
          <w:sz w:val="22"/>
          <w:szCs w:val="22"/>
          <w:color w:val="auto"/>
        </w:rPr>
      </w:pPr>
      <w:r>
        <w:rPr>
          <w:rFonts w:ascii="Arial" w:cs="Arial" w:eastAsia="Arial" w:hAnsi="Arial"/>
          <w:sz w:val="22"/>
          <w:szCs w:val="22"/>
          <w:color w:val="auto"/>
        </w:rPr>
        <w:t>for up to a twelve</w:t>
      </w:r>
      <w:r>
        <w:rPr>
          <w:rFonts w:ascii="MS PGothic" w:cs="MS PGothic" w:eastAsia="MS PGothic" w:hAnsi="MS PGothic"/>
          <w:sz w:val="22"/>
          <w:szCs w:val="22"/>
          <w:color w:val="auto"/>
        </w:rPr>
        <w:t>‑</w:t>
      </w:r>
      <w:r>
        <w:rPr>
          <w:rFonts w:ascii="Arial" w:cs="Arial" w:eastAsia="Arial" w:hAnsi="Arial"/>
          <w:sz w:val="22"/>
          <w:szCs w:val="22"/>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w:t>
      </w:r>
    </w:p>
    <w:p>
      <w:pPr>
        <w:spacing w:after="0" w:line="187"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2"/>
          </w:cols>
          <w:pgMar w:left="1178" w:top="334" w:right="399" w:bottom="1440" w:gutter="0" w:footer="0" w:header="0"/>
        </w:sectPr>
      </w:pPr>
    </w:p>
    <w:bookmarkStart w:id="119" w:name="page120"/>
    <w:bookmarkEnd w:id="119"/>
    <w:p>
      <w:pPr>
        <w:ind w:left="2340" w:right="20"/>
        <w:spacing w:after="0" w:line="248" w:lineRule="exact"/>
        <w:rPr>
          <w:sz w:val="20"/>
          <w:szCs w:val="20"/>
          <w:color w:val="auto"/>
        </w:rPr>
      </w:pPr>
      <w:r>
        <w:rPr>
          <w:rFonts w:ascii="Arial" w:cs="Arial" w:eastAsia="Arial" w:hAnsi="Arial"/>
          <w:sz w:val="21"/>
          <w:szCs w:val="21"/>
          <w:color w:val="auto"/>
        </w:rPr>
        <w:t>by you pursuant to this Subsection 2(c)(iv) will be reduced to the extent other comparable benefits are actually received by you during the twelve</w:t>
      </w:r>
      <w:r>
        <w:rPr>
          <w:rFonts w:ascii="MS PGothic" w:cs="MS PGothic" w:eastAsia="MS PGothic" w:hAnsi="MS PGothic"/>
          <w:sz w:val="21"/>
          <w:szCs w:val="21"/>
          <w:color w:val="auto"/>
        </w:rPr>
        <w:t>‑</w:t>
      </w:r>
      <w:r>
        <w:rPr>
          <w:rFonts w:ascii="Arial" w:cs="Arial" w:eastAsia="Arial" w:hAnsi="Arial"/>
          <w:sz w:val="21"/>
          <w:szCs w:val="21"/>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89" w:lineRule="exact"/>
        <w:rPr>
          <w:sz w:val="20"/>
          <w:szCs w:val="20"/>
          <w:color w:val="auto"/>
        </w:rPr>
      </w:pPr>
    </w:p>
    <w:p>
      <w:pPr>
        <w:ind w:left="2340"/>
        <w:spacing w:after="0" w:line="269" w:lineRule="auto"/>
        <w:rPr>
          <w:sz w:val="20"/>
          <w:szCs w:val="20"/>
          <w:color w:val="auto"/>
        </w:rPr>
      </w:pPr>
      <w:r>
        <w:rPr>
          <w:rFonts w:ascii="Arial" w:cs="Arial" w:eastAsia="Arial" w:hAnsi="Arial"/>
          <w:sz w:val="19"/>
          <w:szCs w:val="19"/>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17" w:lineRule="exact"/>
        <w:rPr>
          <w:sz w:val="20"/>
          <w:szCs w:val="20"/>
          <w:color w:val="auto"/>
        </w:rPr>
      </w:pPr>
    </w:p>
    <w:p>
      <w:pPr>
        <w:ind w:left="2340" w:right="120" w:hanging="860"/>
        <w:spacing w:after="0" w:line="297" w:lineRule="auto"/>
        <w:tabs>
          <w:tab w:leader="none" w:pos="23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w:t>
      </w:r>
    </w:p>
    <w:p>
      <w:pPr>
        <w:spacing w:after="0" w:line="1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20" w:name="page121"/>
    <w:bookmarkEnd w:id="120"/>
    <w:p>
      <w:pPr>
        <w:ind w:left="2602"/>
        <w:spacing w:after="0" w:line="279" w:lineRule="auto"/>
        <w:rPr>
          <w:sz w:val="20"/>
          <w:szCs w:val="20"/>
          <w:color w:val="auto"/>
        </w:rPr>
      </w:pPr>
      <w:r>
        <w:rPr>
          <w:rFonts w:ascii="Arial" w:cs="Arial" w:eastAsia="Arial" w:hAnsi="Arial"/>
          <w:sz w:val="19"/>
          <w:szCs w:val="19"/>
          <w:color w:val="auto"/>
        </w:rPr>
        <w:t>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50" w:lineRule="exact"/>
        <w:rPr>
          <w:sz w:val="20"/>
          <w:szCs w:val="20"/>
          <w:color w:val="auto"/>
        </w:rPr>
      </w:pPr>
    </w:p>
    <w:p>
      <w:pPr>
        <w:ind w:left="842" w:right="220" w:hanging="842"/>
        <w:spacing w:after="0" w:line="238" w:lineRule="auto"/>
        <w:tabs>
          <w:tab w:leader="none" w:pos="84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84" w:lineRule="exact"/>
        <w:rPr>
          <w:rFonts w:ascii="Arial" w:cs="Arial" w:eastAsia="Arial" w:hAnsi="Arial"/>
          <w:sz w:val="22"/>
          <w:szCs w:val="22"/>
          <w:color w:val="auto"/>
        </w:rPr>
      </w:pPr>
    </w:p>
    <w:p>
      <w:pPr>
        <w:ind w:left="2602" w:right="180" w:hanging="860"/>
        <w:spacing w:after="0" w:line="328" w:lineRule="auto"/>
        <w:tabs>
          <w:tab w:leader="none" w:pos="2602"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Corporation will pay you, your unpaid bonus, if any, attributable to any complete fiscal year of the Consolidated ManpowerGroup ended before the Date of Termination;</w:t>
      </w:r>
    </w:p>
    <w:p>
      <w:pPr>
        <w:spacing w:after="0" w:line="104" w:lineRule="exact"/>
        <w:rPr>
          <w:rFonts w:ascii="Arial" w:cs="Arial" w:eastAsia="Arial" w:hAnsi="Arial"/>
          <w:sz w:val="19"/>
          <w:szCs w:val="19"/>
          <w:color w:val="auto"/>
        </w:rPr>
      </w:pPr>
    </w:p>
    <w:p>
      <w:pPr>
        <w:ind w:left="2602" w:right="140" w:hanging="860"/>
        <w:spacing w:after="0" w:line="249" w:lineRule="auto"/>
        <w:tabs>
          <w:tab w:leader="none" w:pos="2602"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78" w:lineRule="exact"/>
        <w:rPr>
          <w:rFonts w:ascii="Arial" w:cs="Arial" w:eastAsia="Arial" w:hAnsi="Arial"/>
          <w:sz w:val="21"/>
          <w:szCs w:val="21"/>
          <w:color w:val="auto"/>
        </w:rPr>
      </w:pPr>
    </w:p>
    <w:p>
      <w:pPr>
        <w:ind w:left="2602" w:right="220" w:hanging="860"/>
        <w:spacing w:after="0" w:line="238" w:lineRule="auto"/>
        <w:tabs>
          <w:tab w:leader="none" w:pos="2602"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84" w:lineRule="exact"/>
        <w:rPr>
          <w:rFonts w:ascii="Arial" w:cs="Arial" w:eastAsia="Arial" w:hAnsi="Arial"/>
          <w:sz w:val="22"/>
          <w:szCs w:val="22"/>
          <w:color w:val="auto"/>
        </w:rPr>
      </w:pPr>
    </w:p>
    <w:p>
      <w:pPr>
        <w:ind w:left="2602" w:right="240" w:hanging="860"/>
        <w:spacing w:after="0" w:line="273" w:lineRule="auto"/>
        <w:tabs>
          <w:tab w:leader="none" w:pos="2602" w:val="left"/>
        </w:tabs>
        <w:numPr>
          <w:ilvl w:val="1"/>
          <w:numId w:val="78"/>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w:t>
      </w:r>
    </w:p>
    <w:p>
      <w:pPr>
        <w:spacing w:after="0" w:line="377"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2"/>
          </w:cols>
          <w:pgMar w:left="1178" w:top="334" w:right="419" w:bottom="1440" w:gutter="0" w:footer="0" w:header="0"/>
        </w:sectPr>
      </w:pPr>
    </w:p>
    <w:bookmarkStart w:id="121" w:name="page122"/>
    <w:bookmarkEnd w:id="121"/>
    <w:p>
      <w:pPr>
        <w:jc w:val="both"/>
        <w:ind w:left="2340" w:right="60"/>
        <w:spacing w:after="0"/>
        <w:rPr>
          <w:sz w:val="20"/>
          <w:szCs w:val="20"/>
          <w:color w:val="auto"/>
        </w:rPr>
      </w:pPr>
      <w:r>
        <w:rPr>
          <w:rFonts w:ascii="Arial" w:cs="Arial" w:eastAsia="Arial" w:hAnsi="Arial"/>
          <w:sz w:val="22"/>
          <w:szCs w:val="22"/>
          <w:color w:val="auto"/>
        </w:rPr>
        <w:t>you may be entitled to receive under the Consolidated Omnibus Budget Reconciliation Act of 1986, as amended (“COBRA”), or similar foreign or state laws will commence on the Date of Termination.</w:t>
      </w:r>
    </w:p>
    <w:p>
      <w:pPr>
        <w:spacing w:after="0" w:line="186" w:lineRule="exact"/>
        <w:rPr>
          <w:sz w:val="20"/>
          <w:szCs w:val="20"/>
          <w:color w:val="auto"/>
        </w:rPr>
      </w:pPr>
    </w:p>
    <w:p>
      <w:pPr>
        <w:ind w:left="2340"/>
        <w:spacing w:after="0" w:line="267" w:lineRule="auto"/>
        <w:rPr>
          <w:sz w:val="20"/>
          <w:szCs w:val="20"/>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w:t>
      </w:r>
    </w:p>
    <w:p>
      <w:pPr>
        <w:spacing w:after="0" w:line="17" w:lineRule="exact"/>
        <w:rPr>
          <w:sz w:val="20"/>
          <w:szCs w:val="20"/>
          <w:color w:val="auto"/>
        </w:rPr>
      </w:pPr>
    </w:p>
    <w:p>
      <w:pPr>
        <w:ind w:left="2340" w:right="60" w:firstLine="4"/>
        <w:spacing w:after="0" w:line="234" w:lineRule="auto"/>
        <w:tabs>
          <w:tab w:leader="none" w:pos="2706" w:val="left"/>
        </w:tabs>
        <w:numPr>
          <w:ilvl w:val="1"/>
          <w:numId w:val="79"/>
        </w:numPr>
        <w:rPr>
          <w:rFonts w:ascii="Arial" w:cs="Arial" w:eastAsia="Arial" w:hAnsi="Arial"/>
          <w:sz w:val="22"/>
          <w:szCs w:val="22"/>
          <w:color w:val="auto"/>
        </w:rPr>
      </w:pPr>
      <w:r>
        <w:rPr>
          <w:rFonts w:ascii="Arial" w:cs="Arial" w:eastAsia="Arial" w:hAnsi="Arial"/>
          <w:sz w:val="22"/>
          <w:szCs w:val="22"/>
          <w:color w:val="auto"/>
        </w:rPr>
        <w:t>are taxable, the payments will be grossed-up so that the net amount received by you, after subtraction of all taxes applicable to the payments plus the gross-up amount, will equal the cost of such COBRA coverage; and</w:t>
      </w:r>
    </w:p>
    <w:p>
      <w:pPr>
        <w:spacing w:after="0" w:line="187" w:lineRule="exact"/>
        <w:rPr>
          <w:rFonts w:ascii="Arial" w:cs="Arial" w:eastAsia="Arial" w:hAnsi="Arial"/>
          <w:sz w:val="22"/>
          <w:szCs w:val="22"/>
          <w:color w:val="auto"/>
        </w:rPr>
      </w:pPr>
    </w:p>
    <w:p>
      <w:pPr>
        <w:ind w:left="2340" w:right="40" w:hanging="860"/>
        <w:spacing w:after="0" w:line="277" w:lineRule="auto"/>
        <w:tabs>
          <w:tab w:leader="none" w:pos="23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00"/>
          </w:cols>
          <w:pgMar w:left="1440" w:top="334" w:right="559" w:bottom="1440" w:gutter="0" w:footer="0" w:header="0"/>
        </w:sectPr>
      </w:pPr>
    </w:p>
    <w:bookmarkStart w:id="122" w:name="page123"/>
    <w:bookmarkEnd w:id="122"/>
    <w:p>
      <w:pPr>
        <w:jc w:val="both"/>
        <w:ind w:left="2602" w:right="400"/>
        <w:spacing w:after="0"/>
        <w:rPr>
          <w:sz w:val="20"/>
          <w:szCs w:val="20"/>
          <w:color w:val="auto"/>
        </w:rPr>
      </w:pPr>
      <w:r>
        <w:rPr>
          <w:rFonts w:ascii="Arial" w:cs="Arial" w:eastAsia="Arial" w:hAnsi="Arial"/>
          <w:sz w:val="22"/>
          <w:szCs w:val="22"/>
          <w:color w:val="auto"/>
        </w:rPr>
        <w:t>result of your use of such outplacement services. The Corporation will not substitute cash or other compensation in lieu of the outplacement service program specified in this Subsection 2(d)(v).</w:t>
      </w:r>
    </w:p>
    <w:p>
      <w:pPr>
        <w:spacing w:after="0" w:line="186" w:lineRule="exact"/>
        <w:rPr>
          <w:sz w:val="20"/>
          <w:szCs w:val="20"/>
          <w:color w:val="auto"/>
        </w:rPr>
      </w:pPr>
    </w:p>
    <w:p>
      <w:pPr>
        <w:ind w:left="842" w:right="420" w:hanging="842"/>
        <w:spacing w:after="0" w:line="270" w:lineRule="auto"/>
        <w:tabs>
          <w:tab w:leader="none" w:pos="84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65" w:lineRule="exact"/>
        <w:rPr>
          <w:rFonts w:ascii="Arial" w:cs="Arial" w:eastAsia="Arial" w:hAnsi="Arial"/>
          <w:sz w:val="19"/>
          <w:szCs w:val="19"/>
          <w:color w:val="auto"/>
        </w:rPr>
      </w:pPr>
    </w:p>
    <w:p>
      <w:pPr>
        <w:ind w:left="842" w:hanging="842"/>
        <w:spacing w:after="0" w:line="244" w:lineRule="auto"/>
        <w:tabs>
          <w:tab w:leader="none" w:pos="842"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Timing of Payments</w:t>
      </w:r>
      <w:r>
        <w:rPr>
          <w:rFonts w:ascii="Arial" w:cs="Arial" w:eastAsia="Arial" w:hAnsi="Arial"/>
          <w:sz w:val="21"/>
          <w:szCs w:val="21"/>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17"/>
          <w:szCs w:val="17"/>
          <w:color w:val="auto"/>
        </w:rPr>
        <w:t>th</w:t>
      </w:r>
      <w:r>
        <w:rPr>
          <w:rFonts w:ascii="Arial" w:cs="Arial" w:eastAsia="Arial" w:hAnsi="Arial"/>
          <w:sz w:val="21"/>
          <w:szCs w:val="21"/>
          <w:color w:val="auto"/>
        </w:rPr>
        <w:t>)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w:t>
      </w:r>
    </w:p>
    <w:p>
      <w:pPr>
        <w:spacing w:after="0" w:line="186" w:lineRule="exact"/>
        <w:rPr>
          <w:sz w:val="20"/>
          <w:szCs w:val="20"/>
          <w:color w:val="auto"/>
        </w:rPr>
      </w:pPr>
    </w:p>
    <w:p>
      <w:pPr>
        <w:ind w:left="4662"/>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2"/>
          </w:cols>
          <w:pgMar w:left="1178" w:top="334" w:right="379" w:bottom="1440" w:gutter="0" w:footer="0" w:header="0"/>
        </w:sectPr>
      </w:pPr>
    </w:p>
    <w:bookmarkStart w:id="123" w:name="page124"/>
    <w:bookmarkEnd w:id="123"/>
    <w:p>
      <w:pPr>
        <w:ind w:left="1692"/>
        <w:spacing w:after="0" w:line="234" w:lineRule="auto"/>
        <w:rPr>
          <w:sz w:val="20"/>
          <w:szCs w:val="20"/>
          <w:color w:val="auto"/>
        </w:rPr>
      </w:pPr>
      <w:r>
        <w:rPr>
          <w:rFonts w:ascii="Arial" w:cs="Arial" w:eastAsia="Arial" w:hAnsi="Arial"/>
          <w:sz w:val="22"/>
          <w:szCs w:val="22"/>
          <w:color w:val="auto"/>
        </w:rPr>
        <w:t xml:space="preserve">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Midwest edition (or, if not so reported, as reported in such other similar source(s) as</w:t>
      </w:r>
      <w:r>
        <w:rPr>
          <w:rFonts w:ascii="Arial" w:cs="Arial" w:eastAsia="Arial" w:hAnsi="Arial"/>
          <w:sz w:val="22"/>
          <w:szCs w:val="22"/>
          <w:i w:val="1"/>
          <w:iCs w:val="1"/>
          <w:color w:val="auto"/>
        </w:rPr>
        <w:t xml:space="preserve"> </w:t>
      </w:r>
      <w:r>
        <w:rPr>
          <w:rFonts w:ascii="Arial" w:cs="Arial" w:eastAsia="Arial" w:hAnsi="Arial"/>
          <w:sz w:val="22"/>
          <w:szCs w:val="22"/>
          <w:color w:val="auto"/>
        </w:rPr>
        <w:t>the Corporation shall select).</w:t>
      </w:r>
    </w:p>
    <w:p>
      <w:pPr>
        <w:spacing w:after="0" w:line="191" w:lineRule="exact"/>
        <w:rPr>
          <w:sz w:val="20"/>
          <w:szCs w:val="20"/>
          <w:color w:val="auto"/>
        </w:rPr>
      </w:pPr>
    </w:p>
    <w:p>
      <w:pPr>
        <w:ind w:left="1692" w:hanging="842"/>
        <w:spacing w:after="0" w:line="272" w:lineRule="auto"/>
        <w:tabs>
          <w:tab w:leader="none" w:pos="1692"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16"/>
          <w:szCs w:val="16"/>
          <w:color w:val="auto"/>
        </w:rPr>
        <w:t>th</w:t>
      </w:r>
      <w:r>
        <w:rPr>
          <w:rFonts w:ascii="Arial" w:cs="Arial" w:eastAsia="Arial" w:hAnsi="Arial"/>
          <w:sz w:val="19"/>
          <w:szCs w:val="19"/>
          <w:color w:val="auto"/>
        </w:rPr>
        <w:t>) day after the Date of Termination.</w:t>
      </w:r>
    </w:p>
    <w:p>
      <w:pPr>
        <w:spacing w:after="0" w:line="160" w:lineRule="exact"/>
        <w:rPr>
          <w:rFonts w:ascii="Arial" w:cs="Arial" w:eastAsia="Arial" w:hAnsi="Arial"/>
          <w:sz w:val="19"/>
          <w:szCs w:val="19"/>
          <w:color w:val="auto"/>
        </w:rPr>
      </w:pPr>
    </w:p>
    <w:p>
      <w:pPr>
        <w:ind w:left="1692" w:right="140" w:hanging="842"/>
        <w:spacing w:after="0" w:line="282" w:lineRule="auto"/>
        <w:tabs>
          <w:tab w:leader="none" w:pos="1692"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47" w:lineRule="exact"/>
        <w:rPr>
          <w:rFonts w:ascii="Arial" w:cs="Arial" w:eastAsia="Arial" w:hAnsi="Arial"/>
          <w:sz w:val="19"/>
          <w:szCs w:val="19"/>
          <w:color w:val="auto"/>
        </w:rPr>
      </w:pPr>
    </w:p>
    <w:p>
      <w:pPr>
        <w:ind w:left="852" w:hanging="852"/>
        <w:spacing w:after="0"/>
        <w:tabs>
          <w:tab w:leader="none" w:pos="852"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right="140" w:hanging="842"/>
        <w:spacing w:after="0" w:line="277" w:lineRule="auto"/>
        <w:tabs>
          <w:tab w:leader="none" w:pos="1692" w:val="left"/>
        </w:tabs>
        <w:numPr>
          <w:ilvl w:val="1"/>
          <w:numId w:val="83"/>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w:t>
      </w:r>
    </w:p>
    <w:p>
      <w:pPr>
        <w:spacing w:after="0" w:line="36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124" w:name="page125"/>
    <w:bookmarkEnd w:id="124"/>
    <w:p>
      <w:pPr>
        <w:ind w:left="842" w:right="100"/>
        <w:spacing w:after="0" w:line="273" w:lineRule="auto"/>
        <w:rPr>
          <w:sz w:val="20"/>
          <w:szCs w:val="20"/>
          <w:color w:val="auto"/>
        </w:rPr>
      </w:pPr>
      <w:r>
        <w:rPr>
          <w:rFonts w:ascii="Arial" w:cs="Arial" w:eastAsia="Arial" w:hAnsi="Arial"/>
          <w:sz w:val="19"/>
          <w:szCs w:val="19"/>
          <w:color w:val="auto"/>
        </w:rPr>
        <w:t>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61" w:lineRule="exact"/>
        <w:rPr>
          <w:sz w:val="20"/>
          <w:szCs w:val="20"/>
          <w:color w:val="auto"/>
        </w:rPr>
      </w:pPr>
    </w:p>
    <w:p>
      <w:pPr>
        <w:ind w:left="842" w:hanging="842"/>
        <w:spacing w:after="0" w:line="271" w:lineRule="auto"/>
        <w:tabs>
          <w:tab w:leader="none" w:pos="8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56" w:lineRule="exact"/>
        <w:rPr>
          <w:rFonts w:ascii="Arial" w:cs="Arial" w:eastAsia="Arial" w:hAnsi="Arial"/>
          <w:sz w:val="19"/>
          <w:szCs w:val="19"/>
          <w:color w:val="auto"/>
        </w:rPr>
      </w:pPr>
    </w:p>
    <w:p>
      <w:pPr>
        <w:ind w:left="842" w:right="240" w:hanging="842"/>
        <w:spacing w:after="0" w:line="282" w:lineRule="auto"/>
        <w:tabs>
          <w:tab w:leader="none" w:pos="8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00" w:lineRule="exact"/>
        <w:rPr>
          <w:sz w:val="20"/>
          <w:szCs w:val="20"/>
          <w:color w:val="auto"/>
        </w:rPr>
      </w:pPr>
    </w:p>
    <w:p>
      <w:pPr>
        <w:spacing w:after="0" w:line="379" w:lineRule="exact"/>
        <w:rPr>
          <w:sz w:val="20"/>
          <w:szCs w:val="20"/>
          <w:color w:val="auto"/>
        </w:rPr>
      </w:pPr>
    </w:p>
    <w:p>
      <w:pPr>
        <w:ind w:left="4662"/>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125" w:name="page126"/>
    <w:bookmarkEnd w:id="125"/>
    <w:p>
      <w:pPr>
        <w:ind w:left="852" w:right="80" w:hanging="852"/>
        <w:spacing w:after="0" w:line="273" w:lineRule="auto"/>
        <w:tabs>
          <w:tab w:leader="none" w:pos="85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one-year period preceding the Date of Termination.</w:t>
      </w:r>
    </w:p>
    <w:p>
      <w:pPr>
        <w:spacing w:after="0" w:line="160" w:lineRule="exact"/>
        <w:rPr>
          <w:rFonts w:ascii="Arial" w:cs="Arial" w:eastAsia="Arial" w:hAnsi="Arial"/>
          <w:sz w:val="19"/>
          <w:szCs w:val="19"/>
          <w:color w:val="auto"/>
        </w:rPr>
      </w:pPr>
    </w:p>
    <w:p>
      <w:pPr>
        <w:ind w:left="852" w:right="220" w:hanging="852"/>
        <w:spacing w:after="0" w:line="238" w:lineRule="auto"/>
        <w:tabs>
          <w:tab w:leader="none" w:pos="85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184" w:lineRule="exact"/>
        <w:rPr>
          <w:rFonts w:ascii="Arial" w:cs="Arial" w:eastAsia="Arial" w:hAnsi="Arial"/>
          <w:sz w:val="22"/>
          <w:szCs w:val="22"/>
          <w:color w:val="auto"/>
        </w:rPr>
      </w:pPr>
    </w:p>
    <w:p>
      <w:pPr>
        <w:ind w:left="852" w:right="440" w:hanging="852"/>
        <w:spacing w:after="0" w:line="250" w:lineRule="auto"/>
        <w:tabs>
          <w:tab w:leader="none" w:pos="85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174" w:lineRule="exact"/>
        <w:rPr>
          <w:rFonts w:ascii="Arial" w:cs="Arial" w:eastAsia="Arial" w:hAnsi="Arial"/>
          <w:sz w:val="22"/>
          <w:szCs w:val="22"/>
          <w:color w:val="auto"/>
        </w:rPr>
      </w:pPr>
    </w:p>
    <w:p>
      <w:pPr>
        <w:ind w:left="1692" w:right="260" w:hanging="842"/>
        <w:spacing w:after="0" w:line="247" w:lineRule="exact"/>
        <w:tabs>
          <w:tab w:leader="none" w:pos="1692" w:val="left"/>
        </w:tabs>
        <w:numPr>
          <w:ilvl w:val="1"/>
          <w:numId w:val="85"/>
        </w:numPr>
        <w:rPr>
          <w:rFonts w:ascii="Arial" w:cs="Arial" w:eastAsia="Arial" w:hAnsi="Arial"/>
          <w:sz w:val="21"/>
          <w:szCs w:val="21"/>
          <w:color w:val="auto"/>
        </w:rPr>
      </w:pPr>
      <w:r>
        <w:rPr>
          <w:rFonts w:ascii="Arial" w:cs="Arial" w:eastAsia="Arial" w:hAnsi="Arial"/>
          <w:sz w:val="21"/>
          <w:szCs w:val="21"/>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21"/>
          <w:szCs w:val="21"/>
          <w:color w:val="auto"/>
        </w:rPr>
        <w:t>‑</w:t>
      </w:r>
      <w:r>
        <w:rPr>
          <w:rFonts w:ascii="Arial" w:cs="Arial" w:eastAsia="Arial" w:hAnsi="Arial"/>
          <w:sz w:val="21"/>
          <w:szCs w:val="21"/>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21"/>
          <w:szCs w:val="21"/>
          <w:color w:val="auto"/>
        </w:rPr>
        <w:t>‑</w:t>
      </w:r>
      <w:r>
        <w:rPr>
          <w:rFonts w:ascii="Arial" w:cs="Arial" w:eastAsia="Arial" w:hAnsi="Arial"/>
          <w:sz w:val="21"/>
          <w:szCs w:val="21"/>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91" w:lineRule="exact"/>
        <w:rPr>
          <w:rFonts w:ascii="Arial" w:cs="Arial" w:eastAsia="Arial" w:hAnsi="Arial"/>
          <w:sz w:val="21"/>
          <w:szCs w:val="21"/>
          <w:color w:val="auto"/>
        </w:rPr>
      </w:pPr>
    </w:p>
    <w:p>
      <w:pPr>
        <w:ind w:left="1692" w:hanging="842"/>
        <w:spacing w:after="0" w:line="246" w:lineRule="auto"/>
        <w:tabs>
          <w:tab w:leader="none" w:pos="1692" w:val="left"/>
        </w:tabs>
        <w:numPr>
          <w:ilvl w:val="1"/>
          <w:numId w:val="85"/>
        </w:numPr>
        <w:rPr>
          <w:rFonts w:ascii="Arial" w:cs="Arial" w:eastAsia="Arial" w:hAnsi="Arial"/>
          <w:sz w:val="21"/>
          <w:szCs w:val="21"/>
          <w:color w:val="auto"/>
        </w:rPr>
      </w:pPr>
      <w:r>
        <w:rPr>
          <w:rFonts w:ascii="Arial" w:cs="Arial" w:eastAsia="Arial" w:hAnsi="Arial"/>
          <w:sz w:val="21"/>
          <w:szCs w:val="21"/>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126" w:name="page127"/>
    <w:bookmarkEnd w:id="126"/>
    <w:p>
      <w:pPr>
        <w:ind w:left="1692" w:right="340"/>
        <w:spacing w:after="0" w:line="247" w:lineRule="exact"/>
        <w:rPr>
          <w:sz w:val="20"/>
          <w:szCs w:val="20"/>
          <w:color w:val="auto"/>
        </w:rPr>
      </w:pPr>
      <w:r>
        <w:rPr>
          <w:rFonts w:ascii="Arial" w:cs="Arial" w:eastAsia="Arial" w:hAnsi="Arial"/>
          <w:sz w:val="21"/>
          <w:szCs w:val="21"/>
          <w:color w:val="auto"/>
        </w:rPr>
        <w:t>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1"/>
          <w:szCs w:val="21"/>
          <w:color w:val="auto"/>
        </w:rPr>
        <w:t>‑</w:t>
      </w:r>
      <w:r>
        <w:rPr>
          <w:rFonts w:ascii="Arial" w:cs="Arial" w:eastAsia="Arial" w:hAnsi="Arial"/>
          <w:sz w:val="21"/>
          <w:szCs w:val="21"/>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88" w:lineRule="exact"/>
        <w:rPr>
          <w:sz w:val="20"/>
          <w:szCs w:val="20"/>
          <w:color w:val="auto"/>
        </w:rPr>
      </w:pPr>
    </w:p>
    <w:p>
      <w:pPr>
        <w:ind w:left="812" w:hanging="812"/>
        <w:spacing w:after="0"/>
        <w:tabs>
          <w:tab w:leader="none" w:pos="81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right="120" w:hanging="842"/>
        <w:spacing w:after="0" w:line="274" w:lineRule="auto"/>
        <w:tabs>
          <w:tab w:leader="none" w:pos="169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58" w:lineRule="exact"/>
        <w:rPr>
          <w:rFonts w:ascii="Arial" w:cs="Arial" w:eastAsia="Arial" w:hAnsi="Arial"/>
          <w:sz w:val="19"/>
          <w:szCs w:val="19"/>
          <w:color w:val="auto"/>
        </w:rPr>
      </w:pPr>
    </w:p>
    <w:p>
      <w:pPr>
        <w:ind w:left="1692" w:right="460" w:hanging="842"/>
        <w:spacing w:after="0" w:line="297" w:lineRule="auto"/>
        <w:tabs>
          <w:tab w:leader="none" w:pos="169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Nonapplication</w:t>
      </w:r>
      <w:r>
        <w:rPr>
          <w:rFonts w:ascii="Arial" w:cs="Arial" w:eastAsia="Arial" w:hAnsi="Arial"/>
          <w:sz w:val="19"/>
          <w:szCs w:val="19"/>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349" w:lineRule="exact"/>
        <w:rPr>
          <w:rFonts w:ascii="Arial" w:cs="Arial" w:eastAsia="Arial" w:hAnsi="Arial"/>
          <w:sz w:val="19"/>
          <w:szCs w:val="19"/>
          <w:color w:val="auto"/>
        </w:rPr>
      </w:pPr>
    </w:p>
    <w:p>
      <w:pPr>
        <w:ind w:left="852" w:hanging="852"/>
        <w:spacing w:after="0" w:line="249" w:lineRule="exact"/>
        <w:tabs>
          <w:tab w:leader="none" w:pos="85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19"/>
          <w:szCs w:val="19"/>
          <w:color w:val="auto"/>
        </w:rPr>
        <w:t>‑</w:t>
      </w:r>
      <w:r>
        <w:rPr>
          <w:rFonts w:ascii="Arial" w:cs="Arial" w:eastAsia="Arial" w:hAnsi="Arial"/>
          <w:sz w:val="19"/>
          <w:szCs w:val="19"/>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9"/>
          <w:szCs w:val="19"/>
          <w:color w:val="auto"/>
        </w:rPr>
        <w:t>‑</w:t>
      </w:r>
      <w:r>
        <w:rPr>
          <w:rFonts w:ascii="Arial" w:cs="Arial" w:eastAsia="Arial" w:hAnsi="Arial"/>
          <w:sz w:val="19"/>
          <w:szCs w:val="19"/>
          <w:color w:val="auto"/>
        </w:rPr>
        <w:t>year period following the Date of Termination, and you will be ineligible to receive, and you agree not to apply for, unemployment compensation during such periods.</w:t>
      </w:r>
    </w:p>
    <w:p>
      <w:pPr>
        <w:spacing w:after="0" w:line="188" w:lineRule="exact"/>
        <w:rPr>
          <w:rFonts w:ascii="Arial" w:cs="Arial" w:eastAsia="Arial" w:hAnsi="Arial"/>
          <w:sz w:val="19"/>
          <w:szCs w:val="19"/>
          <w:color w:val="auto"/>
        </w:rPr>
      </w:pPr>
    </w:p>
    <w:p>
      <w:pPr>
        <w:ind w:left="852" w:right="20" w:hanging="852"/>
        <w:spacing w:after="0" w:line="236" w:lineRule="auto"/>
        <w:tabs>
          <w:tab w:leader="none" w:pos="85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127" w:name="page128"/>
    <w:bookmarkEnd w:id="127"/>
    <w:p>
      <w:pPr>
        <w:ind w:left="852" w:right="80"/>
        <w:spacing w:after="0" w:line="279" w:lineRule="auto"/>
        <w:rPr>
          <w:sz w:val="20"/>
          <w:szCs w:val="20"/>
          <w:color w:val="auto"/>
        </w:rPr>
      </w:pPr>
      <w:r>
        <w:rPr>
          <w:rFonts w:ascii="Arial" w:cs="Arial" w:eastAsia="Arial" w:hAnsi="Arial"/>
          <w:sz w:val="19"/>
          <w:szCs w:val="19"/>
          <w:color w:val="auto"/>
        </w:rPr>
        <w:t>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50" w:lineRule="exact"/>
        <w:rPr>
          <w:sz w:val="20"/>
          <w:szCs w:val="20"/>
          <w:color w:val="auto"/>
        </w:rPr>
      </w:pPr>
    </w:p>
    <w:p>
      <w:pPr>
        <w:ind w:left="852" w:right="200" w:hanging="852"/>
        <w:spacing w:after="0" w:line="328" w:lineRule="auto"/>
        <w:tabs>
          <w:tab w:leader="none" w:pos="85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Successors; Binding Agreement</w:t>
      </w:r>
      <w:r>
        <w:rPr>
          <w:rFonts w:ascii="Arial" w:cs="Arial" w:eastAsia="Arial" w:hAnsi="Arial"/>
          <w:sz w:val="19"/>
          <w:szCs w:val="19"/>
          <w:color w:val="auto"/>
        </w:rPr>
        <w:t>. This letter agreement will be binding on the Corporation and its successors and will inure to the benefit of and be enforceable by your personal or legal representatives, heirs and successors.</w:t>
      </w:r>
    </w:p>
    <w:p>
      <w:pPr>
        <w:spacing w:after="0" w:line="104" w:lineRule="exact"/>
        <w:rPr>
          <w:rFonts w:ascii="Arial" w:cs="Arial" w:eastAsia="Arial" w:hAnsi="Arial"/>
          <w:sz w:val="19"/>
          <w:szCs w:val="19"/>
          <w:color w:val="auto"/>
        </w:rPr>
      </w:pPr>
    </w:p>
    <w:p>
      <w:pPr>
        <w:ind w:left="852" w:right="160" w:hanging="852"/>
        <w:spacing w:after="0" w:line="297" w:lineRule="auto"/>
        <w:tabs>
          <w:tab w:leader="none" w:pos="85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33" w:lineRule="exact"/>
        <w:rPr>
          <w:rFonts w:ascii="Arial" w:cs="Arial" w:eastAsia="Arial" w:hAnsi="Arial"/>
          <w:sz w:val="19"/>
          <w:szCs w:val="19"/>
          <w:color w:val="auto"/>
        </w:rPr>
      </w:pPr>
    </w:p>
    <w:p>
      <w:pPr>
        <w:ind w:left="852" w:right="20" w:hanging="852"/>
        <w:spacing w:after="0" w:line="287" w:lineRule="auto"/>
        <w:tabs>
          <w:tab w:leader="none" w:pos="85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42" w:lineRule="exact"/>
        <w:rPr>
          <w:rFonts w:ascii="Arial" w:cs="Arial" w:eastAsia="Arial" w:hAnsi="Arial"/>
          <w:sz w:val="19"/>
          <w:szCs w:val="19"/>
          <w:color w:val="auto"/>
        </w:rPr>
      </w:pPr>
    </w:p>
    <w:p>
      <w:pPr>
        <w:ind w:left="852" w:right="680" w:hanging="852"/>
        <w:spacing w:after="0" w:line="250" w:lineRule="auto"/>
        <w:tabs>
          <w:tab w:leader="none" w:pos="85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174" w:lineRule="exact"/>
        <w:rPr>
          <w:rFonts w:ascii="Arial" w:cs="Arial" w:eastAsia="Arial" w:hAnsi="Arial"/>
          <w:sz w:val="22"/>
          <w:szCs w:val="22"/>
          <w:color w:val="auto"/>
        </w:rPr>
      </w:pPr>
    </w:p>
    <w:p>
      <w:pPr>
        <w:ind w:left="852" w:hanging="852"/>
        <w:spacing w:after="0"/>
        <w:tabs>
          <w:tab w:leader="none" w:pos="85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6" w:lineRule="exact"/>
        <w:rPr>
          <w:rFonts w:ascii="Arial" w:cs="Arial" w:eastAsia="Arial" w:hAnsi="Arial"/>
          <w:sz w:val="22"/>
          <w:szCs w:val="22"/>
          <w:color w:val="auto"/>
        </w:rPr>
      </w:pPr>
    </w:p>
    <w:p>
      <w:pPr>
        <w:ind w:left="852" w:right="60" w:hanging="852"/>
        <w:spacing w:after="0" w:line="250" w:lineRule="auto"/>
        <w:tabs>
          <w:tab w:leader="none" w:pos="85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174" w:lineRule="exact"/>
        <w:rPr>
          <w:rFonts w:ascii="Arial" w:cs="Arial" w:eastAsia="Arial" w:hAnsi="Arial"/>
          <w:sz w:val="22"/>
          <w:szCs w:val="22"/>
          <w:color w:val="auto"/>
        </w:rPr>
      </w:pPr>
    </w:p>
    <w:p>
      <w:pPr>
        <w:ind w:left="852" w:right="60" w:hanging="852"/>
        <w:spacing w:after="0" w:line="273" w:lineRule="auto"/>
        <w:tabs>
          <w:tab w:leader="none" w:pos="85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w:t>
      </w:r>
    </w:p>
    <w:p>
      <w:pPr>
        <w:spacing w:after="0" w:line="1" w:lineRule="exact"/>
        <w:rPr>
          <w:rFonts w:ascii="Arial" w:cs="Arial" w:eastAsia="Arial" w:hAnsi="Arial"/>
          <w:sz w:val="19"/>
          <w:szCs w:val="19"/>
          <w:color w:val="auto"/>
        </w:rPr>
      </w:pPr>
    </w:p>
    <w:p>
      <w:pPr>
        <w:ind w:left="852" w:right="160"/>
        <w:spacing w:after="0" w:line="233" w:lineRule="auto"/>
        <w:rPr>
          <w:rFonts w:ascii="Arial" w:cs="Arial" w:eastAsia="Arial" w:hAnsi="Arial"/>
          <w:sz w:val="19"/>
          <w:szCs w:val="19"/>
          <w:color w:val="auto"/>
        </w:rPr>
      </w:pPr>
      <w:r>
        <w:rPr>
          <w:rFonts w:ascii="Arial" w:cs="Arial" w:eastAsia="Arial" w:hAnsi="Arial"/>
          <w:sz w:val="22"/>
          <w:szCs w:val="22"/>
          <w:color w:val="auto"/>
        </w:rPr>
        <w:t>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128" w:name="page129"/>
    <w:bookmarkEnd w:id="128"/>
    <w:p>
      <w:pPr>
        <w:ind w:left="852" w:right="80" w:hanging="852"/>
        <w:spacing w:after="0" w:line="279" w:lineRule="auto"/>
        <w:tabs>
          <w:tab w:leader="none" w:pos="85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Previous Agreements</w:t>
      </w:r>
      <w:r>
        <w:rPr>
          <w:rFonts w:ascii="Arial" w:cs="Arial" w:eastAsia="Arial" w:hAnsi="Arial"/>
          <w:sz w:val="19"/>
          <w:szCs w:val="19"/>
          <w:color w:val="auto"/>
        </w:rPr>
        <w:t>. This letter agreement, upon acceptance by you, expressly supersedes any and all previous agreements or understandings relating to your employment by the Corporation or the Consolidated ManpowerGroup, except for the letter from the Corporation to you dated May 10, 2019, regarding the Corporation’s offer of employment to you (provided this letter agreement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150" w:lineRule="exact"/>
        <w:rPr>
          <w:rFonts w:ascii="Arial" w:cs="Arial" w:eastAsia="Arial" w:hAnsi="Arial"/>
          <w:sz w:val="19"/>
          <w:szCs w:val="19"/>
          <w:color w:val="auto"/>
        </w:rPr>
      </w:pPr>
    </w:p>
    <w:p>
      <w:pPr>
        <w:ind w:left="852" w:right="100" w:hanging="852"/>
        <w:spacing w:after="0" w:line="235" w:lineRule="auto"/>
        <w:tabs>
          <w:tab w:leader="none" w:pos="85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7" w:lineRule="exact"/>
        <w:rPr>
          <w:rFonts w:ascii="Arial" w:cs="Arial" w:eastAsia="Arial" w:hAnsi="Arial"/>
          <w:sz w:val="22"/>
          <w:szCs w:val="22"/>
          <w:color w:val="auto"/>
        </w:rPr>
      </w:pPr>
    </w:p>
    <w:p>
      <w:pPr>
        <w:ind w:left="1692" w:right="60" w:hanging="842"/>
        <w:spacing w:after="0" w:line="269" w:lineRule="auto"/>
        <w:tabs>
          <w:tab w:leader="none" w:pos="1692"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w:t>
      </w:r>
    </w:p>
    <w:p>
      <w:pPr>
        <w:spacing w:after="0" w:line="4" w:lineRule="exact"/>
        <w:rPr>
          <w:rFonts w:ascii="Arial" w:cs="Arial" w:eastAsia="Arial" w:hAnsi="Arial"/>
          <w:sz w:val="19"/>
          <w:szCs w:val="19"/>
          <w:color w:val="auto"/>
        </w:rPr>
      </w:pPr>
    </w:p>
    <w:p>
      <w:pPr>
        <w:ind w:left="1692"/>
        <w:spacing w:after="0" w:line="243" w:lineRule="auto"/>
        <w:rPr>
          <w:rFonts w:ascii="Arial" w:cs="Arial" w:eastAsia="Arial" w:hAnsi="Arial"/>
          <w:sz w:val="19"/>
          <w:szCs w:val="19"/>
          <w:color w:val="auto"/>
        </w:rPr>
      </w:pPr>
      <w:r>
        <w:rPr>
          <w:rFonts w:ascii="Arial" w:cs="Arial" w:eastAsia="Arial" w:hAnsi="Arial"/>
          <w:sz w:val="21"/>
          <w:szCs w:val="21"/>
          <w:color w:val="auto"/>
        </w:rPr>
        <w:t>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4" w:lineRule="exact"/>
        <w:rPr>
          <w:rFonts w:ascii="Arial" w:cs="Arial" w:eastAsia="Arial" w:hAnsi="Arial"/>
          <w:sz w:val="19"/>
          <w:szCs w:val="19"/>
          <w:color w:val="auto"/>
        </w:rPr>
      </w:pPr>
    </w:p>
    <w:p>
      <w:pPr>
        <w:ind w:left="1692" w:right="320" w:hanging="842"/>
        <w:spacing w:after="0" w:line="252" w:lineRule="auto"/>
        <w:tabs>
          <w:tab w:leader="none" w:pos="1692" w:val="left"/>
        </w:tabs>
        <w:numPr>
          <w:ilvl w:val="1"/>
          <w:numId w:val="88"/>
        </w:numPr>
        <w:rPr>
          <w:rFonts w:ascii="Arial" w:cs="Arial" w:eastAsia="Arial" w:hAnsi="Arial"/>
          <w:sz w:val="21"/>
          <w:szCs w:val="21"/>
          <w:color w:val="auto"/>
        </w:rPr>
      </w:pPr>
      <w:r>
        <w:rPr>
          <w:rFonts w:ascii="Arial" w:cs="Arial" w:eastAsia="Arial" w:hAnsi="Arial"/>
          <w:sz w:val="21"/>
          <w:szCs w:val="21"/>
          <w:color w:val="auto"/>
        </w:rPr>
        <w:t>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129" w:name="page130"/>
    <w:bookmarkEnd w:id="129"/>
    <w:p>
      <w:pPr>
        <w:ind w:left="1700" w:right="60"/>
        <w:spacing w:after="0" w:line="244" w:lineRule="auto"/>
        <w:rPr>
          <w:sz w:val="20"/>
          <w:szCs w:val="20"/>
          <w:color w:val="auto"/>
        </w:rPr>
      </w:pPr>
      <w:r>
        <w:rPr>
          <w:rFonts w:ascii="Arial" w:cs="Arial" w:eastAsia="Arial" w:hAnsi="Arial"/>
          <w:sz w:val="21"/>
          <w:szCs w:val="21"/>
          <w:color w:val="auto"/>
        </w:rPr>
        <w:t xml:space="preserve">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21"/>
          <w:szCs w:val="21"/>
          <w:i w:val="1"/>
          <w:iCs w:val="1"/>
          <w:color w:val="auto"/>
        </w:rPr>
        <w:t>et seq</w:t>
      </w:r>
      <w:r>
        <w:rPr>
          <w:rFonts w:ascii="Arial" w:cs="Arial" w:eastAsia="Arial" w:hAnsi="Arial"/>
          <w:sz w:val="21"/>
          <w:szCs w:val="21"/>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6" w:lineRule="exact"/>
        <w:rPr>
          <w:sz w:val="20"/>
          <w:szCs w:val="20"/>
          <w:color w:val="auto"/>
        </w:rPr>
      </w:pPr>
    </w:p>
    <w:p>
      <w:pPr>
        <w:jc w:val="both"/>
        <w:ind w:left="860" w:hanging="852"/>
        <w:spacing w:after="0"/>
        <w:tabs>
          <w:tab w:leader="none" w:pos="86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213" w:lineRule="exact"/>
        <w:rPr>
          <w:rFonts w:ascii="Arial" w:cs="Arial" w:eastAsia="Arial" w:hAnsi="Arial"/>
          <w:sz w:val="22"/>
          <w:szCs w:val="22"/>
          <w:color w:val="auto"/>
        </w:rPr>
      </w:pPr>
    </w:p>
    <w:p>
      <w:pPr>
        <w:jc w:val="both"/>
        <w:ind w:left="860" w:hanging="852"/>
        <w:spacing w:after="0" w:line="245" w:lineRule="auto"/>
        <w:tabs>
          <w:tab w:leader="none" w:pos="86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Consistency with Applicable Law</w:t>
      </w:r>
      <w:r>
        <w:rPr>
          <w:rFonts w:ascii="Arial" w:cs="Arial" w:eastAsia="Arial" w:hAnsi="Arial"/>
          <w:sz w:val="21"/>
          <w:szCs w:val="21"/>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ind w:right="480" w:firstLine="864"/>
        <w:spacing w:after="0" w:line="250"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w:t>
      </w:r>
    </w:p>
    <w:p>
      <w:pPr>
        <w:spacing w:after="0" w:line="238" w:lineRule="auto"/>
        <w:rPr>
          <w:sz w:val="20"/>
          <w:szCs w:val="20"/>
          <w:color w:val="auto"/>
        </w:rPr>
      </w:pPr>
      <w:r>
        <w:rPr>
          <w:rFonts w:ascii="Arial" w:cs="Arial" w:eastAsia="Arial" w:hAnsi="Arial"/>
          <w:sz w:val="22"/>
          <w:szCs w:val="22"/>
          <w:u w:val="single" w:color="auto"/>
          <w:color w:val="auto"/>
        </w:rPr>
        <w:t>Buchband</w:t>
      </w:r>
    </w:p>
    <w:p>
      <w:pPr>
        <w:ind w:left="5620"/>
        <w:spacing w:after="0"/>
        <w:rPr>
          <w:sz w:val="20"/>
          <w:szCs w:val="20"/>
          <w:color w:val="auto"/>
        </w:rPr>
      </w:pPr>
      <w:r>
        <w:rPr>
          <w:rFonts w:ascii="Arial" w:cs="Arial" w:eastAsia="Arial" w:hAnsi="Arial"/>
          <w:sz w:val="19"/>
          <w:szCs w:val="19"/>
          <w:color w:val="auto"/>
        </w:rPr>
        <w:t>Richard Buchband, Senior Vice President,  General Counsel</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Agreed effective as of the 14 day of August, 2019.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Michelle Nettles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Michelle Nettles</w:t>
      </w: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880"/>
          </w:cols>
          <w:pgMar w:left="320" w:top="550" w:right="699" w:bottom="1440" w:gutter="0" w:footer="0" w:header="0"/>
        </w:sectPr>
      </w:pPr>
    </w:p>
    <w:bookmarkStart w:id="131" w:name="page132"/>
    <w:bookmarkEnd w:id="131"/>
    <w:p>
      <w:pPr>
        <w:ind w:left="10440"/>
        <w:spacing w:after="0"/>
        <w:rPr>
          <w:sz w:val="20"/>
          <w:szCs w:val="20"/>
          <w:color w:val="auto"/>
        </w:rPr>
      </w:pPr>
      <w:r>
        <w:rPr>
          <w:rFonts w:ascii="Arial" w:cs="Arial" w:eastAsia="Arial" w:hAnsi="Arial"/>
          <w:sz w:val="17"/>
          <w:szCs w:val="17"/>
          <w:b w:val="1"/>
          <w:bCs w:val="1"/>
          <w:color w:val="auto"/>
        </w:rPr>
        <w:t>Exhibit 21</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MANPOWERGROUP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Corporation Name</w:t>
            </w:r>
          </w:p>
        </w:tc>
        <w:tc>
          <w:tcPr>
            <w:tcW w:w="5880" w:type="dxa"/>
            <w:vAlign w:val="bottom"/>
          </w:tcPr>
          <w:p>
            <w:pPr>
              <w:ind w:left="2500"/>
              <w:spacing w:after="0"/>
              <w:rPr>
                <w:sz w:val="20"/>
                <w:szCs w:val="20"/>
                <w:color w:val="auto"/>
              </w:rPr>
            </w:pPr>
            <w:r>
              <w:rPr>
                <w:rFonts w:ascii="Arial" w:cs="Arial" w:eastAsia="Arial" w:hAnsi="Arial"/>
                <w:sz w:val="18"/>
                <w:szCs w:val="18"/>
                <w:color w:val="auto"/>
              </w:rPr>
              <w:t>Incorporated in State /Country of</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Benefits S.A.</w:t>
            </w:r>
          </w:p>
        </w:tc>
        <w:tc>
          <w:tcPr>
            <w:tcW w:w="5880" w:type="dxa"/>
            <w:vAlign w:val="bottom"/>
          </w:tcPr>
          <w:p>
            <w:pPr>
              <w:ind w:left="2500"/>
              <w:spacing w:after="0"/>
              <w:rPr>
                <w:sz w:val="20"/>
                <w:szCs w:val="20"/>
                <w:color w:val="auto"/>
              </w:rPr>
            </w:pPr>
            <w:r>
              <w:rPr>
                <w:rFonts w:ascii="Arial" w:cs="Arial" w:eastAsia="Arial" w:hAnsi="Arial"/>
                <w:sz w:val="18"/>
                <w:szCs w:val="18"/>
                <w:color w:val="auto"/>
              </w:rPr>
              <w:t>Argentina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Cotecsud Compania Technica Sudamericana S.A.S.E.</w:t>
            </w:r>
          </w:p>
        </w:tc>
        <w:tc>
          <w:tcPr>
            <w:tcW w:w="5880" w:type="dxa"/>
            <w:vAlign w:val="bottom"/>
          </w:tcPr>
          <w:p>
            <w:pPr>
              <w:ind w:left="2500"/>
              <w:spacing w:after="0"/>
              <w:rPr>
                <w:sz w:val="20"/>
                <w:szCs w:val="20"/>
                <w:color w:val="auto"/>
              </w:rPr>
            </w:pPr>
            <w:r>
              <w:rPr>
                <w:rFonts w:ascii="Arial" w:cs="Arial" w:eastAsia="Arial" w:hAnsi="Arial"/>
                <w:sz w:val="18"/>
                <w:szCs w:val="18"/>
                <w:color w:val="auto"/>
              </w:rPr>
              <w:t>Argentina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Right Management Argentina S.A.</w:t>
            </w:r>
          </w:p>
        </w:tc>
        <w:tc>
          <w:tcPr>
            <w:tcW w:w="5880" w:type="dxa"/>
            <w:vAlign w:val="bottom"/>
          </w:tcPr>
          <w:p>
            <w:pPr>
              <w:ind w:left="2500"/>
              <w:spacing w:after="0"/>
              <w:rPr>
                <w:sz w:val="20"/>
                <w:szCs w:val="20"/>
                <w:color w:val="auto"/>
              </w:rPr>
            </w:pPr>
            <w:r>
              <w:rPr>
                <w:rFonts w:ascii="Arial" w:cs="Arial" w:eastAsia="Arial" w:hAnsi="Arial"/>
                <w:sz w:val="18"/>
                <w:szCs w:val="18"/>
                <w:color w:val="auto"/>
              </w:rPr>
              <w:t>Argentina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Salespower S.A.</w:t>
            </w:r>
          </w:p>
        </w:tc>
        <w:tc>
          <w:tcPr>
            <w:tcW w:w="5880" w:type="dxa"/>
            <w:vAlign w:val="bottom"/>
          </w:tcPr>
          <w:p>
            <w:pPr>
              <w:ind w:left="2500"/>
              <w:spacing w:after="0"/>
              <w:rPr>
                <w:sz w:val="20"/>
                <w:szCs w:val="20"/>
                <w:color w:val="auto"/>
              </w:rPr>
            </w:pPr>
            <w:r>
              <w:rPr>
                <w:rFonts w:ascii="Arial" w:cs="Arial" w:eastAsia="Arial" w:hAnsi="Arial"/>
                <w:sz w:val="18"/>
                <w:szCs w:val="18"/>
                <w:color w:val="auto"/>
              </w:rPr>
              <w:t>Argentina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Greythorn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Services (Australia)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Marks Sattin (Australia) Pty Limited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Marks Sattin Holdings (AsiaPac) Pty Limited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Right Management Consultants (OC)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Right Management Consultants Holdings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Right Management Consultants Pty Ltd</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Australia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Experis Services GmbH</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ManpowerGroup GmbH</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ManpowerGroup Holding GmbH</w:t>
            </w:r>
          </w:p>
        </w:tc>
        <w:tc>
          <w:tcPr>
            <w:tcW w:w="5880" w:type="dxa"/>
            <w:vAlign w:val="bottom"/>
          </w:tcPr>
          <w:p>
            <w:pPr>
              <w:ind w:left="2500"/>
              <w:spacing w:after="0"/>
              <w:rPr>
                <w:sz w:val="20"/>
                <w:szCs w:val="20"/>
                <w:color w:val="auto"/>
              </w:rPr>
            </w:pPr>
            <w:r>
              <w:rPr>
                <w:rFonts w:ascii="Arial" w:cs="Arial" w:eastAsia="Arial" w:hAnsi="Arial"/>
                <w:sz w:val="18"/>
                <w:szCs w:val="18"/>
                <w:color w:val="auto"/>
              </w:rPr>
              <w:t>Austria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ManpowerGroup (Barbados) SRL</w:t>
            </w:r>
          </w:p>
        </w:tc>
        <w:tc>
          <w:tcPr>
            <w:tcW w:w="5880" w:type="dxa"/>
            <w:vAlign w:val="bottom"/>
          </w:tcPr>
          <w:p>
            <w:pPr>
              <w:ind w:left="2500"/>
              <w:spacing w:after="0"/>
              <w:rPr>
                <w:sz w:val="20"/>
                <w:szCs w:val="20"/>
                <w:color w:val="auto"/>
              </w:rPr>
            </w:pPr>
            <w:r>
              <w:rPr>
                <w:rFonts w:ascii="Arial" w:cs="Arial" w:eastAsia="Arial" w:hAnsi="Arial"/>
                <w:sz w:val="18"/>
                <w:szCs w:val="18"/>
                <w:color w:val="auto"/>
              </w:rPr>
              <w:t>Barbados</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Bel LLC</w:t>
            </w:r>
          </w:p>
        </w:tc>
        <w:tc>
          <w:tcPr>
            <w:tcW w:w="5880" w:type="dxa"/>
            <w:vAlign w:val="bottom"/>
          </w:tcPr>
          <w:p>
            <w:pPr>
              <w:ind w:left="2500"/>
              <w:spacing w:after="0"/>
              <w:rPr>
                <w:sz w:val="20"/>
                <w:szCs w:val="20"/>
                <w:color w:val="auto"/>
              </w:rPr>
            </w:pPr>
            <w:r>
              <w:rPr>
                <w:rFonts w:ascii="Arial" w:cs="Arial" w:eastAsia="Arial" w:hAnsi="Arial"/>
                <w:sz w:val="18"/>
                <w:szCs w:val="18"/>
                <w:color w:val="auto"/>
              </w:rPr>
              <w:t>Belarus</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Experis Belgium SA</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Personal Services NV</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ManpowerGroup Solutions Belgium SA</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Right Management Belgium NV</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S.A. Manpower (Belgium) N.V.</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Stegmann Belgium SA</w:t>
            </w:r>
          </w:p>
        </w:tc>
        <w:tc>
          <w:tcPr>
            <w:tcW w:w="5880" w:type="dxa"/>
            <w:vAlign w:val="bottom"/>
          </w:tcPr>
          <w:p>
            <w:pPr>
              <w:ind w:left="2500"/>
              <w:spacing w:after="0"/>
              <w:rPr>
                <w:sz w:val="20"/>
                <w:szCs w:val="20"/>
                <w:color w:val="auto"/>
              </w:rPr>
            </w:pPr>
            <w:r>
              <w:rPr>
                <w:rFonts w:ascii="Arial" w:cs="Arial" w:eastAsia="Arial" w:hAnsi="Arial"/>
                <w:sz w:val="18"/>
                <w:szCs w:val="18"/>
                <w:color w:val="auto"/>
              </w:rPr>
              <w:t>Belgium</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3"/>
              </w:rPr>
              <w:t>Anyhelp Brasil Assessoria E Servicos em Sistemas de Informacao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Brazil</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Brasil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Brazil</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Staffing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Brazil</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Right do Brasil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Brazil</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Inc. / California Peninsula</w:t>
            </w:r>
          </w:p>
        </w:tc>
        <w:tc>
          <w:tcPr>
            <w:tcW w:w="5880" w:type="dxa"/>
            <w:vAlign w:val="bottom"/>
          </w:tcPr>
          <w:p>
            <w:pPr>
              <w:ind w:left="2500"/>
              <w:spacing w:after="0"/>
              <w:rPr>
                <w:sz w:val="20"/>
                <w:szCs w:val="20"/>
                <w:color w:val="auto"/>
              </w:rPr>
            </w:pPr>
            <w:r>
              <w:rPr>
                <w:rFonts w:ascii="Arial" w:cs="Arial" w:eastAsia="Arial" w:hAnsi="Arial"/>
                <w:sz w:val="18"/>
                <w:szCs w:val="18"/>
                <w:color w:val="auto"/>
              </w:rPr>
              <w:t>CA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Services Canada Limited</w:t>
            </w:r>
          </w:p>
        </w:tc>
        <w:tc>
          <w:tcPr>
            <w:tcW w:w="5880" w:type="dxa"/>
            <w:vAlign w:val="bottom"/>
          </w:tcPr>
          <w:p>
            <w:pPr>
              <w:ind w:left="2500"/>
              <w:spacing w:after="0"/>
              <w:rPr>
                <w:sz w:val="20"/>
                <w:szCs w:val="20"/>
                <w:color w:val="auto"/>
              </w:rPr>
            </w:pPr>
            <w:r>
              <w:rPr>
                <w:rFonts w:ascii="Arial" w:cs="Arial" w:eastAsia="Arial" w:hAnsi="Arial"/>
                <w:sz w:val="18"/>
                <w:szCs w:val="18"/>
                <w:color w:val="auto"/>
              </w:rPr>
              <w:t>Canada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Right Management Canada</w:t>
            </w:r>
          </w:p>
        </w:tc>
        <w:tc>
          <w:tcPr>
            <w:tcW w:w="5880" w:type="dxa"/>
            <w:vAlign w:val="bottom"/>
          </w:tcPr>
          <w:p>
            <w:pPr>
              <w:ind w:left="2500"/>
              <w:spacing w:after="0"/>
              <w:rPr>
                <w:sz w:val="20"/>
                <w:szCs w:val="20"/>
                <w:color w:val="auto"/>
              </w:rPr>
            </w:pPr>
            <w:r>
              <w:rPr>
                <w:rFonts w:ascii="Arial" w:cs="Arial" w:eastAsia="Arial" w:hAnsi="Arial"/>
                <w:sz w:val="18"/>
                <w:szCs w:val="18"/>
                <w:color w:val="auto"/>
              </w:rPr>
              <w:t>Canada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Techno5, Inc.</w:t>
            </w:r>
          </w:p>
        </w:tc>
        <w:tc>
          <w:tcPr>
            <w:tcW w:w="5880" w:type="dxa"/>
            <w:vAlign w:val="bottom"/>
          </w:tcPr>
          <w:p>
            <w:pPr>
              <w:ind w:left="2500"/>
              <w:spacing w:after="0"/>
              <w:rPr>
                <w:sz w:val="20"/>
                <w:szCs w:val="20"/>
                <w:color w:val="auto"/>
              </w:rPr>
            </w:pPr>
            <w:r>
              <w:rPr>
                <w:rFonts w:ascii="Arial" w:cs="Arial" w:eastAsia="Arial" w:hAnsi="Arial"/>
                <w:sz w:val="18"/>
                <w:szCs w:val="18"/>
                <w:color w:val="auto"/>
              </w:rPr>
              <w:t>Canada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Veritaaq Technology House Inc.</w:t>
            </w:r>
          </w:p>
        </w:tc>
        <w:tc>
          <w:tcPr>
            <w:tcW w:w="5880" w:type="dxa"/>
            <w:vAlign w:val="bottom"/>
          </w:tcPr>
          <w:p>
            <w:pPr>
              <w:ind w:left="2500"/>
              <w:spacing w:after="0"/>
              <w:rPr>
                <w:sz w:val="20"/>
                <w:szCs w:val="20"/>
                <w:color w:val="auto"/>
              </w:rPr>
            </w:pPr>
            <w:r>
              <w:rPr>
                <w:rFonts w:ascii="Arial" w:cs="Arial" w:eastAsia="Arial" w:hAnsi="Arial"/>
                <w:sz w:val="18"/>
                <w:szCs w:val="18"/>
                <w:color w:val="auto"/>
              </w:rPr>
              <w:t>Canada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Servicios Integrales SpA</w:t>
            </w:r>
          </w:p>
        </w:tc>
        <w:tc>
          <w:tcPr>
            <w:tcW w:w="5880" w:type="dxa"/>
            <w:vAlign w:val="bottom"/>
          </w:tcPr>
          <w:p>
            <w:pPr>
              <w:ind w:left="2500"/>
              <w:spacing w:after="0"/>
              <w:rPr>
                <w:sz w:val="20"/>
                <w:szCs w:val="20"/>
                <w:color w:val="auto"/>
              </w:rPr>
            </w:pPr>
            <w:r>
              <w:rPr>
                <w:rFonts w:ascii="Arial" w:cs="Arial" w:eastAsia="Arial" w:hAnsi="Arial"/>
                <w:sz w:val="18"/>
                <w:szCs w:val="18"/>
                <w:color w:val="auto"/>
              </w:rPr>
              <w:t>Chile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Servicios Especializados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Chile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Empresa de Servicios Transitorios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Chile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de Colombia Ltda.</w:t>
            </w:r>
          </w:p>
        </w:tc>
        <w:tc>
          <w:tcPr>
            <w:tcW w:w="5880" w:type="dxa"/>
            <w:vAlign w:val="bottom"/>
          </w:tcPr>
          <w:p>
            <w:pPr>
              <w:ind w:left="2500"/>
              <w:spacing w:after="0"/>
              <w:rPr>
                <w:sz w:val="20"/>
                <w:szCs w:val="20"/>
                <w:color w:val="auto"/>
              </w:rPr>
            </w:pPr>
            <w:r>
              <w:rPr>
                <w:rFonts w:ascii="Arial" w:cs="Arial" w:eastAsia="Arial" w:hAnsi="Arial"/>
                <w:sz w:val="18"/>
                <w:szCs w:val="18"/>
                <w:color w:val="auto"/>
              </w:rPr>
              <w:t>Colombia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Professional Ltd.</w:t>
            </w:r>
          </w:p>
        </w:tc>
        <w:tc>
          <w:tcPr>
            <w:tcW w:w="5880" w:type="dxa"/>
            <w:vAlign w:val="bottom"/>
          </w:tcPr>
          <w:p>
            <w:pPr>
              <w:ind w:left="2500"/>
              <w:spacing w:after="0"/>
              <w:rPr>
                <w:sz w:val="20"/>
                <w:szCs w:val="20"/>
                <w:color w:val="auto"/>
              </w:rPr>
            </w:pPr>
            <w:r>
              <w:rPr>
                <w:rFonts w:ascii="Arial" w:cs="Arial" w:eastAsia="Arial" w:hAnsi="Arial"/>
                <w:sz w:val="18"/>
                <w:szCs w:val="18"/>
                <w:color w:val="auto"/>
              </w:rPr>
              <w:t>Colombia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Tahuma SAS</w:t>
            </w:r>
          </w:p>
        </w:tc>
        <w:tc>
          <w:tcPr>
            <w:tcW w:w="5880" w:type="dxa"/>
            <w:vAlign w:val="bottom"/>
          </w:tcPr>
          <w:p>
            <w:pPr>
              <w:ind w:left="2500"/>
              <w:spacing w:after="0"/>
              <w:rPr>
                <w:sz w:val="20"/>
                <w:szCs w:val="20"/>
                <w:color w:val="auto"/>
              </w:rPr>
            </w:pPr>
            <w:r>
              <w:rPr>
                <w:rFonts w:ascii="Arial" w:cs="Arial" w:eastAsia="Arial" w:hAnsi="Arial"/>
                <w:sz w:val="18"/>
                <w:szCs w:val="18"/>
                <w:color w:val="auto"/>
              </w:rPr>
              <w:t>Colombia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Costa Rica, S.A.</w:t>
            </w:r>
          </w:p>
        </w:tc>
        <w:tc>
          <w:tcPr>
            <w:tcW w:w="5880" w:type="dxa"/>
            <w:vAlign w:val="bottom"/>
          </w:tcPr>
          <w:p>
            <w:pPr>
              <w:ind w:left="2500"/>
              <w:spacing w:after="0"/>
              <w:rPr>
                <w:sz w:val="20"/>
                <w:szCs w:val="20"/>
                <w:color w:val="auto"/>
              </w:rPr>
            </w:pPr>
            <w:r>
              <w:rPr>
                <w:rFonts w:ascii="Arial" w:cs="Arial" w:eastAsia="Arial" w:hAnsi="Arial"/>
                <w:sz w:val="18"/>
                <w:szCs w:val="18"/>
                <w:color w:val="auto"/>
              </w:rPr>
              <w:t>Costa Rica</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Professional Costa Rica, S.A.</w:t>
            </w:r>
          </w:p>
        </w:tc>
        <w:tc>
          <w:tcPr>
            <w:tcW w:w="5880" w:type="dxa"/>
            <w:vAlign w:val="bottom"/>
          </w:tcPr>
          <w:p>
            <w:pPr>
              <w:ind w:left="2500"/>
              <w:spacing w:after="0"/>
              <w:rPr>
                <w:sz w:val="20"/>
                <w:szCs w:val="20"/>
                <w:color w:val="auto"/>
              </w:rPr>
            </w:pPr>
            <w:r>
              <w:rPr>
                <w:rFonts w:ascii="Arial" w:cs="Arial" w:eastAsia="Arial" w:hAnsi="Arial"/>
                <w:sz w:val="18"/>
                <w:szCs w:val="18"/>
                <w:color w:val="auto"/>
              </w:rPr>
              <w:t>Costa Rica</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ManpowerGroup s.r.o.</w:t>
            </w:r>
          </w:p>
        </w:tc>
        <w:tc>
          <w:tcPr>
            <w:tcW w:w="5880" w:type="dxa"/>
            <w:vAlign w:val="bottom"/>
          </w:tcPr>
          <w:p>
            <w:pPr>
              <w:ind w:left="2500"/>
              <w:spacing w:after="0"/>
              <w:rPr>
                <w:sz w:val="20"/>
                <w:szCs w:val="20"/>
                <w:color w:val="auto"/>
              </w:rPr>
            </w:pPr>
            <w:r>
              <w:rPr>
                <w:rFonts w:ascii="Arial" w:cs="Arial" w:eastAsia="Arial" w:hAnsi="Arial"/>
                <w:sz w:val="18"/>
                <w:szCs w:val="18"/>
                <w:color w:val="auto"/>
              </w:rPr>
              <w:t>Czech Republic</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Workforce Solutions s.r.o.</w:t>
            </w:r>
          </w:p>
        </w:tc>
        <w:tc>
          <w:tcPr>
            <w:tcW w:w="5880" w:type="dxa"/>
            <w:vAlign w:val="bottom"/>
          </w:tcPr>
          <w:p>
            <w:pPr>
              <w:ind w:left="2500"/>
              <w:spacing w:after="0"/>
              <w:rPr>
                <w:sz w:val="20"/>
                <w:szCs w:val="20"/>
                <w:color w:val="auto"/>
              </w:rPr>
            </w:pPr>
            <w:r>
              <w:rPr>
                <w:rFonts w:ascii="Arial" w:cs="Arial" w:eastAsia="Arial" w:hAnsi="Arial"/>
                <w:sz w:val="18"/>
                <w:szCs w:val="18"/>
                <w:color w:val="auto"/>
              </w:rPr>
              <w:t>Czech Republic</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CareerHarmony, Inc.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COMSYS Information Technology Services,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Experis IT Services US,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Econometrix,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Experis Finance US,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CIS Inc.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Franchises,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ManpowerGroup US Holdings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Manpower Holdings, Inc.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Manpower NZ Holdings LLC</w:t>
            </w:r>
          </w:p>
        </w:tc>
        <w:tc>
          <w:tcPr>
            <w:tcW w:w="5880" w:type="dxa"/>
            <w:vAlign w:val="bottom"/>
          </w:tcPr>
          <w:p>
            <w:pPr>
              <w:ind w:left="2500"/>
              <w:spacing w:after="0"/>
              <w:rPr>
                <w:sz w:val="20"/>
                <w:szCs w:val="20"/>
                <w:color w:val="auto"/>
              </w:rPr>
            </w:pPr>
            <w:r>
              <w:rPr>
                <w:rFonts w:ascii="Arial" w:cs="Arial" w:eastAsia="Arial" w:hAnsi="Arial"/>
                <w:sz w:val="18"/>
                <w:szCs w:val="18"/>
                <w:color w:val="auto"/>
              </w:rPr>
              <w:t>DE</w:t>
            </w:r>
          </w:p>
        </w:tc>
      </w:tr>
      <w:tr>
        <w:trPr>
          <w:trHeight w:val="432"/>
        </w:trPr>
        <w:tc>
          <w:tcPr>
            <w:tcW w:w="538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1</w:t>
            </w:r>
          </w:p>
        </w:tc>
      </w:tr>
      <w:tr>
        <w:trPr>
          <w:trHeight w:val="115"/>
        </w:trPr>
        <w:tc>
          <w:tcPr>
            <w:tcW w:w="538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US Inc.</w:t>
            </w:r>
          </w:p>
        </w:tc>
        <w:tc>
          <w:tcPr>
            <w:tcW w:w="638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Right License Holding, Inc.</w:t>
            </w:r>
          </w:p>
        </w:tc>
        <w:tc>
          <w:tcPr>
            <w:tcW w:w="638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TAPFIN LLC</w:t>
            </w:r>
          </w:p>
        </w:tc>
        <w:tc>
          <w:tcPr>
            <w:tcW w:w="638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Experis A/S</w:t>
            </w:r>
          </w:p>
        </w:tc>
        <w:tc>
          <w:tcPr>
            <w:tcW w:w="6380" w:type="dxa"/>
            <w:vAlign w:val="bottom"/>
          </w:tcPr>
          <w:p>
            <w:pPr>
              <w:ind w:left="3000"/>
              <w:spacing w:after="0"/>
              <w:rPr>
                <w:sz w:val="20"/>
                <w:szCs w:val="20"/>
                <w:color w:val="auto"/>
              </w:rPr>
            </w:pPr>
            <w:r>
              <w:rPr>
                <w:rFonts w:ascii="Arial" w:cs="Arial" w:eastAsia="Arial" w:hAnsi="Arial"/>
                <w:sz w:val="18"/>
                <w:szCs w:val="18"/>
                <w:color w:val="auto"/>
              </w:rPr>
              <w:t>Denmark</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Republica Dominicana, S.A.</w:t>
            </w:r>
          </w:p>
        </w:tc>
        <w:tc>
          <w:tcPr>
            <w:tcW w:w="6380" w:type="dxa"/>
            <w:vAlign w:val="bottom"/>
          </w:tcPr>
          <w:p>
            <w:pPr>
              <w:ind w:left="3000"/>
              <w:spacing w:after="0"/>
              <w:rPr>
                <w:sz w:val="20"/>
                <w:szCs w:val="20"/>
                <w:color w:val="auto"/>
              </w:rPr>
            </w:pPr>
            <w:r>
              <w:rPr>
                <w:rFonts w:ascii="Arial" w:cs="Arial" w:eastAsia="Arial" w:hAnsi="Arial"/>
                <w:sz w:val="18"/>
                <w:szCs w:val="18"/>
                <w:color w:val="auto"/>
              </w:rPr>
              <w:t>Dominican Republic</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El Salvador, S.A. de C.V.</w:t>
            </w:r>
          </w:p>
        </w:tc>
        <w:tc>
          <w:tcPr>
            <w:tcW w:w="6380" w:type="dxa"/>
            <w:vAlign w:val="bottom"/>
          </w:tcPr>
          <w:p>
            <w:pPr>
              <w:ind w:left="3000"/>
              <w:spacing w:after="0"/>
              <w:rPr>
                <w:sz w:val="20"/>
                <w:szCs w:val="20"/>
                <w:color w:val="auto"/>
              </w:rPr>
            </w:pPr>
            <w:r>
              <w:rPr>
                <w:rFonts w:ascii="Arial" w:cs="Arial" w:eastAsia="Arial" w:hAnsi="Arial"/>
                <w:sz w:val="18"/>
                <w:szCs w:val="18"/>
                <w:color w:val="auto"/>
              </w:rPr>
              <w:t>El Salvador</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OÜ</w:t>
            </w:r>
          </w:p>
        </w:tc>
        <w:tc>
          <w:tcPr>
            <w:tcW w:w="6380" w:type="dxa"/>
            <w:vAlign w:val="bottom"/>
          </w:tcPr>
          <w:p>
            <w:pPr>
              <w:ind w:left="3000"/>
              <w:spacing w:after="0"/>
              <w:rPr>
                <w:sz w:val="20"/>
                <w:szCs w:val="20"/>
                <w:color w:val="auto"/>
              </w:rPr>
            </w:pPr>
            <w:r>
              <w:rPr>
                <w:rFonts w:ascii="Arial" w:cs="Arial" w:eastAsia="Arial" w:hAnsi="Arial"/>
                <w:sz w:val="18"/>
                <w:szCs w:val="18"/>
                <w:color w:val="auto"/>
              </w:rPr>
              <w:t>Estonia</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Inclusive Oy</w:t>
            </w:r>
          </w:p>
        </w:tc>
        <w:tc>
          <w:tcPr>
            <w:tcW w:w="6380" w:type="dxa"/>
            <w:vAlign w:val="bottom"/>
          </w:tcPr>
          <w:p>
            <w:pPr>
              <w:ind w:left="3000"/>
              <w:spacing w:after="0"/>
              <w:rPr>
                <w:sz w:val="20"/>
                <w:szCs w:val="20"/>
                <w:color w:val="auto"/>
              </w:rPr>
            </w:pPr>
            <w:r>
              <w:rPr>
                <w:rFonts w:ascii="Arial" w:cs="Arial" w:eastAsia="Arial" w:hAnsi="Arial"/>
                <w:sz w:val="18"/>
                <w:szCs w:val="18"/>
                <w:color w:val="auto"/>
              </w:rPr>
              <w:t>Finland</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ManpowerGroup OY</w:t>
            </w:r>
          </w:p>
        </w:tc>
        <w:tc>
          <w:tcPr>
            <w:tcW w:w="6380" w:type="dxa"/>
            <w:vAlign w:val="bottom"/>
          </w:tcPr>
          <w:p>
            <w:pPr>
              <w:ind w:left="3000"/>
              <w:spacing w:after="0"/>
              <w:rPr>
                <w:sz w:val="20"/>
                <w:szCs w:val="20"/>
                <w:color w:val="auto"/>
              </w:rPr>
            </w:pPr>
            <w:r>
              <w:rPr>
                <w:rFonts w:ascii="Arial" w:cs="Arial" w:eastAsia="Arial" w:hAnsi="Arial"/>
                <w:sz w:val="18"/>
                <w:szCs w:val="18"/>
                <w:color w:val="auto"/>
              </w:rPr>
              <w:t>Finland</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Solutions OY</w:t>
            </w:r>
          </w:p>
        </w:tc>
        <w:tc>
          <w:tcPr>
            <w:tcW w:w="6380" w:type="dxa"/>
            <w:vAlign w:val="bottom"/>
          </w:tcPr>
          <w:p>
            <w:pPr>
              <w:ind w:left="3000"/>
              <w:spacing w:after="0"/>
              <w:rPr>
                <w:sz w:val="20"/>
                <w:szCs w:val="20"/>
                <w:color w:val="auto"/>
              </w:rPr>
            </w:pPr>
            <w:r>
              <w:rPr>
                <w:rFonts w:ascii="Arial" w:cs="Arial" w:eastAsia="Arial" w:hAnsi="Arial"/>
                <w:sz w:val="18"/>
                <w:szCs w:val="18"/>
                <w:color w:val="auto"/>
              </w:rPr>
              <w:t>Finland</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Experis Executive France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Experis France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Experis Management de Transition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FuturSkill IT</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France Holding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France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ManpowerGroup France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Solutions Enterprise</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Nouvelles Competences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ManpowerGroup Solutions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Peevee</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Right Management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Supplay SAS</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Tapfin Sarl</w:t>
            </w:r>
          </w:p>
        </w:tc>
        <w:tc>
          <w:tcPr>
            <w:tcW w:w="6380" w:type="dxa"/>
            <w:vAlign w:val="bottom"/>
          </w:tcPr>
          <w:p>
            <w:pPr>
              <w:ind w:left="3000"/>
              <w:spacing w:after="0"/>
              <w:rPr>
                <w:sz w:val="20"/>
                <w:szCs w:val="20"/>
                <w:color w:val="auto"/>
              </w:rPr>
            </w:pPr>
            <w:r>
              <w:rPr>
                <w:rFonts w:ascii="Arial" w:cs="Arial" w:eastAsia="Arial" w:hAnsi="Arial"/>
                <w:sz w:val="18"/>
                <w:szCs w:val="18"/>
                <w:color w:val="auto"/>
              </w:rPr>
              <w:t>France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7S Group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Arcqus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Arcqus Professionals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AviationPower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AviationPower Technical Services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Aviation Staff Management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Bankpower GmbH Personaldienstleistungen</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Experis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Experis Field Services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Experis IT Services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Experis Verwaltungs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Jefferson Wells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K&amp;K HR-Services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Beteiligungsgesellschaft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Deutschland Verwaltungs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Financial Services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Deutschland GmbH &amp; Co. KG</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Solutions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GmbH &amp; Co. KG</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Right Management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Splu Experts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Stegmann Personaldienstleistung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StegPlus Personal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VIS GmbH</w:t>
            </w:r>
          </w:p>
        </w:tc>
        <w:tc>
          <w:tcPr>
            <w:tcW w:w="6380" w:type="dxa"/>
            <w:vAlign w:val="bottom"/>
          </w:tcPr>
          <w:p>
            <w:pPr>
              <w:ind w:left="3000"/>
              <w:spacing w:after="0"/>
              <w:rPr>
                <w:sz w:val="20"/>
                <w:szCs w:val="20"/>
                <w:color w:val="auto"/>
              </w:rPr>
            </w:pPr>
            <w:r>
              <w:rPr>
                <w:rFonts w:ascii="Arial" w:cs="Arial" w:eastAsia="Arial" w:hAnsi="Arial"/>
                <w:sz w:val="18"/>
                <w:szCs w:val="18"/>
                <w:color w:val="auto"/>
              </w:rPr>
              <w:t>Germany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S.A.</w:t>
            </w:r>
          </w:p>
        </w:tc>
        <w:tc>
          <w:tcPr>
            <w:tcW w:w="6380" w:type="dxa"/>
            <w:vAlign w:val="bottom"/>
          </w:tcPr>
          <w:p>
            <w:pPr>
              <w:ind w:left="3000"/>
              <w:spacing w:after="0"/>
              <w:rPr>
                <w:sz w:val="20"/>
                <w:szCs w:val="20"/>
                <w:color w:val="auto"/>
              </w:rPr>
            </w:pPr>
            <w:r>
              <w:rPr>
                <w:rFonts w:ascii="Arial" w:cs="Arial" w:eastAsia="Arial" w:hAnsi="Arial"/>
                <w:sz w:val="18"/>
                <w:szCs w:val="18"/>
                <w:color w:val="auto"/>
              </w:rPr>
              <w:t>Greece</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Project Solutions S.A.</w:t>
            </w:r>
          </w:p>
        </w:tc>
        <w:tc>
          <w:tcPr>
            <w:tcW w:w="6380" w:type="dxa"/>
            <w:vAlign w:val="bottom"/>
          </w:tcPr>
          <w:p>
            <w:pPr>
              <w:ind w:left="3000"/>
              <w:spacing w:after="0"/>
              <w:rPr>
                <w:sz w:val="20"/>
                <w:szCs w:val="20"/>
                <w:color w:val="auto"/>
              </w:rPr>
            </w:pPr>
            <w:r>
              <w:rPr>
                <w:rFonts w:ascii="Arial" w:cs="Arial" w:eastAsia="Arial" w:hAnsi="Arial"/>
                <w:sz w:val="18"/>
                <w:szCs w:val="18"/>
                <w:color w:val="auto"/>
              </w:rPr>
              <w:t>Greece</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Guatemala S.A.</w:t>
            </w:r>
          </w:p>
        </w:tc>
        <w:tc>
          <w:tcPr>
            <w:tcW w:w="6380" w:type="dxa"/>
            <w:vAlign w:val="bottom"/>
          </w:tcPr>
          <w:p>
            <w:pPr>
              <w:ind w:left="3000"/>
              <w:spacing w:after="0"/>
              <w:rPr>
                <w:sz w:val="20"/>
                <w:szCs w:val="20"/>
                <w:color w:val="auto"/>
              </w:rPr>
            </w:pPr>
            <w:r>
              <w:rPr>
                <w:rFonts w:ascii="Arial" w:cs="Arial" w:eastAsia="Arial" w:hAnsi="Arial"/>
                <w:sz w:val="18"/>
                <w:szCs w:val="18"/>
                <w:color w:val="auto"/>
              </w:rPr>
              <w:t>Guatemala</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Manpower Professional Guatemala S.A.</w:t>
            </w:r>
          </w:p>
        </w:tc>
        <w:tc>
          <w:tcPr>
            <w:tcW w:w="6380" w:type="dxa"/>
            <w:vAlign w:val="bottom"/>
          </w:tcPr>
          <w:p>
            <w:pPr>
              <w:ind w:left="3000"/>
              <w:spacing w:after="0"/>
              <w:rPr>
                <w:sz w:val="20"/>
                <w:szCs w:val="20"/>
                <w:color w:val="auto"/>
              </w:rPr>
            </w:pPr>
            <w:r>
              <w:rPr>
                <w:rFonts w:ascii="Arial" w:cs="Arial" w:eastAsia="Arial" w:hAnsi="Arial"/>
                <w:sz w:val="18"/>
                <w:szCs w:val="18"/>
                <w:color w:val="auto"/>
              </w:rPr>
              <w:t>Guatemala</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Honduras, S.A.</w:t>
            </w:r>
          </w:p>
        </w:tc>
        <w:tc>
          <w:tcPr>
            <w:tcW w:w="6380" w:type="dxa"/>
            <w:vAlign w:val="bottom"/>
          </w:tcPr>
          <w:p>
            <w:pPr>
              <w:ind w:left="3000"/>
              <w:spacing w:after="0"/>
              <w:rPr>
                <w:sz w:val="20"/>
                <w:szCs w:val="20"/>
                <w:color w:val="auto"/>
              </w:rPr>
            </w:pPr>
            <w:r>
              <w:rPr>
                <w:rFonts w:ascii="Arial" w:cs="Arial" w:eastAsia="Arial" w:hAnsi="Arial"/>
                <w:sz w:val="18"/>
                <w:szCs w:val="18"/>
                <w:color w:val="auto"/>
              </w:rPr>
              <w:t>Honduras</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Jefferson Wells HK Limited</w:t>
            </w:r>
          </w:p>
        </w:tc>
        <w:tc>
          <w:tcPr>
            <w:tcW w:w="6380" w:type="dxa"/>
            <w:vAlign w:val="bottom"/>
          </w:tcPr>
          <w:p>
            <w:pPr>
              <w:ind w:left="3000"/>
              <w:spacing w:after="0"/>
              <w:rPr>
                <w:sz w:val="20"/>
                <w:szCs w:val="20"/>
                <w:color w:val="auto"/>
              </w:rPr>
            </w:pPr>
            <w:r>
              <w:rPr>
                <w:rFonts w:ascii="Arial" w:cs="Arial" w:eastAsia="Arial" w:hAnsi="Arial"/>
                <w:sz w:val="18"/>
                <w:szCs w:val="18"/>
                <w:color w:val="auto"/>
              </w:rPr>
              <w:t>Hong Kong</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ManpowerGroup Solutions Holdings Hong Kong Limited</w:t>
            </w:r>
          </w:p>
        </w:tc>
        <w:tc>
          <w:tcPr>
            <w:tcW w:w="6380" w:type="dxa"/>
            <w:vAlign w:val="bottom"/>
          </w:tcPr>
          <w:p>
            <w:pPr>
              <w:ind w:left="3000"/>
              <w:spacing w:after="0"/>
              <w:rPr>
                <w:sz w:val="20"/>
                <w:szCs w:val="20"/>
                <w:color w:val="auto"/>
              </w:rPr>
            </w:pPr>
            <w:r>
              <w:rPr>
                <w:rFonts w:ascii="Arial" w:cs="Arial" w:eastAsia="Arial" w:hAnsi="Arial"/>
                <w:sz w:val="18"/>
                <w:szCs w:val="18"/>
                <w:color w:val="auto"/>
              </w:rPr>
              <w:t>Hong Kong</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Right Management Hong Kong Ltd.</w:t>
            </w:r>
          </w:p>
        </w:tc>
        <w:tc>
          <w:tcPr>
            <w:tcW w:w="6380" w:type="dxa"/>
            <w:vAlign w:val="bottom"/>
          </w:tcPr>
          <w:p>
            <w:pPr>
              <w:ind w:left="3000"/>
              <w:spacing w:after="0"/>
              <w:rPr>
                <w:sz w:val="20"/>
                <w:szCs w:val="20"/>
                <w:color w:val="auto"/>
              </w:rPr>
            </w:pPr>
            <w:r>
              <w:rPr>
                <w:rFonts w:ascii="Arial" w:cs="Arial" w:eastAsia="Arial" w:hAnsi="Arial"/>
                <w:sz w:val="18"/>
                <w:szCs w:val="18"/>
                <w:color w:val="auto"/>
              </w:rPr>
              <w:t>Hong Kong</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Business Solutions Kft</w:t>
            </w:r>
          </w:p>
        </w:tc>
        <w:tc>
          <w:tcPr>
            <w:tcW w:w="6380" w:type="dxa"/>
            <w:vAlign w:val="bottom"/>
          </w:tcPr>
          <w:p>
            <w:pPr>
              <w:ind w:left="3000"/>
              <w:spacing w:after="0"/>
              <w:rPr>
                <w:sz w:val="20"/>
                <w:szCs w:val="20"/>
                <w:color w:val="auto"/>
              </w:rPr>
            </w:pPr>
            <w:r>
              <w:rPr>
                <w:rFonts w:ascii="Arial" w:cs="Arial" w:eastAsia="Arial" w:hAnsi="Arial"/>
                <w:sz w:val="18"/>
                <w:szCs w:val="18"/>
                <w:color w:val="auto"/>
              </w:rPr>
              <w:t>Hungary</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Manpower Munkaero Szervezesi KFT</w:t>
            </w:r>
          </w:p>
        </w:tc>
        <w:tc>
          <w:tcPr>
            <w:tcW w:w="6380" w:type="dxa"/>
            <w:vAlign w:val="bottom"/>
          </w:tcPr>
          <w:p>
            <w:pPr>
              <w:ind w:left="3000"/>
              <w:spacing w:after="0"/>
              <w:rPr>
                <w:sz w:val="20"/>
                <w:szCs w:val="20"/>
                <w:color w:val="auto"/>
              </w:rPr>
            </w:pPr>
            <w:r>
              <w:rPr>
                <w:rFonts w:ascii="Arial" w:cs="Arial" w:eastAsia="Arial" w:hAnsi="Arial"/>
                <w:sz w:val="18"/>
                <w:szCs w:val="18"/>
                <w:color w:val="auto"/>
              </w:rPr>
              <w:t>Hungary</w:t>
            </w:r>
          </w:p>
        </w:tc>
      </w:tr>
      <w:tr>
        <w:trPr>
          <w:trHeight w:val="432"/>
        </w:trPr>
        <w:tc>
          <w:tcPr>
            <w:tcW w:w="4880" w:type="dxa"/>
            <w:vAlign w:val="bottom"/>
          </w:tcPr>
          <w:p>
            <w:pPr>
              <w:spacing w:after="0"/>
              <w:rPr>
                <w:sz w:val="24"/>
                <w:szCs w:val="24"/>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2</w:t>
            </w:r>
          </w:p>
        </w:tc>
      </w:tr>
      <w:tr>
        <w:trPr>
          <w:trHeight w:val="115"/>
        </w:trPr>
        <w:tc>
          <w:tcPr>
            <w:tcW w:w="488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RMC OF Illinois, Inc.</w:t>
            </w:r>
          </w:p>
        </w:tc>
        <w:tc>
          <w:tcPr>
            <w:tcW w:w="6420" w:type="dxa"/>
            <w:vAlign w:val="bottom"/>
          </w:tcPr>
          <w:p>
            <w:pPr>
              <w:ind w:left="3040"/>
              <w:spacing w:after="0"/>
              <w:rPr>
                <w:sz w:val="20"/>
                <w:szCs w:val="20"/>
                <w:color w:val="auto"/>
              </w:rPr>
            </w:pPr>
            <w:r>
              <w:rPr>
                <w:rFonts w:ascii="Arial" w:cs="Arial" w:eastAsia="Arial" w:hAnsi="Arial"/>
                <w:sz w:val="18"/>
                <w:szCs w:val="18"/>
                <w:color w:val="auto"/>
              </w:rPr>
              <w:t>IL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COMSYS IT India, Inc.</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IT Private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Solutions Pvt.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ManpowerGroup Services India Pvt.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Right Management India Pvt.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Rotostat Services Private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India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P.T. Manpower Business Solutions Indonesia</w:t>
            </w:r>
          </w:p>
        </w:tc>
        <w:tc>
          <w:tcPr>
            <w:tcW w:w="6420" w:type="dxa"/>
            <w:vAlign w:val="bottom"/>
          </w:tcPr>
          <w:p>
            <w:pPr>
              <w:ind w:left="3040"/>
              <w:spacing w:after="0"/>
              <w:rPr>
                <w:sz w:val="20"/>
                <w:szCs w:val="20"/>
                <w:color w:val="auto"/>
              </w:rPr>
            </w:pPr>
            <w:r>
              <w:rPr>
                <w:rFonts w:ascii="Arial" w:cs="Arial" w:eastAsia="Arial" w:hAnsi="Arial"/>
                <w:sz w:val="18"/>
                <w:szCs w:val="18"/>
                <w:color w:val="auto"/>
              </w:rPr>
              <w:t>Indonesia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Ireland</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ManpowerGroup (Ireland)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Ireland</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Holdings (Ireland)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Ireland</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Right Transition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Ireland</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Adam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Adi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Career Harmony,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BI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Cyber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Experis I.T.S.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Software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M.F.S. Manpower Facility Services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M.G.S.M. Advanced Medical Services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Care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ManpowerGroup Israel Holdings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Israel Limited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ManpowerGroup Solutions Language Services</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MNPM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Nativ 2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Talent Solutions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Telepower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Unison Engineering Projects Ltd.</w:t>
            </w:r>
          </w:p>
        </w:tc>
        <w:tc>
          <w:tcPr>
            <w:tcW w:w="6420" w:type="dxa"/>
            <w:vAlign w:val="bottom"/>
          </w:tcPr>
          <w:p>
            <w:pPr>
              <w:ind w:left="3040"/>
              <w:spacing w:after="0"/>
              <w:rPr>
                <w:sz w:val="20"/>
                <w:szCs w:val="20"/>
                <w:color w:val="auto"/>
              </w:rPr>
            </w:pPr>
            <w:r>
              <w:rPr>
                <w:rFonts w:ascii="Arial" w:cs="Arial" w:eastAsia="Arial" w:hAnsi="Arial"/>
                <w:sz w:val="18"/>
                <w:szCs w:val="18"/>
                <w:color w:val="auto"/>
              </w:rPr>
              <w:t>Israel</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Experis Srl</w:t>
            </w:r>
          </w:p>
        </w:tc>
        <w:tc>
          <w:tcPr>
            <w:tcW w:w="6420" w:type="dxa"/>
            <w:vAlign w:val="bottom"/>
          </w:tcPr>
          <w:p>
            <w:pPr>
              <w:ind w:left="3040"/>
              <w:spacing w:after="0"/>
              <w:rPr>
                <w:sz w:val="20"/>
                <w:szCs w:val="20"/>
                <w:color w:val="auto"/>
              </w:rPr>
            </w:pPr>
            <w:r>
              <w:rPr>
                <w:rFonts w:ascii="Arial" w:cs="Arial" w:eastAsia="Arial" w:hAnsi="Arial"/>
                <w:sz w:val="18"/>
                <w:szCs w:val="18"/>
                <w:color w:val="auto"/>
              </w:rPr>
              <w:t>Italy</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TBO S.r.l.</w:t>
            </w:r>
          </w:p>
        </w:tc>
        <w:tc>
          <w:tcPr>
            <w:tcW w:w="6420" w:type="dxa"/>
            <w:vAlign w:val="bottom"/>
          </w:tcPr>
          <w:p>
            <w:pPr>
              <w:ind w:left="3040"/>
              <w:spacing w:after="0"/>
              <w:rPr>
                <w:sz w:val="20"/>
                <w:szCs w:val="20"/>
                <w:color w:val="auto"/>
              </w:rPr>
            </w:pPr>
            <w:r>
              <w:rPr>
                <w:rFonts w:ascii="Arial" w:cs="Arial" w:eastAsia="Arial" w:hAnsi="Arial"/>
                <w:sz w:val="18"/>
                <w:szCs w:val="18"/>
                <w:color w:val="auto"/>
              </w:rPr>
              <w:t>Italy</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Srl</w:t>
            </w:r>
          </w:p>
        </w:tc>
        <w:tc>
          <w:tcPr>
            <w:tcW w:w="6420" w:type="dxa"/>
            <w:vAlign w:val="bottom"/>
          </w:tcPr>
          <w:p>
            <w:pPr>
              <w:ind w:left="3040"/>
              <w:spacing w:after="0"/>
              <w:rPr>
                <w:sz w:val="20"/>
                <w:szCs w:val="20"/>
                <w:color w:val="auto"/>
              </w:rPr>
            </w:pPr>
            <w:r>
              <w:rPr>
                <w:rFonts w:ascii="Arial" w:cs="Arial" w:eastAsia="Arial" w:hAnsi="Arial"/>
                <w:sz w:val="18"/>
                <w:szCs w:val="18"/>
                <w:color w:val="auto"/>
              </w:rPr>
              <w:t>Italy</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Talent Solutions s.r.l.</w:t>
            </w:r>
          </w:p>
        </w:tc>
        <w:tc>
          <w:tcPr>
            <w:tcW w:w="6420" w:type="dxa"/>
            <w:vAlign w:val="bottom"/>
          </w:tcPr>
          <w:p>
            <w:pPr>
              <w:ind w:left="3040"/>
              <w:spacing w:after="0"/>
              <w:rPr>
                <w:sz w:val="20"/>
                <w:szCs w:val="20"/>
                <w:color w:val="auto"/>
              </w:rPr>
            </w:pPr>
            <w:r>
              <w:rPr>
                <w:rFonts w:ascii="Arial" w:cs="Arial" w:eastAsia="Arial" w:hAnsi="Arial"/>
                <w:sz w:val="18"/>
                <w:szCs w:val="18"/>
                <w:color w:val="auto"/>
              </w:rPr>
              <w:t>Italy</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Executive Co. Ltd.</w:t>
            </w:r>
          </w:p>
        </w:tc>
        <w:tc>
          <w:tcPr>
            <w:tcW w:w="6420" w:type="dxa"/>
            <w:vAlign w:val="bottom"/>
          </w:tcPr>
          <w:p>
            <w:pPr>
              <w:ind w:left="3040"/>
              <w:spacing w:after="0"/>
              <w:rPr>
                <w:sz w:val="20"/>
                <w:szCs w:val="20"/>
                <w:color w:val="auto"/>
              </w:rPr>
            </w:pPr>
            <w:r>
              <w:rPr>
                <w:rFonts w:ascii="Arial" w:cs="Arial" w:eastAsia="Arial" w:hAnsi="Arial"/>
                <w:sz w:val="18"/>
                <w:szCs w:val="18"/>
                <w:color w:val="auto"/>
              </w:rPr>
              <w:t>Japan</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JobSupportpower Co. Ltd.</w:t>
            </w:r>
          </w:p>
        </w:tc>
        <w:tc>
          <w:tcPr>
            <w:tcW w:w="6420" w:type="dxa"/>
            <w:vAlign w:val="bottom"/>
          </w:tcPr>
          <w:p>
            <w:pPr>
              <w:ind w:left="3040"/>
              <w:spacing w:after="0"/>
              <w:rPr>
                <w:sz w:val="20"/>
                <w:szCs w:val="20"/>
                <w:color w:val="auto"/>
              </w:rPr>
            </w:pPr>
            <w:r>
              <w:rPr>
                <w:rFonts w:ascii="Arial" w:cs="Arial" w:eastAsia="Arial" w:hAnsi="Arial"/>
                <w:sz w:val="18"/>
                <w:szCs w:val="18"/>
                <w:color w:val="auto"/>
              </w:rPr>
              <w:t>Japan</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ManpowerGroup Co. Ltd.</w:t>
            </w:r>
          </w:p>
        </w:tc>
        <w:tc>
          <w:tcPr>
            <w:tcW w:w="6420" w:type="dxa"/>
            <w:vAlign w:val="bottom"/>
          </w:tcPr>
          <w:p>
            <w:pPr>
              <w:ind w:left="3040"/>
              <w:spacing w:after="0"/>
              <w:rPr>
                <w:sz w:val="20"/>
                <w:szCs w:val="20"/>
                <w:color w:val="auto"/>
              </w:rPr>
            </w:pPr>
            <w:r>
              <w:rPr>
                <w:rFonts w:ascii="Arial" w:cs="Arial" w:eastAsia="Arial" w:hAnsi="Arial"/>
                <w:sz w:val="18"/>
                <w:szCs w:val="18"/>
                <w:color w:val="auto"/>
              </w:rPr>
              <w:t>Japan</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Pro-Hunt Co., Ltd.</w:t>
            </w:r>
          </w:p>
        </w:tc>
        <w:tc>
          <w:tcPr>
            <w:tcW w:w="6420" w:type="dxa"/>
            <w:vAlign w:val="bottom"/>
          </w:tcPr>
          <w:p>
            <w:pPr>
              <w:ind w:left="3040"/>
              <w:spacing w:after="0"/>
              <w:rPr>
                <w:sz w:val="20"/>
                <w:szCs w:val="20"/>
                <w:color w:val="auto"/>
              </w:rPr>
            </w:pPr>
            <w:r>
              <w:rPr>
                <w:rFonts w:ascii="Arial" w:cs="Arial" w:eastAsia="Arial" w:hAnsi="Arial"/>
                <w:sz w:val="18"/>
                <w:szCs w:val="18"/>
                <w:color w:val="auto"/>
              </w:rPr>
              <w:t>Japan</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Kaz LLC</w:t>
            </w:r>
          </w:p>
        </w:tc>
        <w:tc>
          <w:tcPr>
            <w:tcW w:w="6420" w:type="dxa"/>
            <w:vAlign w:val="bottom"/>
          </w:tcPr>
          <w:p>
            <w:pPr>
              <w:ind w:left="3040"/>
              <w:spacing w:after="0"/>
              <w:rPr>
                <w:sz w:val="20"/>
                <w:szCs w:val="20"/>
                <w:color w:val="auto"/>
              </w:rPr>
            </w:pPr>
            <w:r>
              <w:rPr>
                <w:rFonts w:ascii="Arial" w:cs="Arial" w:eastAsia="Arial" w:hAnsi="Arial"/>
                <w:sz w:val="18"/>
                <w:szCs w:val="18"/>
                <w:color w:val="auto"/>
              </w:rPr>
              <w:t>Kazakhstan</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Korea, Inc.</w:t>
            </w:r>
          </w:p>
        </w:tc>
        <w:tc>
          <w:tcPr>
            <w:tcW w:w="6420" w:type="dxa"/>
            <w:vAlign w:val="bottom"/>
          </w:tcPr>
          <w:p>
            <w:pPr>
              <w:ind w:left="3040"/>
              <w:spacing w:after="0"/>
              <w:rPr>
                <w:sz w:val="20"/>
                <w:szCs w:val="20"/>
                <w:color w:val="auto"/>
              </w:rPr>
            </w:pPr>
            <w:r>
              <w:rPr>
                <w:rFonts w:ascii="Arial" w:cs="Arial" w:eastAsia="Arial" w:hAnsi="Arial"/>
                <w:sz w:val="18"/>
                <w:szCs w:val="18"/>
                <w:color w:val="auto"/>
              </w:rPr>
              <w:t>Korea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Logis Inc.</w:t>
            </w:r>
          </w:p>
        </w:tc>
        <w:tc>
          <w:tcPr>
            <w:tcW w:w="6420" w:type="dxa"/>
            <w:vAlign w:val="bottom"/>
          </w:tcPr>
          <w:p>
            <w:pPr>
              <w:ind w:left="3040"/>
              <w:spacing w:after="0"/>
              <w:rPr>
                <w:sz w:val="20"/>
                <w:szCs w:val="20"/>
                <w:color w:val="auto"/>
              </w:rPr>
            </w:pPr>
            <w:r>
              <w:rPr>
                <w:rFonts w:ascii="Arial" w:cs="Arial" w:eastAsia="Arial" w:hAnsi="Arial"/>
                <w:sz w:val="18"/>
                <w:szCs w:val="18"/>
                <w:color w:val="auto"/>
              </w:rPr>
              <w:t>Korea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ManpowerGroup Korea, Inc.</w:t>
            </w:r>
          </w:p>
        </w:tc>
        <w:tc>
          <w:tcPr>
            <w:tcW w:w="6420" w:type="dxa"/>
            <w:vAlign w:val="bottom"/>
          </w:tcPr>
          <w:p>
            <w:pPr>
              <w:ind w:left="3040"/>
              <w:spacing w:after="0"/>
              <w:rPr>
                <w:sz w:val="20"/>
                <w:szCs w:val="20"/>
                <w:color w:val="auto"/>
              </w:rPr>
            </w:pPr>
            <w:r>
              <w:rPr>
                <w:rFonts w:ascii="Arial" w:cs="Arial" w:eastAsia="Arial" w:hAnsi="Arial"/>
                <w:sz w:val="18"/>
                <w:szCs w:val="18"/>
                <w:color w:val="auto"/>
              </w:rPr>
              <w:t>Korea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Right Management Korea Co. Ltd.</w:t>
            </w:r>
          </w:p>
        </w:tc>
        <w:tc>
          <w:tcPr>
            <w:tcW w:w="6420" w:type="dxa"/>
            <w:vAlign w:val="bottom"/>
          </w:tcPr>
          <w:p>
            <w:pPr>
              <w:ind w:left="3040"/>
              <w:spacing w:after="0"/>
              <w:rPr>
                <w:sz w:val="20"/>
                <w:szCs w:val="20"/>
                <w:color w:val="auto"/>
              </w:rPr>
            </w:pPr>
            <w:r>
              <w:rPr>
                <w:rFonts w:ascii="Arial" w:cs="Arial" w:eastAsia="Arial" w:hAnsi="Arial"/>
                <w:sz w:val="18"/>
                <w:szCs w:val="18"/>
                <w:color w:val="auto"/>
              </w:rPr>
              <w:t>Korea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Representative Office of UAB "Manpower Lit" in Latvia</w:t>
            </w:r>
          </w:p>
        </w:tc>
        <w:tc>
          <w:tcPr>
            <w:tcW w:w="6420" w:type="dxa"/>
            <w:vAlign w:val="bottom"/>
          </w:tcPr>
          <w:p>
            <w:pPr>
              <w:ind w:left="3040"/>
              <w:spacing w:after="0"/>
              <w:rPr>
                <w:sz w:val="20"/>
                <w:szCs w:val="20"/>
                <w:color w:val="auto"/>
              </w:rPr>
            </w:pPr>
            <w:r>
              <w:rPr>
                <w:rFonts w:ascii="Arial" w:cs="Arial" w:eastAsia="Arial" w:hAnsi="Arial"/>
                <w:sz w:val="18"/>
                <w:szCs w:val="18"/>
                <w:color w:val="auto"/>
              </w:rPr>
              <w:t>Latvia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Lit UAB</w:t>
            </w:r>
          </w:p>
        </w:tc>
        <w:tc>
          <w:tcPr>
            <w:tcW w:w="6420" w:type="dxa"/>
            <w:vAlign w:val="bottom"/>
          </w:tcPr>
          <w:p>
            <w:pPr>
              <w:ind w:left="3040"/>
              <w:spacing w:after="0"/>
              <w:rPr>
                <w:sz w:val="20"/>
                <w:szCs w:val="20"/>
                <w:color w:val="auto"/>
              </w:rPr>
            </w:pPr>
            <w:r>
              <w:rPr>
                <w:rFonts w:ascii="Arial" w:cs="Arial" w:eastAsia="Arial" w:hAnsi="Arial"/>
                <w:sz w:val="18"/>
                <w:szCs w:val="18"/>
                <w:color w:val="auto"/>
              </w:rPr>
              <w:t>Lithuania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Elan IT Resource S.a.r.l.</w:t>
            </w:r>
          </w:p>
        </w:tc>
        <w:tc>
          <w:tcPr>
            <w:tcW w:w="6420" w:type="dxa"/>
            <w:vAlign w:val="bottom"/>
          </w:tcPr>
          <w:p>
            <w:pPr>
              <w:ind w:left="3040"/>
              <w:spacing w:after="0"/>
              <w:rPr>
                <w:sz w:val="20"/>
                <w:szCs w:val="20"/>
                <w:color w:val="auto"/>
              </w:rPr>
            </w:pPr>
            <w:r>
              <w:rPr>
                <w:rFonts w:ascii="Arial" w:cs="Arial" w:eastAsia="Arial" w:hAnsi="Arial"/>
                <w:sz w:val="18"/>
                <w:szCs w:val="18"/>
                <w:color w:val="auto"/>
              </w:rPr>
              <w:t>Luxembourg</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Business Solutions Luxembourg S.A.</w:t>
            </w:r>
          </w:p>
        </w:tc>
        <w:tc>
          <w:tcPr>
            <w:tcW w:w="6420" w:type="dxa"/>
            <w:vAlign w:val="bottom"/>
          </w:tcPr>
          <w:p>
            <w:pPr>
              <w:ind w:left="3040"/>
              <w:spacing w:after="0"/>
              <w:rPr>
                <w:sz w:val="20"/>
                <w:szCs w:val="20"/>
                <w:color w:val="auto"/>
              </w:rPr>
            </w:pPr>
            <w:r>
              <w:rPr>
                <w:rFonts w:ascii="Arial" w:cs="Arial" w:eastAsia="Arial" w:hAnsi="Arial"/>
                <w:sz w:val="18"/>
                <w:szCs w:val="18"/>
                <w:color w:val="auto"/>
              </w:rPr>
              <w:t>Luxembourg</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Luxembourg S.A.</w:t>
            </w:r>
          </w:p>
        </w:tc>
        <w:tc>
          <w:tcPr>
            <w:tcW w:w="6420" w:type="dxa"/>
            <w:vAlign w:val="bottom"/>
          </w:tcPr>
          <w:p>
            <w:pPr>
              <w:ind w:left="3040"/>
              <w:spacing w:after="0"/>
              <w:rPr>
                <w:sz w:val="20"/>
                <w:szCs w:val="20"/>
                <w:color w:val="auto"/>
              </w:rPr>
            </w:pPr>
            <w:r>
              <w:rPr>
                <w:rFonts w:ascii="Arial" w:cs="Arial" w:eastAsia="Arial" w:hAnsi="Arial"/>
                <w:sz w:val="18"/>
                <w:szCs w:val="18"/>
                <w:color w:val="auto"/>
              </w:rPr>
              <w:t>Luxembourg</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Agensi Pekerjaan Manpower Recruitment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(M)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Manpower Business Solutions (M)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Manpower Staffing Services (Malaysia)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Pancaran Pertiwi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Right Management (Malaysia) Sdn Bhd</w:t>
            </w:r>
          </w:p>
        </w:tc>
        <w:tc>
          <w:tcPr>
            <w:tcW w:w="6420" w:type="dxa"/>
            <w:vAlign w:val="bottom"/>
          </w:tcPr>
          <w:p>
            <w:pPr>
              <w:ind w:left="3040"/>
              <w:spacing w:after="0"/>
              <w:rPr>
                <w:sz w:val="20"/>
                <w:szCs w:val="20"/>
                <w:color w:val="auto"/>
              </w:rPr>
            </w:pPr>
            <w:r>
              <w:rPr>
                <w:rFonts w:ascii="Arial" w:cs="Arial" w:eastAsia="Arial" w:hAnsi="Arial"/>
                <w:sz w:val="18"/>
                <w:szCs w:val="18"/>
                <w:color w:val="auto"/>
              </w:rPr>
              <w:t>Malaysia</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Agropower, S.A. de C.V.</w:t>
            </w:r>
          </w:p>
        </w:tc>
        <w:tc>
          <w:tcPr>
            <w:tcW w:w="6420" w:type="dxa"/>
            <w:vAlign w:val="bottom"/>
          </w:tcPr>
          <w:p>
            <w:pPr>
              <w:ind w:left="3040"/>
              <w:spacing w:after="0"/>
              <w:rPr>
                <w:sz w:val="20"/>
                <w:szCs w:val="20"/>
                <w:color w:val="auto"/>
              </w:rPr>
            </w:pPr>
            <w:r>
              <w:rPr>
                <w:rFonts w:ascii="Arial" w:cs="Arial" w:eastAsia="Arial" w:hAnsi="Arial"/>
                <w:sz w:val="18"/>
                <w:szCs w:val="18"/>
                <w:color w:val="auto"/>
              </w:rPr>
              <w:t>Mexico</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Experis Mexico S.A. de C.V.</w:t>
            </w:r>
          </w:p>
        </w:tc>
        <w:tc>
          <w:tcPr>
            <w:tcW w:w="6420" w:type="dxa"/>
            <w:vAlign w:val="bottom"/>
          </w:tcPr>
          <w:p>
            <w:pPr>
              <w:ind w:left="3040"/>
              <w:spacing w:after="0"/>
              <w:rPr>
                <w:sz w:val="20"/>
                <w:szCs w:val="20"/>
                <w:color w:val="auto"/>
              </w:rPr>
            </w:pPr>
            <w:r>
              <w:rPr>
                <w:rFonts w:ascii="Arial" w:cs="Arial" w:eastAsia="Arial" w:hAnsi="Arial"/>
                <w:sz w:val="18"/>
                <w:szCs w:val="18"/>
                <w:color w:val="auto"/>
              </w:rPr>
              <w:t>Mexico</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Factoria Y Manufactura S.A. de C.V.</w:t>
            </w:r>
          </w:p>
        </w:tc>
        <w:tc>
          <w:tcPr>
            <w:tcW w:w="6420" w:type="dxa"/>
            <w:vAlign w:val="bottom"/>
          </w:tcPr>
          <w:p>
            <w:pPr>
              <w:ind w:left="3040"/>
              <w:spacing w:after="0"/>
              <w:rPr>
                <w:sz w:val="20"/>
                <w:szCs w:val="20"/>
                <w:color w:val="auto"/>
              </w:rPr>
            </w:pPr>
            <w:r>
              <w:rPr>
                <w:rFonts w:ascii="Arial" w:cs="Arial" w:eastAsia="Arial" w:hAnsi="Arial"/>
                <w:sz w:val="18"/>
                <w:szCs w:val="18"/>
                <w:color w:val="auto"/>
              </w:rPr>
              <w:t>Mexico</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Innovacion Tecnologia Smart, S.A. de C.V.</w:t>
            </w:r>
          </w:p>
        </w:tc>
        <w:tc>
          <w:tcPr>
            <w:tcW w:w="6420" w:type="dxa"/>
            <w:vAlign w:val="bottom"/>
          </w:tcPr>
          <w:p>
            <w:pPr>
              <w:ind w:left="3040"/>
              <w:spacing w:after="0"/>
              <w:rPr>
                <w:sz w:val="20"/>
                <w:szCs w:val="20"/>
                <w:color w:val="auto"/>
              </w:rPr>
            </w:pPr>
            <w:r>
              <w:rPr>
                <w:rFonts w:ascii="Arial" w:cs="Arial" w:eastAsia="Arial" w:hAnsi="Arial"/>
                <w:sz w:val="18"/>
                <w:szCs w:val="18"/>
                <w:color w:val="auto"/>
              </w:rPr>
              <w:t>Mexico</w:t>
            </w:r>
          </w:p>
        </w:tc>
      </w:tr>
      <w:tr>
        <w:trPr>
          <w:trHeight w:val="432"/>
        </w:trPr>
        <w:tc>
          <w:tcPr>
            <w:tcW w:w="4840" w:type="dxa"/>
            <w:vAlign w:val="bottom"/>
          </w:tcPr>
          <w:p>
            <w:pPr>
              <w:spacing w:after="0"/>
              <w:rPr>
                <w:sz w:val="24"/>
                <w:szCs w:val="24"/>
                <w:color w:val="auto"/>
              </w:rPr>
            </w:pPr>
          </w:p>
        </w:tc>
        <w:tc>
          <w:tcPr>
            <w:tcW w:w="6420" w:type="dxa"/>
            <w:vAlign w:val="bottom"/>
          </w:tcPr>
          <w:p>
            <w:pPr>
              <w:ind w:left="740"/>
              <w:spacing w:after="0"/>
              <w:rPr>
                <w:sz w:val="20"/>
                <w:szCs w:val="20"/>
                <w:color w:val="auto"/>
              </w:rPr>
            </w:pPr>
            <w:r>
              <w:rPr>
                <w:rFonts w:ascii="Arial" w:cs="Arial" w:eastAsia="Arial" w:hAnsi="Arial"/>
                <w:sz w:val="18"/>
                <w:szCs w:val="18"/>
                <w:color w:val="auto"/>
              </w:rPr>
              <w:t>3</w:t>
            </w:r>
          </w:p>
        </w:tc>
      </w:tr>
      <w:tr>
        <w:trPr>
          <w:trHeight w:val="115"/>
        </w:trPr>
        <w:tc>
          <w:tcPr>
            <w:tcW w:w="4840" w:type="dxa"/>
            <w:vAlign w:val="bottom"/>
            <w:tcBorders>
              <w:bottom w:val="single" w:sz="8" w:color="9A9A9A"/>
            </w:tcBorders>
          </w:tcPr>
          <w:p>
            <w:pPr>
              <w:spacing w:after="0"/>
              <w:rPr>
                <w:sz w:val="10"/>
                <w:szCs w:val="10"/>
                <w:color w:val="auto"/>
              </w:rPr>
            </w:pPr>
          </w:p>
        </w:tc>
        <w:tc>
          <w:tcPr>
            <w:tcW w:w="6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Intelecto Tecnologico,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Corporativo,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Industrial, S. de R.L.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Profesionales Tecnicos Manpower,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Professional,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Nurse.Co de Mexico,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Payment Services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Right Management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Tecnologia Y Manufactura, S.A. de C.V.</w:t>
            </w:r>
          </w:p>
        </w:tc>
        <w:tc>
          <w:tcPr>
            <w:tcW w:w="6680" w:type="dxa"/>
            <w:vAlign w:val="bottom"/>
          </w:tcPr>
          <w:p>
            <w:pPr>
              <w:ind w:left="3300"/>
              <w:spacing w:after="0"/>
              <w:rPr>
                <w:sz w:val="20"/>
                <w:szCs w:val="20"/>
                <w:color w:val="auto"/>
              </w:rPr>
            </w:pPr>
            <w:r>
              <w:rPr>
                <w:rFonts w:ascii="Arial" w:cs="Arial" w:eastAsia="Arial" w:hAnsi="Arial"/>
                <w:sz w:val="18"/>
                <w:szCs w:val="18"/>
                <w:color w:val="auto"/>
              </w:rPr>
              <w:t>Mexico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Monaco SAM</w:t>
            </w:r>
          </w:p>
        </w:tc>
        <w:tc>
          <w:tcPr>
            <w:tcW w:w="6680" w:type="dxa"/>
            <w:vAlign w:val="bottom"/>
          </w:tcPr>
          <w:p>
            <w:pPr>
              <w:ind w:left="3300"/>
              <w:spacing w:after="0"/>
              <w:rPr>
                <w:sz w:val="20"/>
                <w:szCs w:val="20"/>
                <w:color w:val="auto"/>
              </w:rPr>
            </w:pPr>
            <w:r>
              <w:rPr>
                <w:rFonts w:ascii="Arial" w:cs="Arial" w:eastAsia="Arial" w:hAnsi="Arial"/>
                <w:sz w:val="18"/>
                <w:szCs w:val="18"/>
                <w:color w:val="auto"/>
              </w:rPr>
              <w:t>Monaco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Management Business Services Maroc Sarl</w:t>
            </w:r>
          </w:p>
        </w:tc>
        <w:tc>
          <w:tcPr>
            <w:tcW w:w="6680" w:type="dxa"/>
            <w:vAlign w:val="bottom"/>
          </w:tcPr>
          <w:p>
            <w:pPr>
              <w:ind w:left="3300"/>
              <w:spacing w:after="0"/>
              <w:rPr>
                <w:sz w:val="20"/>
                <w:szCs w:val="20"/>
                <w:color w:val="auto"/>
              </w:rPr>
            </w:pPr>
            <w:r>
              <w:rPr>
                <w:rFonts w:ascii="Arial" w:cs="Arial" w:eastAsia="Arial" w:hAnsi="Arial"/>
                <w:sz w:val="18"/>
                <w:szCs w:val="18"/>
                <w:color w:val="auto"/>
              </w:rPr>
              <w:t>Morocco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MBSM S.A.R.L.A.U.</w:t>
            </w:r>
          </w:p>
        </w:tc>
        <w:tc>
          <w:tcPr>
            <w:tcW w:w="6680" w:type="dxa"/>
            <w:vAlign w:val="bottom"/>
          </w:tcPr>
          <w:p>
            <w:pPr>
              <w:ind w:left="3300"/>
              <w:spacing w:after="0"/>
              <w:rPr>
                <w:sz w:val="20"/>
                <w:szCs w:val="20"/>
                <w:color w:val="auto"/>
              </w:rPr>
            </w:pPr>
            <w:r>
              <w:rPr>
                <w:rFonts w:ascii="Arial" w:cs="Arial" w:eastAsia="Arial" w:hAnsi="Arial"/>
                <w:sz w:val="18"/>
                <w:szCs w:val="18"/>
                <w:color w:val="auto"/>
              </w:rPr>
              <w:t>Morocco</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Societe Marocaine De Travail Temporaire</w:t>
            </w:r>
          </w:p>
        </w:tc>
        <w:tc>
          <w:tcPr>
            <w:tcW w:w="6680" w:type="dxa"/>
            <w:vAlign w:val="bottom"/>
          </w:tcPr>
          <w:p>
            <w:pPr>
              <w:ind w:left="3300"/>
              <w:spacing w:after="0"/>
              <w:rPr>
                <w:sz w:val="20"/>
                <w:szCs w:val="20"/>
                <w:color w:val="auto"/>
              </w:rPr>
            </w:pPr>
            <w:r>
              <w:rPr>
                <w:rFonts w:ascii="Arial" w:cs="Arial" w:eastAsia="Arial" w:hAnsi="Arial"/>
                <w:sz w:val="18"/>
                <w:szCs w:val="18"/>
                <w:color w:val="auto"/>
              </w:rPr>
              <w:t>Morocco</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Experis Ciber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Experis Nederland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iJobs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iSense &amp; …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Amsterdam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Beheer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iSense Consulting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Contract Beheer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iSense Corporate Staffing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Eindhoven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General Staffing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iSense Rotterdam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iSense Utrecht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Business Services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Direkt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Engineering Industry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Food Industry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Heavy Industry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Logistics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Management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ManpowerGroup Netherlands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Pharmaceuticals &amp; Basic Industry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ManpowerGroup Solutions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Solutions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Special Staffing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Peak Holding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Peak IT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Peak-IT Managed Services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Right Management Nederland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Salarisprofs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Ultrasearch B.V.</w:t>
            </w:r>
          </w:p>
        </w:tc>
        <w:tc>
          <w:tcPr>
            <w:tcW w:w="6680" w:type="dxa"/>
            <w:vAlign w:val="bottom"/>
          </w:tcPr>
          <w:p>
            <w:pPr>
              <w:ind w:left="3300"/>
              <w:spacing w:after="0"/>
              <w:rPr>
                <w:sz w:val="20"/>
                <w:szCs w:val="20"/>
                <w:color w:val="auto"/>
              </w:rPr>
            </w:pPr>
            <w:r>
              <w:rPr>
                <w:rFonts w:ascii="Arial" w:cs="Arial" w:eastAsia="Arial" w:hAnsi="Arial"/>
                <w:sz w:val="18"/>
                <w:szCs w:val="18"/>
                <w:color w:val="auto"/>
              </w:rPr>
              <w:t>Netherlands</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Nouvelle Caledonie Sarl</w:t>
            </w:r>
          </w:p>
        </w:tc>
        <w:tc>
          <w:tcPr>
            <w:tcW w:w="6680" w:type="dxa"/>
            <w:vAlign w:val="bottom"/>
          </w:tcPr>
          <w:p>
            <w:pPr>
              <w:ind w:left="3300"/>
              <w:spacing w:after="0"/>
              <w:rPr>
                <w:sz w:val="20"/>
                <w:szCs w:val="20"/>
                <w:color w:val="auto"/>
              </w:rPr>
            </w:pPr>
            <w:r>
              <w:rPr>
                <w:rFonts w:ascii="Arial" w:cs="Arial" w:eastAsia="Arial" w:hAnsi="Arial"/>
                <w:sz w:val="18"/>
                <w:szCs w:val="18"/>
                <w:color w:val="auto"/>
              </w:rPr>
              <w:t>New Caledonia</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Recrutement Sarl</w:t>
            </w:r>
          </w:p>
        </w:tc>
        <w:tc>
          <w:tcPr>
            <w:tcW w:w="6680" w:type="dxa"/>
            <w:vAlign w:val="bottom"/>
          </w:tcPr>
          <w:p>
            <w:pPr>
              <w:ind w:left="3300"/>
              <w:spacing w:after="0"/>
              <w:rPr>
                <w:sz w:val="20"/>
                <w:szCs w:val="20"/>
                <w:color w:val="auto"/>
              </w:rPr>
            </w:pPr>
            <w:r>
              <w:rPr>
                <w:rFonts w:ascii="Arial" w:cs="Arial" w:eastAsia="Arial" w:hAnsi="Arial"/>
                <w:sz w:val="18"/>
                <w:szCs w:val="18"/>
                <w:color w:val="auto"/>
              </w:rPr>
              <w:t>New Caledonia</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Services (New Zealand)</w:t>
            </w:r>
          </w:p>
        </w:tc>
        <w:tc>
          <w:tcPr>
            <w:tcW w:w="6680" w:type="dxa"/>
            <w:vAlign w:val="bottom"/>
          </w:tcPr>
          <w:p>
            <w:pPr>
              <w:ind w:left="3300"/>
              <w:spacing w:after="0"/>
              <w:rPr>
                <w:sz w:val="20"/>
                <w:szCs w:val="20"/>
                <w:color w:val="auto"/>
              </w:rPr>
            </w:pPr>
            <w:r>
              <w:rPr>
                <w:rFonts w:ascii="Arial" w:cs="Arial" w:eastAsia="Arial" w:hAnsi="Arial"/>
                <w:sz w:val="18"/>
                <w:szCs w:val="18"/>
                <w:color w:val="auto"/>
              </w:rPr>
              <w:t>New Zealand</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Nicaruagua S.A.</w:t>
            </w:r>
          </w:p>
        </w:tc>
        <w:tc>
          <w:tcPr>
            <w:tcW w:w="6680" w:type="dxa"/>
            <w:vAlign w:val="bottom"/>
          </w:tcPr>
          <w:p>
            <w:pPr>
              <w:ind w:left="3300"/>
              <w:spacing w:after="0"/>
              <w:rPr>
                <w:sz w:val="20"/>
                <w:szCs w:val="20"/>
                <w:color w:val="auto"/>
              </w:rPr>
            </w:pPr>
            <w:r>
              <w:rPr>
                <w:rFonts w:ascii="Arial" w:cs="Arial" w:eastAsia="Arial" w:hAnsi="Arial"/>
                <w:sz w:val="18"/>
                <w:szCs w:val="18"/>
                <w:color w:val="auto"/>
              </w:rPr>
              <w:t>Nicaragua</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Experis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Experis Solutions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Framnaes Installajon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Industri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ManpowerGroup Solutions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ManpowerGroup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Manpower Staffing Services AS</w:t>
            </w:r>
          </w:p>
        </w:tc>
        <w:tc>
          <w:tcPr>
            <w:tcW w:w="6680" w:type="dxa"/>
            <w:vAlign w:val="bottom"/>
          </w:tcPr>
          <w:p>
            <w:pPr>
              <w:ind w:left="3300"/>
              <w:spacing w:after="0"/>
              <w:rPr>
                <w:sz w:val="20"/>
                <w:szCs w:val="20"/>
                <w:color w:val="auto"/>
              </w:rPr>
            </w:pPr>
            <w:r>
              <w:rPr>
                <w:rFonts w:ascii="Arial" w:cs="Arial" w:eastAsia="Arial" w:hAnsi="Arial"/>
                <w:sz w:val="18"/>
                <w:szCs w:val="18"/>
                <w:color w:val="auto"/>
              </w:rPr>
              <w:t>Norway</w:t>
            </w:r>
          </w:p>
        </w:tc>
      </w:tr>
      <w:tr>
        <w:trPr>
          <w:trHeight w:val="432"/>
        </w:trPr>
        <w:tc>
          <w:tcPr>
            <w:tcW w:w="4580" w:type="dxa"/>
            <w:vAlign w:val="bottom"/>
          </w:tcPr>
          <w:p>
            <w:pPr>
              <w:spacing w:after="0"/>
              <w:rPr>
                <w:sz w:val="24"/>
                <w:szCs w:val="24"/>
                <w:color w:val="auto"/>
              </w:rPr>
            </w:pPr>
          </w:p>
        </w:tc>
        <w:tc>
          <w:tcPr>
            <w:tcW w:w="6680" w:type="dxa"/>
            <w:vAlign w:val="bottom"/>
          </w:tcPr>
          <w:p>
            <w:pPr>
              <w:ind w:left="1000"/>
              <w:spacing w:after="0"/>
              <w:rPr>
                <w:sz w:val="20"/>
                <w:szCs w:val="20"/>
                <w:color w:val="auto"/>
              </w:rPr>
            </w:pPr>
            <w:r>
              <w:rPr>
                <w:rFonts w:ascii="Arial" w:cs="Arial" w:eastAsia="Arial" w:hAnsi="Arial"/>
                <w:sz w:val="18"/>
                <w:szCs w:val="18"/>
                <w:color w:val="auto"/>
              </w:rPr>
              <w:t>4</w:t>
            </w:r>
          </w:p>
        </w:tc>
      </w:tr>
      <w:tr>
        <w:trPr>
          <w:trHeight w:val="115"/>
        </w:trPr>
        <w:tc>
          <w:tcPr>
            <w:tcW w:w="4580" w:type="dxa"/>
            <w:vAlign w:val="bottom"/>
            <w:tcBorders>
              <w:bottom w:val="single" w:sz="8" w:color="9A9A9A"/>
            </w:tcBorders>
          </w:tcPr>
          <w:p>
            <w:pPr>
              <w:spacing w:after="0"/>
              <w:rPr>
                <w:sz w:val="10"/>
                <w:szCs w:val="10"/>
                <w:color w:val="auto"/>
              </w:rPr>
            </w:pPr>
          </w:p>
        </w:tc>
        <w:tc>
          <w:tcPr>
            <w:tcW w:w="6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Right Management Norway A/S</w:t>
            </w:r>
          </w:p>
        </w:tc>
        <w:tc>
          <w:tcPr>
            <w:tcW w:w="6340" w:type="dxa"/>
            <w:vAlign w:val="bottom"/>
          </w:tcPr>
          <w:p>
            <w:pPr>
              <w:ind w:left="2960"/>
              <w:spacing w:after="0"/>
              <w:rPr>
                <w:sz w:val="20"/>
                <w:szCs w:val="20"/>
                <w:color w:val="auto"/>
              </w:rPr>
            </w:pPr>
            <w:r>
              <w:rPr>
                <w:rFonts w:ascii="Arial" w:cs="Arial" w:eastAsia="Arial" w:hAnsi="Arial"/>
                <w:sz w:val="18"/>
                <w:szCs w:val="18"/>
                <w:color w:val="auto"/>
              </w:rPr>
              <w:t>Norway</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Workshop Bemanning og Kompetanse AS</w:t>
            </w:r>
          </w:p>
        </w:tc>
        <w:tc>
          <w:tcPr>
            <w:tcW w:w="6340" w:type="dxa"/>
            <w:vAlign w:val="bottom"/>
          </w:tcPr>
          <w:p>
            <w:pPr>
              <w:ind w:left="2960"/>
              <w:spacing w:after="0"/>
              <w:rPr>
                <w:sz w:val="20"/>
                <w:szCs w:val="20"/>
                <w:color w:val="auto"/>
              </w:rPr>
            </w:pPr>
            <w:r>
              <w:rPr>
                <w:rFonts w:ascii="Arial" w:cs="Arial" w:eastAsia="Arial" w:hAnsi="Arial"/>
                <w:sz w:val="18"/>
                <w:szCs w:val="18"/>
                <w:color w:val="auto"/>
              </w:rPr>
              <w:t>Norway</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Workshop Holding AS</w:t>
            </w:r>
          </w:p>
        </w:tc>
        <w:tc>
          <w:tcPr>
            <w:tcW w:w="6340" w:type="dxa"/>
            <w:vAlign w:val="bottom"/>
          </w:tcPr>
          <w:p>
            <w:pPr>
              <w:ind w:left="2960"/>
              <w:spacing w:after="0"/>
              <w:rPr>
                <w:sz w:val="20"/>
                <w:szCs w:val="20"/>
                <w:color w:val="auto"/>
              </w:rPr>
            </w:pPr>
            <w:r>
              <w:rPr>
                <w:rFonts w:ascii="Arial" w:cs="Arial" w:eastAsia="Arial" w:hAnsi="Arial"/>
                <w:sz w:val="18"/>
                <w:szCs w:val="18"/>
                <w:color w:val="auto"/>
              </w:rPr>
              <w:t>Norway</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Right Management Inc.</w:t>
            </w:r>
          </w:p>
        </w:tc>
        <w:tc>
          <w:tcPr>
            <w:tcW w:w="6340" w:type="dxa"/>
            <w:vAlign w:val="bottom"/>
          </w:tcPr>
          <w:p>
            <w:pPr>
              <w:ind w:left="2960"/>
              <w:spacing w:after="0"/>
              <w:rPr>
                <w:sz w:val="20"/>
                <w:szCs w:val="20"/>
                <w:color w:val="auto"/>
              </w:rPr>
            </w:pPr>
            <w:r>
              <w:rPr>
                <w:rFonts w:ascii="Arial" w:cs="Arial" w:eastAsia="Arial" w:hAnsi="Arial"/>
                <w:sz w:val="18"/>
                <w:szCs w:val="18"/>
                <w:color w:val="auto"/>
              </w:rPr>
              <w:t>PA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Panama S.A.</w:t>
            </w:r>
          </w:p>
        </w:tc>
        <w:tc>
          <w:tcPr>
            <w:tcW w:w="6340" w:type="dxa"/>
            <w:vAlign w:val="bottom"/>
          </w:tcPr>
          <w:p>
            <w:pPr>
              <w:ind w:left="2960"/>
              <w:spacing w:after="0"/>
              <w:rPr>
                <w:sz w:val="20"/>
                <w:szCs w:val="20"/>
                <w:color w:val="auto"/>
              </w:rPr>
            </w:pPr>
            <w:r>
              <w:rPr>
                <w:rFonts w:ascii="Arial" w:cs="Arial" w:eastAsia="Arial" w:hAnsi="Arial"/>
                <w:sz w:val="18"/>
                <w:szCs w:val="18"/>
                <w:color w:val="auto"/>
              </w:rPr>
              <w:t>Panama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Panama Pacifico, S.A.</w:t>
            </w:r>
          </w:p>
        </w:tc>
        <w:tc>
          <w:tcPr>
            <w:tcW w:w="6340" w:type="dxa"/>
            <w:vAlign w:val="bottom"/>
          </w:tcPr>
          <w:p>
            <w:pPr>
              <w:ind w:left="2960"/>
              <w:spacing w:after="0"/>
              <w:rPr>
                <w:sz w:val="20"/>
                <w:szCs w:val="20"/>
                <w:color w:val="auto"/>
              </w:rPr>
            </w:pPr>
            <w:r>
              <w:rPr>
                <w:rFonts w:ascii="Arial" w:cs="Arial" w:eastAsia="Arial" w:hAnsi="Arial"/>
                <w:sz w:val="18"/>
                <w:szCs w:val="18"/>
                <w:color w:val="auto"/>
              </w:rPr>
              <w:t>Panama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Staffing Services Panama, S.A.</w:t>
            </w:r>
          </w:p>
        </w:tc>
        <w:tc>
          <w:tcPr>
            <w:tcW w:w="6340" w:type="dxa"/>
            <w:vAlign w:val="bottom"/>
          </w:tcPr>
          <w:p>
            <w:pPr>
              <w:ind w:left="2960"/>
              <w:spacing w:after="0"/>
              <w:rPr>
                <w:sz w:val="20"/>
                <w:szCs w:val="20"/>
                <w:color w:val="auto"/>
              </w:rPr>
            </w:pPr>
            <w:r>
              <w:rPr>
                <w:rFonts w:ascii="Arial" w:cs="Arial" w:eastAsia="Arial" w:hAnsi="Arial"/>
                <w:sz w:val="18"/>
                <w:szCs w:val="18"/>
                <w:color w:val="auto"/>
              </w:rPr>
              <w:t>Panama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Paraguay S.R.L.</w:t>
            </w:r>
          </w:p>
        </w:tc>
        <w:tc>
          <w:tcPr>
            <w:tcW w:w="6340" w:type="dxa"/>
            <w:vAlign w:val="bottom"/>
          </w:tcPr>
          <w:p>
            <w:pPr>
              <w:ind w:left="2960"/>
              <w:spacing w:after="0"/>
              <w:rPr>
                <w:sz w:val="20"/>
                <w:szCs w:val="20"/>
                <w:color w:val="auto"/>
              </w:rPr>
            </w:pPr>
            <w:r>
              <w:rPr>
                <w:rFonts w:ascii="Arial" w:cs="Arial" w:eastAsia="Arial" w:hAnsi="Arial"/>
                <w:sz w:val="18"/>
                <w:szCs w:val="18"/>
                <w:color w:val="auto"/>
              </w:rPr>
              <w:t>Paraguay</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Peru S.A.</w:t>
            </w:r>
          </w:p>
        </w:tc>
        <w:tc>
          <w:tcPr>
            <w:tcW w:w="6340" w:type="dxa"/>
            <w:vAlign w:val="bottom"/>
          </w:tcPr>
          <w:p>
            <w:pPr>
              <w:ind w:left="2960"/>
              <w:spacing w:after="0"/>
              <w:rPr>
                <w:sz w:val="20"/>
                <w:szCs w:val="20"/>
                <w:color w:val="auto"/>
              </w:rPr>
            </w:pPr>
            <w:r>
              <w:rPr>
                <w:rFonts w:ascii="Arial" w:cs="Arial" w:eastAsia="Arial" w:hAnsi="Arial"/>
                <w:sz w:val="18"/>
                <w:szCs w:val="18"/>
                <w:color w:val="auto"/>
              </w:rPr>
              <w:t>Peru</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Professional Services S.A.</w:t>
            </w:r>
          </w:p>
        </w:tc>
        <w:tc>
          <w:tcPr>
            <w:tcW w:w="6340" w:type="dxa"/>
            <w:vAlign w:val="bottom"/>
          </w:tcPr>
          <w:p>
            <w:pPr>
              <w:ind w:left="2960"/>
              <w:spacing w:after="0"/>
              <w:rPr>
                <w:sz w:val="20"/>
                <w:szCs w:val="20"/>
                <w:color w:val="auto"/>
              </w:rPr>
            </w:pPr>
            <w:r>
              <w:rPr>
                <w:rFonts w:ascii="Arial" w:cs="Arial" w:eastAsia="Arial" w:hAnsi="Arial"/>
                <w:sz w:val="18"/>
                <w:szCs w:val="18"/>
                <w:color w:val="auto"/>
              </w:rPr>
              <w:t>Peru</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Right Management Peru S.A.C.</w:t>
            </w:r>
          </w:p>
        </w:tc>
        <w:tc>
          <w:tcPr>
            <w:tcW w:w="6340" w:type="dxa"/>
            <w:vAlign w:val="bottom"/>
          </w:tcPr>
          <w:p>
            <w:pPr>
              <w:ind w:left="2960"/>
              <w:spacing w:after="0"/>
              <w:rPr>
                <w:sz w:val="20"/>
                <w:szCs w:val="20"/>
                <w:color w:val="auto"/>
              </w:rPr>
            </w:pPr>
            <w:r>
              <w:rPr>
                <w:rFonts w:ascii="Arial" w:cs="Arial" w:eastAsia="Arial" w:hAnsi="Arial"/>
                <w:sz w:val="18"/>
                <w:szCs w:val="18"/>
                <w:color w:val="auto"/>
              </w:rPr>
              <w:t>Peru</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Outsourcing Services Inc.</w:t>
            </w:r>
          </w:p>
        </w:tc>
        <w:tc>
          <w:tcPr>
            <w:tcW w:w="6340" w:type="dxa"/>
            <w:vAlign w:val="bottom"/>
          </w:tcPr>
          <w:p>
            <w:pPr>
              <w:ind w:left="2960"/>
              <w:spacing w:after="0"/>
              <w:rPr>
                <w:sz w:val="20"/>
                <w:szCs w:val="20"/>
                <w:color w:val="auto"/>
              </w:rPr>
            </w:pPr>
            <w:r>
              <w:rPr>
                <w:rFonts w:ascii="Arial" w:cs="Arial" w:eastAsia="Arial" w:hAnsi="Arial"/>
                <w:sz w:val="18"/>
                <w:szCs w:val="18"/>
                <w:color w:val="auto"/>
              </w:rPr>
              <w:t>Philippines</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HR Hunters Sp.z.o.o.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Sp. z 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SP. Zo.o.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Transactions Sp. z 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MP Management Sp.z.o.o.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MP Services Sp. z 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Proservia Polska z.o.o.</w:t>
            </w:r>
          </w:p>
        </w:tc>
        <w:tc>
          <w:tcPr>
            <w:tcW w:w="6340" w:type="dxa"/>
            <w:vAlign w:val="bottom"/>
          </w:tcPr>
          <w:p>
            <w:pPr>
              <w:ind w:left="2960"/>
              <w:spacing w:after="0"/>
              <w:rPr>
                <w:sz w:val="20"/>
                <w:szCs w:val="20"/>
                <w:color w:val="auto"/>
              </w:rPr>
            </w:pPr>
            <w:r>
              <w:rPr>
                <w:rFonts w:ascii="Arial" w:cs="Arial" w:eastAsia="Arial" w:hAnsi="Arial"/>
                <w:sz w:val="18"/>
                <w:szCs w:val="18"/>
                <w:color w:val="auto"/>
              </w:rPr>
              <w:t>Poland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Lda.</w:t>
            </w:r>
          </w:p>
        </w:tc>
        <w:tc>
          <w:tcPr>
            <w:tcW w:w="6340" w:type="dxa"/>
            <w:vAlign w:val="bottom"/>
          </w:tcPr>
          <w:p>
            <w:pPr>
              <w:ind w:left="2960"/>
              <w:spacing w:after="0"/>
              <w:rPr>
                <w:sz w:val="20"/>
                <w:szCs w:val="20"/>
                <w:color w:val="auto"/>
              </w:rPr>
            </w:pPr>
            <w:r>
              <w:rPr>
                <w:rFonts w:ascii="Arial" w:cs="Arial" w:eastAsia="Arial" w:hAnsi="Arial"/>
                <w:sz w:val="18"/>
                <w:szCs w:val="18"/>
                <w:color w:val="auto"/>
              </w:rPr>
              <w:t>Portugal</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Portugal Empresa de Trabalho Temporario S.A.</w:t>
            </w:r>
          </w:p>
        </w:tc>
        <w:tc>
          <w:tcPr>
            <w:tcW w:w="6340" w:type="dxa"/>
            <w:vAlign w:val="bottom"/>
          </w:tcPr>
          <w:p>
            <w:pPr>
              <w:ind w:left="2960"/>
              <w:spacing w:after="0"/>
              <w:rPr>
                <w:sz w:val="20"/>
                <w:szCs w:val="20"/>
                <w:color w:val="auto"/>
              </w:rPr>
            </w:pPr>
            <w:r>
              <w:rPr>
                <w:rFonts w:ascii="Arial" w:cs="Arial" w:eastAsia="Arial" w:hAnsi="Arial"/>
                <w:sz w:val="18"/>
                <w:szCs w:val="18"/>
                <w:color w:val="auto"/>
              </w:rPr>
              <w:t>Portugal</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Portugal - SGPS, S.A.</w:t>
            </w:r>
          </w:p>
        </w:tc>
        <w:tc>
          <w:tcPr>
            <w:tcW w:w="6340" w:type="dxa"/>
            <w:vAlign w:val="bottom"/>
          </w:tcPr>
          <w:p>
            <w:pPr>
              <w:ind w:left="2960"/>
              <w:spacing w:after="0"/>
              <w:rPr>
                <w:sz w:val="20"/>
                <w:szCs w:val="20"/>
                <w:color w:val="auto"/>
              </w:rPr>
            </w:pPr>
            <w:r>
              <w:rPr>
                <w:rFonts w:ascii="Arial" w:cs="Arial" w:eastAsia="Arial" w:hAnsi="Arial"/>
                <w:sz w:val="18"/>
                <w:szCs w:val="18"/>
                <w:color w:val="auto"/>
              </w:rPr>
              <w:t>Portugal</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Lda.</w:t>
            </w:r>
          </w:p>
        </w:tc>
        <w:tc>
          <w:tcPr>
            <w:tcW w:w="6340" w:type="dxa"/>
            <w:vAlign w:val="bottom"/>
          </w:tcPr>
          <w:p>
            <w:pPr>
              <w:ind w:left="2960"/>
              <w:spacing w:after="0"/>
              <w:rPr>
                <w:sz w:val="20"/>
                <w:szCs w:val="20"/>
                <w:color w:val="auto"/>
              </w:rPr>
            </w:pPr>
            <w:r>
              <w:rPr>
                <w:rFonts w:ascii="Arial" w:cs="Arial" w:eastAsia="Arial" w:hAnsi="Arial"/>
                <w:sz w:val="18"/>
                <w:szCs w:val="18"/>
                <w:color w:val="auto"/>
              </w:rPr>
              <w:t>Portugal</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HR SRL</w:t>
            </w:r>
          </w:p>
        </w:tc>
        <w:tc>
          <w:tcPr>
            <w:tcW w:w="6340" w:type="dxa"/>
            <w:vAlign w:val="bottom"/>
          </w:tcPr>
          <w:p>
            <w:pPr>
              <w:ind w:left="2960"/>
              <w:spacing w:after="0"/>
              <w:rPr>
                <w:sz w:val="20"/>
                <w:szCs w:val="20"/>
                <w:color w:val="auto"/>
              </w:rPr>
            </w:pPr>
            <w:r>
              <w:rPr>
                <w:rFonts w:ascii="Arial" w:cs="Arial" w:eastAsia="Arial" w:hAnsi="Arial"/>
                <w:sz w:val="18"/>
                <w:szCs w:val="18"/>
                <w:color w:val="auto"/>
              </w:rPr>
              <w:t>Romania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SC Manpower Romania SRL</w:t>
            </w:r>
          </w:p>
        </w:tc>
        <w:tc>
          <w:tcPr>
            <w:tcW w:w="6340" w:type="dxa"/>
            <w:vAlign w:val="bottom"/>
          </w:tcPr>
          <w:p>
            <w:pPr>
              <w:ind w:left="2960"/>
              <w:spacing w:after="0"/>
              <w:rPr>
                <w:sz w:val="20"/>
                <w:szCs w:val="20"/>
                <w:color w:val="auto"/>
              </w:rPr>
            </w:pPr>
            <w:r>
              <w:rPr>
                <w:rFonts w:ascii="Arial" w:cs="Arial" w:eastAsia="Arial" w:hAnsi="Arial"/>
                <w:sz w:val="18"/>
                <w:szCs w:val="18"/>
                <w:color w:val="auto"/>
              </w:rPr>
              <w:t>Romania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IT LLC</w:t>
            </w:r>
          </w:p>
        </w:tc>
        <w:tc>
          <w:tcPr>
            <w:tcW w:w="6340" w:type="dxa"/>
            <w:vAlign w:val="bottom"/>
          </w:tcPr>
          <w:p>
            <w:pPr>
              <w:ind w:left="2960"/>
              <w:spacing w:after="0"/>
              <w:rPr>
                <w:sz w:val="20"/>
                <w:szCs w:val="20"/>
                <w:color w:val="auto"/>
              </w:rPr>
            </w:pPr>
            <w:r>
              <w:rPr>
                <w:rFonts w:ascii="Arial" w:cs="Arial" w:eastAsia="Arial" w:hAnsi="Arial"/>
                <w:sz w:val="18"/>
                <w:szCs w:val="18"/>
                <w:color w:val="auto"/>
              </w:rPr>
              <w:t>Russia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LLC</w:t>
            </w:r>
          </w:p>
        </w:tc>
        <w:tc>
          <w:tcPr>
            <w:tcW w:w="6340" w:type="dxa"/>
            <w:vAlign w:val="bottom"/>
          </w:tcPr>
          <w:p>
            <w:pPr>
              <w:ind w:left="2960"/>
              <w:spacing w:after="0"/>
              <w:rPr>
                <w:sz w:val="20"/>
                <w:szCs w:val="20"/>
                <w:color w:val="auto"/>
              </w:rPr>
            </w:pPr>
            <w:r>
              <w:rPr>
                <w:rFonts w:ascii="Arial" w:cs="Arial" w:eastAsia="Arial" w:hAnsi="Arial"/>
                <w:sz w:val="18"/>
                <w:szCs w:val="18"/>
                <w:color w:val="auto"/>
              </w:rPr>
              <w:t>Russia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Private Employment Agency Manpower, LLC</w:t>
            </w:r>
          </w:p>
        </w:tc>
        <w:tc>
          <w:tcPr>
            <w:tcW w:w="6340" w:type="dxa"/>
            <w:vAlign w:val="bottom"/>
          </w:tcPr>
          <w:p>
            <w:pPr>
              <w:ind w:left="2960"/>
              <w:spacing w:after="0"/>
              <w:rPr>
                <w:sz w:val="20"/>
                <w:szCs w:val="20"/>
                <w:color w:val="auto"/>
              </w:rPr>
            </w:pPr>
            <w:r>
              <w:rPr>
                <w:rFonts w:ascii="Arial" w:cs="Arial" w:eastAsia="Arial" w:hAnsi="Arial"/>
                <w:sz w:val="18"/>
                <w:szCs w:val="18"/>
                <w:color w:val="auto"/>
              </w:rPr>
              <w:t>Russia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Training Center Manpower LLC</w:t>
            </w:r>
          </w:p>
        </w:tc>
        <w:tc>
          <w:tcPr>
            <w:tcW w:w="6340" w:type="dxa"/>
            <w:vAlign w:val="bottom"/>
          </w:tcPr>
          <w:p>
            <w:pPr>
              <w:ind w:left="2960"/>
              <w:spacing w:after="0"/>
              <w:rPr>
                <w:sz w:val="20"/>
                <w:szCs w:val="20"/>
                <w:color w:val="auto"/>
              </w:rPr>
            </w:pPr>
            <w:r>
              <w:rPr>
                <w:rFonts w:ascii="Arial" w:cs="Arial" w:eastAsia="Arial" w:hAnsi="Arial"/>
                <w:sz w:val="18"/>
                <w:szCs w:val="18"/>
                <w:color w:val="auto"/>
              </w:rPr>
              <w:t>Russia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Clarendon Parker Arabia</w:t>
            </w:r>
          </w:p>
        </w:tc>
        <w:tc>
          <w:tcPr>
            <w:tcW w:w="6340" w:type="dxa"/>
            <w:vAlign w:val="bottom"/>
          </w:tcPr>
          <w:p>
            <w:pPr>
              <w:ind w:left="2960"/>
              <w:spacing w:after="0"/>
              <w:rPr>
                <w:sz w:val="20"/>
                <w:szCs w:val="20"/>
                <w:color w:val="auto"/>
              </w:rPr>
            </w:pPr>
            <w:r>
              <w:rPr>
                <w:rFonts w:ascii="Arial" w:cs="Arial" w:eastAsia="Arial" w:hAnsi="Arial"/>
                <w:sz w:val="18"/>
                <w:szCs w:val="18"/>
                <w:color w:val="auto"/>
              </w:rPr>
              <w:t>Saudi Arabia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Experis Technology Solutions Pte. Ltd.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Professional Singapore Pte Ltd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Staffing Services (Singapore) Pte. Ltd.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Singapore Private Limited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Marks Sattin (Singapore) Pte. Limited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Right Management Singapore Pte. Ltd.</w:t>
            </w:r>
          </w:p>
        </w:tc>
        <w:tc>
          <w:tcPr>
            <w:tcW w:w="6340" w:type="dxa"/>
            <w:vAlign w:val="bottom"/>
          </w:tcPr>
          <w:p>
            <w:pPr>
              <w:ind w:left="2960"/>
              <w:spacing w:after="0"/>
              <w:rPr>
                <w:sz w:val="20"/>
                <w:szCs w:val="20"/>
                <w:color w:val="auto"/>
              </w:rPr>
            </w:pPr>
            <w:r>
              <w:rPr>
                <w:rFonts w:ascii="Arial" w:cs="Arial" w:eastAsia="Arial" w:hAnsi="Arial"/>
                <w:sz w:val="18"/>
                <w:szCs w:val="18"/>
                <w:color w:val="auto"/>
              </w:rPr>
              <w:t>Singapore</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Slovensko s.r.o.</w:t>
            </w:r>
          </w:p>
        </w:tc>
        <w:tc>
          <w:tcPr>
            <w:tcW w:w="6340" w:type="dxa"/>
            <w:vAlign w:val="bottom"/>
          </w:tcPr>
          <w:p>
            <w:pPr>
              <w:ind w:left="2960"/>
              <w:spacing w:after="0"/>
              <w:rPr>
                <w:sz w:val="20"/>
                <w:szCs w:val="20"/>
                <w:color w:val="auto"/>
              </w:rPr>
            </w:pPr>
            <w:r>
              <w:rPr>
                <w:rFonts w:ascii="Arial" w:cs="Arial" w:eastAsia="Arial" w:hAnsi="Arial"/>
                <w:sz w:val="18"/>
                <w:szCs w:val="18"/>
                <w:color w:val="auto"/>
              </w:rPr>
              <w:t>Slovakia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s.r.o.</w:t>
            </w:r>
          </w:p>
        </w:tc>
        <w:tc>
          <w:tcPr>
            <w:tcW w:w="6340" w:type="dxa"/>
            <w:vAlign w:val="bottom"/>
          </w:tcPr>
          <w:p>
            <w:pPr>
              <w:ind w:left="2960"/>
              <w:spacing w:after="0"/>
              <w:rPr>
                <w:sz w:val="20"/>
                <w:szCs w:val="20"/>
                <w:color w:val="auto"/>
              </w:rPr>
            </w:pPr>
            <w:r>
              <w:rPr>
                <w:rFonts w:ascii="Arial" w:cs="Arial" w:eastAsia="Arial" w:hAnsi="Arial"/>
                <w:sz w:val="18"/>
                <w:szCs w:val="18"/>
                <w:color w:val="auto"/>
              </w:rPr>
              <w:t>Slovakia</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SA (Pty) Ltd.</w:t>
            </w:r>
          </w:p>
        </w:tc>
        <w:tc>
          <w:tcPr>
            <w:tcW w:w="6340" w:type="dxa"/>
            <w:vAlign w:val="bottom"/>
          </w:tcPr>
          <w:p>
            <w:pPr>
              <w:ind w:left="2960"/>
              <w:spacing w:after="0"/>
              <w:rPr>
                <w:sz w:val="20"/>
                <w:szCs w:val="20"/>
                <w:color w:val="auto"/>
              </w:rPr>
            </w:pPr>
            <w:r>
              <w:rPr>
                <w:rFonts w:ascii="Arial" w:cs="Arial" w:eastAsia="Arial" w:hAnsi="Arial"/>
                <w:sz w:val="18"/>
                <w:szCs w:val="18"/>
                <w:color w:val="auto"/>
              </w:rPr>
              <w:t>South Africa</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ManpowerGroup S.L.U.</w:t>
            </w:r>
          </w:p>
        </w:tc>
        <w:tc>
          <w:tcPr>
            <w:tcW w:w="634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Innovative Talent Solutions S.L.U.</w:t>
            </w:r>
          </w:p>
        </w:tc>
        <w:tc>
          <w:tcPr>
            <w:tcW w:w="634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ManpowerGroup Solutions, S.L.U</w:t>
            </w:r>
          </w:p>
        </w:tc>
        <w:tc>
          <w:tcPr>
            <w:tcW w:w="634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Team E.T.T., S.A.U.</w:t>
            </w:r>
          </w:p>
        </w:tc>
        <w:tc>
          <w:tcPr>
            <w:tcW w:w="634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Right Management Spain, S.L.U.</w:t>
            </w:r>
          </w:p>
        </w:tc>
        <w:tc>
          <w:tcPr>
            <w:tcW w:w="6340" w:type="dxa"/>
            <w:vAlign w:val="bottom"/>
          </w:tcPr>
          <w:p>
            <w:pPr>
              <w:ind w:left="2960"/>
              <w:spacing w:after="0"/>
              <w:rPr>
                <w:sz w:val="20"/>
                <w:szCs w:val="20"/>
                <w:color w:val="auto"/>
              </w:rPr>
            </w:pPr>
            <w:r>
              <w:rPr>
                <w:rFonts w:ascii="Arial" w:cs="Arial" w:eastAsia="Arial" w:hAnsi="Arial"/>
                <w:sz w:val="18"/>
                <w:szCs w:val="18"/>
                <w:color w:val="auto"/>
              </w:rPr>
              <w:t>Spain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Elan IT Resource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EL &amp; Tele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Solutions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ManpowerGroup Solutions IT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Manpower Matchning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Manpower Student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MP&amp;E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Right Management Sweden AB</w:t>
            </w:r>
          </w:p>
        </w:tc>
        <w:tc>
          <w:tcPr>
            <w:tcW w:w="6340" w:type="dxa"/>
            <w:vAlign w:val="bottom"/>
          </w:tcPr>
          <w:p>
            <w:pPr>
              <w:ind w:left="2960"/>
              <w:spacing w:after="0"/>
              <w:rPr>
                <w:sz w:val="20"/>
                <w:szCs w:val="20"/>
                <w:color w:val="auto"/>
              </w:rPr>
            </w:pPr>
            <w:r>
              <w:rPr>
                <w:rFonts w:ascii="Arial" w:cs="Arial" w:eastAsia="Arial" w:hAnsi="Arial"/>
                <w:sz w:val="18"/>
                <w:szCs w:val="18"/>
                <w:color w:val="auto"/>
              </w:rPr>
              <w:t>Sweden</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AG</w:t>
            </w:r>
          </w:p>
        </w:tc>
        <w:tc>
          <w:tcPr>
            <w:tcW w:w="634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M.S.A.</w:t>
            </w:r>
          </w:p>
        </w:tc>
        <w:tc>
          <w:tcPr>
            <w:tcW w:w="634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Experis Schweiz AG</w:t>
            </w:r>
          </w:p>
        </w:tc>
        <w:tc>
          <w:tcPr>
            <w:tcW w:w="6340" w:type="dxa"/>
            <w:vAlign w:val="bottom"/>
          </w:tcPr>
          <w:p>
            <w:pPr>
              <w:ind w:left="2960"/>
              <w:spacing w:after="0"/>
              <w:rPr>
                <w:sz w:val="20"/>
                <w:szCs w:val="20"/>
                <w:color w:val="auto"/>
              </w:rPr>
            </w:pPr>
            <w:r>
              <w:rPr>
                <w:rFonts w:ascii="Arial" w:cs="Arial" w:eastAsia="Arial" w:hAnsi="Arial"/>
                <w:sz w:val="18"/>
                <w:szCs w:val="18"/>
                <w:color w:val="auto"/>
              </w:rPr>
              <w:t>Switzerland</w:t>
            </w:r>
          </w:p>
        </w:tc>
      </w:tr>
      <w:tr>
        <w:trPr>
          <w:trHeight w:val="432"/>
        </w:trPr>
        <w:tc>
          <w:tcPr>
            <w:tcW w:w="4920" w:type="dxa"/>
            <w:vAlign w:val="bottom"/>
          </w:tcPr>
          <w:p>
            <w:pPr>
              <w:spacing w:after="0"/>
              <w:rPr>
                <w:sz w:val="24"/>
                <w:szCs w:val="24"/>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5</w:t>
            </w:r>
          </w:p>
        </w:tc>
      </w:tr>
      <w:tr>
        <w:trPr>
          <w:trHeight w:val="115"/>
        </w:trPr>
        <w:tc>
          <w:tcPr>
            <w:tcW w:w="4920" w:type="dxa"/>
            <w:vAlign w:val="bottom"/>
            <w:tcBorders>
              <w:bottom w:val="single" w:sz="8" w:color="9A9A9A"/>
            </w:tcBorders>
          </w:tcPr>
          <w:p>
            <w:pPr>
              <w:spacing w:after="0"/>
              <w:rPr>
                <w:sz w:val="10"/>
                <w:szCs w:val="10"/>
                <w:color w:val="auto"/>
              </w:rPr>
            </w:pPr>
          </w:p>
        </w:tc>
        <w:tc>
          <w:tcPr>
            <w:tcW w:w="6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AG</w:t>
            </w:r>
          </w:p>
        </w:tc>
        <w:tc>
          <w:tcPr>
            <w:tcW w:w="6260" w:type="dxa"/>
            <w:vAlign w:val="bottom"/>
          </w:tcPr>
          <w:p>
            <w:pPr>
              <w:ind w:left="2880"/>
              <w:spacing w:after="0"/>
              <w:rPr>
                <w:sz w:val="20"/>
                <w:szCs w:val="20"/>
                <w:color w:val="auto"/>
              </w:rPr>
            </w:pPr>
            <w:r>
              <w:rPr>
                <w:rFonts w:ascii="Arial" w:cs="Arial" w:eastAsia="Arial" w:hAnsi="Arial"/>
                <w:sz w:val="18"/>
                <w:szCs w:val="18"/>
                <w:color w:val="auto"/>
              </w:rPr>
              <w:t>Switzerland</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ManpowerGroup SA</w:t>
            </w:r>
          </w:p>
        </w:tc>
        <w:tc>
          <w:tcPr>
            <w:tcW w:w="6260" w:type="dxa"/>
            <w:vAlign w:val="bottom"/>
          </w:tcPr>
          <w:p>
            <w:pPr>
              <w:ind w:left="2880"/>
              <w:spacing w:after="0"/>
              <w:rPr>
                <w:sz w:val="20"/>
                <w:szCs w:val="20"/>
                <w:color w:val="auto"/>
              </w:rPr>
            </w:pPr>
            <w:r>
              <w:rPr>
                <w:rFonts w:ascii="Arial" w:cs="Arial" w:eastAsia="Arial" w:hAnsi="Arial"/>
                <w:sz w:val="18"/>
                <w:szCs w:val="18"/>
                <w:color w:val="auto"/>
              </w:rPr>
              <w:t>Switzerland</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Right Management Switzerland AG</w:t>
            </w:r>
          </w:p>
        </w:tc>
        <w:tc>
          <w:tcPr>
            <w:tcW w:w="6260" w:type="dxa"/>
            <w:vAlign w:val="bottom"/>
          </w:tcPr>
          <w:p>
            <w:pPr>
              <w:ind w:left="2880"/>
              <w:spacing w:after="0"/>
              <w:rPr>
                <w:sz w:val="20"/>
                <w:szCs w:val="20"/>
                <w:color w:val="auto"/>
              </w:rPr>
            </w:pPr>
            <w:r>
              <w:rPr>
                <w:rFonts w:ascii="Arial" w:cs="Arial" w:eastAsia="Arial" w:hAnsi="Arial"/>
                <w:sz w:val="18"/>
                <w:szCs w:val="18"/>
                <w:color w:val="auto"/>
              </w:rPr>
              <w:t>Switzerland</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Services (Taiwan) Co., Ltd.</w:t>
            </w:r>
          </w:p>
        </w:tc>
        <w:tc>
          <w:tcPr>
            <w:tcW w:w="6260" w:type="dxa"/>
            <w:vAlign w:val="bottom"/>
          </w:tcPr>
          <w:p>
            <w:pPr>
              <w:ind w:left="2880"/>
              <w:spacing w:after="0"/>
              <w:rPr>
                <w:sz w:val="20"/>
                <w:szCs w:val="20"/>
                <w:color w:val="auto"/>
              </w:rPr>
            </w:pPr>
            <w:r>
              <w:rPr>
                <w:rFonts w:ascii="Arial" w:cs="Arial" w:eastAsia="Arial" w:hAnsi="Arial"/>
                <w:sz w:val="18"/>
                <w:szCs w:val="18"/>
                <w:color w:val="auto"/>
              </w:rPr>
              <w:t>Taiwan</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Right Management Consulting Taiwan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Taiwan</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HR Power Solution Co., Ltd.</w:t>
            </w:r>
          </w:p>
        </w:tc>
        <w:tc>
          <w:tcPr>
            <w:tcW w:w="6260" w:type="dxa"/>
            <w:vAlign w:val="bottom"/>
          </w:tcPr>
          <w:p>
            <w:pPr>
              <w:ind w:left="2880"/>
              <w:spacing w:after="0"/>
              <w:rPr>
                <w:sz w:val="20"/>
                <w:szCs w:val="20"/>
                <w:color w:val="auto"/>
              </w:rPr>
            </w:pPr>
            <w:r>
              <w:rPr>
                <w:rFonts w:ascii="Arial" w:cs="Arial" w:eastAsia="Arial" w:hAnsi="Arial"/>
                <w:sz w:val="18"/>
                <w:szCs w:val="18"/>
                <w:color w:val="auto"/>
              </w:rPr>
              <w:t>Thailand</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Borderless Talent Solution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Thailand</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Professional and Executive Recruitment Co., Ltd.</w:t>
            </w:r>
          </w:p>
        </w:tc>
        <w:tc>
          <w:tcPr>
            <w:tcW w:w="6260" w:type="dxa"/>
            <w:vAlign w:val="bottom"/>
          </w:tcPr>
          <w:p>
            <w:pPr>
              <w:ind w:left="2880"/>
              <w:spacing w:after="0"/>
              <w:rPr>
                <w:sz w:val="20"/>
                <w:szCs w:val="20"/>
                <w:color w:val="auto"/>
              </w:rPr>
            </w:pPr>
            <w:r>
              <w:rPr>
                <w:rFonts w:ascii="Arial" w:cs="Arial" w:eastAsia="Arial" w:hAnsi="Arial"/>
                <w:sz w:val="18"/>
                <w:szCs w:val="18"/>
                <w:color w:val="auto"/>
              </w:rPr>
              <w:t>Thailand</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Skillpower Services (Thailand) Co. Ltd.</w:t>
            </w:r>
          </w:p>
        </w:tc>
        <w:tc>
          <w:tcPr>
            <w:tcW w:w="6260" w:type="dxa"/>
            <w:vAlign w:val="bottom"/>
          </w:tcPr>
          <w:p>
            <w:pPr>
              <w:ind w:left="2880"/>
              <w:spacing w:after="0"/>
              <w:rPr>
                <w:sz w:val="20"/>
                <w:szCs w:val="20"/>
                <w:color w:val="auto"/>
              </w:rPr>
            </w:pPr>
            <w:r>
              <w:rPr>
                <w:rFonts w:ascii="Arial" w:cs="Arial" w:eastAsia="Arial" w:hAnsi="Arial"/>
                <w:sz w:val="18"/>
                <w:szCs w:val="18"/>
                <w:color w:val="auto"/>
              </w:rPr>
              <w:t>Thailand</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Business Services Tunisie Sarl</w:t>
            </w:r>
          </w:p>
        </w:tc>
        <w:tc>
          <w:tcPr>
            <w:tcW w:w="6260" w:type="dxa"/>
            <w:vAlign w:val="bottom"/>
          </w:tcPr>
          <w:p>
            <w:pPr>
              <w:ind w:left="2880"/>
              <w:spacing w:after="0"/>
              <w:rPr>
                <w:sz w:val="20"/>
                <w:szCs w:val="20"/>
                <w:color w:val="auto"/>
              </w:rPr>
            </w:pPr>
            <w:r>
              <w:rPr>
                <w:rFonts w:ascii="Arial" w:cs="Arial" w:eastAsia="Arial" w:hAnsi="Arial"/>
                <w:sz w:val="18"/>
                <w:szCs w:val="18"/>
                <w:color w:val="auto"/>
              </w:rPr>
              <w:t>Tunisia</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Tunisie International Sarl</w:t>
            </w:r>
          </w:p>
        </w:tc>
        <w:tc>
          <w:tcPr>
            <w:tcW w:w="6260" w:type="dxa"/>
            <w:vAlign w:val="bottom"/>
          </w:tcPr>
          <w:p>
            <w:pPr>
              <w:ind w:left="2880"/>
              <w:spacing w:after="0"/>
              <w:rPr>
                <w:sz w:val="20"/>
                <w:szCs w:val="20"/>
                <w:color w:val="auto"/>
              </w:rPr>
            </w:pPr>
            <w:r>
              <w:rPr>
                <w:rFonts w:ascii="Arial" w:cs="Arial" w:eastAsia="Arial" w:hAnsi="Arial"/>
                <w:sz w:val="18"/>
                <w:szCs w:val="18"/>
                <w:color w:val="auto"/>
              </w:rPr>
              <w:t>Tunisia</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Tunisie Sarl</w:t>
            </w:r>
          </w:p>
        </w:tc>
        <w:tc>
          <w:tcPr>
            <w:tcW w:w="6260" w:type="dxa"/>
            <w:vAlign w:val="bottom"/>
          </w:tcPr>
          <w:p>
            <w:pPr>
              <w:ind w:left="2880"/>
              <w:spacing w:after="0"/>
              <w:rPr>
                <w:sz w:val="20"/>
                <w:szCs w:val="20"/>
                <w:color w:val="auto"/>
              </w:rPr>
            </w:pPr>
            <w:r>
              <w:rPr>
                <w:rFonts w:ascii="Arial" w:cs="Arial" w:eastAsia="Arial" w:hAnsi="Arial"/>
                <w:sz w:val="18"/>
                <w:szCs w:val="18"/>
                <w:color w:val="auto"/>
              </w:rPr>
              <w:t>Tunisia</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Insan Kaynaklari Limited Sirketi</w:t>
            </w:r>
          </w:p>
        </w:tc>
        <w:tc>
          <w:tcPr>
            <w:tcW w:w="6260" w:type="dxa"/>
            <w:vAlign w:val="bottom"/>
          </w:tcPr>
          <w:p>
            <w:pPr>
              <w:ind w:left="2880"/>
              <w:spacing w:after="0"/>
              <w:rPr>
                <w:sz w:val="20"/>
                <w:szCs w:val="20"/>
                <w:color w:val="auto"/>
              </w:rPr>
            </w:pPr>
            <w:r>
              <w:rPr>
                <w:rFonts w:ascii="Arial" w:cs="Arial" w:eastAsia="Arial" w:hAnsi="Arial"/>
                <w:sz w:val="18"/>
                <w:szCs w:val="18"/>
                <w:color w:val="auto"/>
              </w:rPr>
              <w:t>Turkey</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Secme ve Yerlestirme Hizmetleri Limited Sirketi</w:t>
            </w:r>
          </w:p>
        </w:tc>
        <w:tc>
          <w:tcPr>
            <w:tcW w:w="6260" w:type="dxa"/>
            <w:vAlign w:val="bottom"/>
          </w:tcPr>
          <w:p>
            <w:pPr>
              <w:ind w:left="2880"/>
              <w:spacing w:after="0"/>
              <w:rPr>
                <w:sz w:val="20"/>
                <w:szCs w:val="20"/>
                <w:color w:val="auto"/>
              </w:rPr>
            </w:pPr>
            <w:r>
              <w:rPr>
                <w:rFonts w:ascii="Arial" w:cs="Arial" w:eastAsia="Arial" w:hAnsi="Arial"/>
                <w:sz w:val="18"/>
                <w:szCs w:val="18"/>
                <w:color w:val="auto"/>
              </w:rPr>
              <w:t>Turkey</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Middle East FZ-LLC</w:t>
            </w:r>
          </w:p>
        </w:tc>
        <w:tc>
          <w:tcPr>
            <w:tcW w:w="6260" w:type="dxa"/>
            <w:vAlign w:val="bottom"/>
          </w:tcPr>
          <w:p>
            <w:pPr>
              <w:ind w:left="2880"/>
              <w:spacing w:after="0"/>
              <w:rPr>
                <w:sz w:val="20"/>
                <w:szCs w:val="20"/>
                <w:color w:val="auto"/>
              </w:rPr>
            </w:pPr>
            <w:r>
              <w:rPr>
                <w:rFonts w:ascii="Arial" w:cs="Arial" w:eastAsia="Arial" w:hAnsi="Arial"/>
                <w:sz w:val="18"/>
                <w:szCs w:val="18"/>
                <w:color w:val="auto"/>
              </w:rPr>
              <w:t>UAE</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Middle East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UAE</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Ukraine LLC</w:t>
            </w:r>
          </w:p>
        </w:tc>
        <w:tc>
          <w:tcPr>
            <w:tcW w:w="6260" w:type="dxa"/>
            <w:vAlign w:val="bottom"/>
          </w:tcPr>
          <w:p>
            <w:pPr>
              <w:ind w:left="2880"/>
              <w:spacing w:after="0"/>
              <w:rPr>
                <w:sz w:val="20"/>
                <w:szCs w:val="20"/>
                <w:color w:val="auto"/>
              </w:rPr>
            </w:pPr>
            <w:r>
              <w:rPr>
                <w:rFonts w:ascii="Arial" w:cs="Arial" w:eastAsia="Arial" w:hAnsi="Arial"/>
                <w:sz w:val="18"/>
                <w:szCs w:val="18"/>
                <w:color w:val="auto"/>
              </w:rPr>
              <w:t>Ukraine</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Representative Office of Manpower CIS LLC in Ukraine</w:t>
            </w:r>
          </w:p>
        </w:tc>
        <w:tc>
          <w:tcPr>
            <w:tcW w:w="6260" w:type="dxa"/>
            <w:vAlign w:val="bottom"/>
          </w:tcPr>
          <w:p>
            <w:pPr>
              <w:ind w:left="2880"/>
              <w:spacing w:after="0"/>
              <w:rPr>
                <w:sz w:val="20"/>
                <w:szCs w:val="20"/>
                <w:color w:val="auto"/>
              </w:rPr>
            </w:pPr>
            <w:r>
              <w:rPr>
                <w:rFonts w:ascii="Arial" w:cs="Arial" w:eastAsia="Arial" w:hAnsi="Arial"/>
                <w:sz w:val="18"/>
                <w:szCs w:val="18"/>
                <w:color w:val="auto"/>
              </w:rPr>
              <w:t>Ukraine</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AviationPower UK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Bafin Holdings</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Brook Street (UK)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Brook Street Bureau PLC</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BS Project Services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Challoners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Comsys VMS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Experis Finance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Experis Group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Experis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Experis Resource Support Services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Integral Search &amp; Selection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Jefferson Wells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Juice Resource Solutions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ManpowerGroup Digital Holdings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Holdings (UK)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IT Services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Nominees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ManpowerGroup UK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Services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UK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ManpowerGroup Scotland LLP</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ManpowerGroup (Scot) LP</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Nicholas Andrews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People Source Consulting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People Source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Right Management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RMC EMEA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SJB Corporate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SJB Services UK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The Empower Group Ltd.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Volaris Exec Recruitment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777 Recruitment Limited</w:t>
            </w:r>
          </w:p>
        </w:tc>
        <w:tc>
          <w:tcPr>
            <w:tcW w:w="6260" w:type="dxa"/>
            <w:vAlign w:val="bottom"/>
          </w:tcPr>
          <w:p>
            <w:pPr>
              <w:ind w:left="2880"/>
              <w:spacing w:after="0"/>
              <w:rPr>
                <w:sz w:val="20"/>
                <w:szCs w:val="20"/>
                <w:color w:val="auto"/>
              </w:rPr>
            </w:pPr>
            <w:r>
              <w:rPr>
                <w:rFonts w:ascii="Arial" w:cs="Arial" w:eastAsia="Arial" w:hAnsi="Arial"/>
                <w:sz w:val="18"/>
                <w:szCs w:val="18"/>
                <w:color w:val="auto"/>
              </w:rPr>
              <w:t>United Kingdom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Aris Sociedad Anonima</w:t>
            </w:r>
          </w:p>
        </w:tc>
        <w:tc>
          <w:tcPr>
            <w:tcW w:w="6260" w:type="dxa"/>
            <w:vAlign w:val="bottom"/>
          </w:tcPr>
          <w:p>
            <w:pPr>
              <w:ind w:left="2880"/>
              <w:spacing w:after="0"/>
              <w:rPr>
                <w:sz w:val="20"/>
                <w:szCs w:val="20"/>
                <w:color w:val="auto"/>
              </w:rPr>
            </w:pPr>
            <w:r>
              <w:rPr>
                <w:rFonts w:ascii="Arial" w:cs="Arial" w:eastAsia="Arial" w:hAnsi="Arial"/>
                <w:sz w:val="18"/>
                <w:szCs w:val="18"/>
                <w:color w:val="auto"/>
              </w:rPr>
              <w:t>Uruguay</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ManpowerGroup Public Sector Inc.</w:t>
            </w:r>
          </w:p>
        </w:tc>
        <w:tc>
          <w:tcPr>
            <w:tcW w:w="6260" w:type="dxa"/>
            <w:vAlign w:val="bottom"/>
          </w:tcPr>
          <w:p>
            <w:pPr>
              <w:ind w:left="2880"/>
              <w:spacing w:after="0"/>
              <w:rPr>
                <w:sz w:val="20"/>
                <w:szCs w:val="20"/>
                <w:color w:val="auto"/>
              </w:rPr>
            </w:pPr>
            <w:r>
              <w:rPr>
                <w:rFonts w:ascii="Arial" w:cs="Arial" w:eastAsia="Arial" w:hAnsi="Arial"/>
                <w:sz w:val="18"/>
                <w:szCs w:val="18"/>
                <w:color w:val="auto"/>
              </w:rPr>
              <w:t>VA</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de Venezuela C.A.</w:t>
            </w:r>
          </w:p>
        </w:tc>
        <w:tc>
          <w:tcPr>
            <w:tcW w:w="6260" w:type="dxa"/>
            <w:vAlign w:val="bottom"/>
          </w:tcPr>
          <w:p>
            <w:pPr>
              <w:ind w:left="2880"/>
              <w:spacing w:after="0"/>
              <w:rPr>
                <w:sz w:val="20"/>
                <w:szCs w:val="20"/>
                <w:color w:val="auto"/>
              </w:rPr>
            </w:pPr>
            <w:r>
              <w:rPr>
                <w:rFonts w:ascii="Arial" w:cs="Arial" w:eastAsia="Arial" w:hAnsi="Arial"/>
                <w:sz w:val="18"/>
                <w:szCs w:val="18"/>
                <w:color w:val="auto"/>
              </w:rPr>
              <w:t>Venezuela</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Empresa de Trabajo Temporal, C.A.</w:t>
            </w:r>
          </w:p>
        </w:tc>
        <w:tc>
          <w:tcPr>
            <w:tcW w:w="6260" w:type="dxa"/>
            <w:vAlign w:val="bottom"/>
          </w:tcPr>
          <w:p>
            <w:pPr>
              <w:ind w:left="2880"/>
              <w:spacing w:after="0"/>
              <w:rPr>
                <w:sz w:val="20"/>
                <w:szCs w:val="20"/>
                <w:color w:val="auto"/>
              </w:rPr>
            </w:pPr>
            <w:r>
              <w:rPr>
                <w:rFonts w:ascii="Arial" w:cs="Arial" w:eastAsia="Arial" w:hAnsi="Arial"/>
                <w:sz w:val="18"/>
                <w:szCs w:val="18"/>
                <w:color w:val="auto"/>
              </w:rPr>
              <w:t>Venezuela</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Servicios Alleray, C.A.</w:t>
            </w:r>
          </w:p>
        </w:tc>
        <w:tc>
          <w:tcPr>
            <w:tcW w:w="6260" w:type="dxa"/>
            <w:vAlign w:val="bottom"/>
          </w:tcPr>
          <w:p>
            <w:pPr>
              <w:ind w:left="2880"/>
              <w:spacing w:after="0"/>
              <w:rPr>
                <w:sz w:val="20"/>
                <w:szCs w:val="20"/>
                <w:color w:val="auto"/>
              </w:rPr>
            </w:pPr>
            <w:r>
              <w:rPr>
                <w:rFonts w:ascii="Arial" w:cs="Arial" w:eastAsia="Arial" w:hAnsi="Arial"/>
                <w:sz w:val="18"/>
                <w:szCs w:val="18"/>
                <w:color w:val="auto"/>
              </w:rPr>
              <w:t>Venezuela</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Manpower Vietnam Company Ltd.</w:t>
            </w:r>
          </w:p>
        </w:tc>
        <w:tc>
          <w:tcPr>
            <w:tcW w:w="6260" w:type="dxa"/>
            <w:vAlign w:val="bottom"/>
          </w:tcPr>
          <w:p>
            <w:pPr>
              <w:ind w:left="2880"/>
              <w:spacing w:after="0"/>
              <w:rPr>
                <w:sz w:val="20"/>
                <w:szCs w:val="20"/>
                <w:color w:val="auto"/>
              </w:rPr>
            </w:pPr>
            <w:r>
              <w:rPr>
                <w:rFonts w:ascii="Arial" w:cs="Arial" w:eastAsia="Arial" w:hAnsi="Arial"/>
                <w:sz w:val="18"/>
                <w:szCs w:val="18"/>
                <w:color w:val="auto"/>
              </w:rPr>
              <w:t>Vietnam</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Manpower Nominees Inc.</w:t>
            </w:r>
          </w:p>
        </w:tc>
        <w:tc>
          <w:tcPr>
            <w:tcW w:w="6260" w:type="dxa"/>
            <w:vAlign w:val="bottom"/>
          </w:tcPr>
          <w:p>
            <w:pPr>
              <w:ind w:left="2880"/>
              <w:spacing w:after="0"/>
              <w:rPr>
                <w:sz w:val="20"/>
                <w:szCs w:val="20"/>
                <w:color w:val="auto"/>
              </w:rPr>
            </w:pPr>
            <w:r>
              <w:rPr>
                <w:rFonts w:ascii="Arial" w:cs="Arial" w:eastAsia="Arial" w:hAnsi="Arial"/>
                <w:sz w:val="18"/>
                <w:szCs w:val="18"/>
                <w:color w:val="auto"/>
              </w:rPr>
              <w:t>WI</w:t>
            </w:r>
          </w:p>
        </w:tc>
      </w:tr>
      <w:tr>
        <w:trPr>
          <w:trHeight w:val="432"/>
        </w:trPr>
        <w:tc>
          <w:tcPr>
            <w:tcW w:w="5000" w:type="dxa"/>
            <w:vAlign w:val="bottom"/>
          </w:tcPr>
          <w:p>
            <w:pPr>
              <w:spacing w:after="0"/>
              <w:rPr>
                <w:sz w:val="24"/>
                <w:szCs w:val="24"/>
                <w:color w:val="auto"/>
              </w:rPr>
            </w:pPr>
          </w:p>
        </w:tc>
        <w:tc>
          <w:tcPr>
            <w:tcW w:w="6260" w:type="dxa"/>
            <w:vAlign w:val="bottom"/>
          </w:tcPr>
          <w:p>
            <w:pPr>
              <w:ind w:left="580"/>
              <w:spacing w:after="0"/>
              <w:rPr>
                <w:sz w:val="20"/>
                <w:szCs w:val="20"/>
                <w:color w:val="auto"/>
              </w:rPr>
            </w:pPr>
            <w:r>
              <w:rPr>
                <w:rFonts w:ascii="Arial" w:cs="Arial" w:eastAsia="Arial" w:hAnsi="Arial"/>
                <w:sz w:val="18"/>
                <w:szCs w:val="18"/>
                <w:color w:val="auto"/>
              </w:rPr>
              <w:t>6</w:t>
            </w:r>
          </w:p>
        </w:tc>
      </w:tr>
      <w:tr>
        <w:trPr>
          <w:trHeight w:val="115"/>
        </w:trPr>
        <w:tc>
          <w:tcPr>
            <w:tcW w:w="500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Experis US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Signature Graphics of Milwaukee,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ManpowerGroup 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Global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200" w:lineRule="exact"/>
        <w:rPr>
          <w:sz w:val="20"/>
          <w:szCs w:val="20"/>
          <w:color w:val="auto"/>
        </w:rPr>
      </w:pPr>
    </w:p>
    <w:p>
      <w:pPr>
        <w:sectPr>
          <w:pgSz w:w="11900" w:h="16838" w:orient="portrait"/>
          <w:cols w:equalWidth="0" w:num="2">
            <w:col w:w="7160" w:space="720"/>
            <w:col w:w="2259"/>
          </w:cols>
          <w:pgMar w:left="320" w:top="368" w:right="1440" w:bottom="1440" w:gutter="0" w:footer="0" w:header="0"/>
        </w:sect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139"/>
          </w:cols>
          <w:pgMar w:left="320" w:top="368"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33-40441, 333-1040, 333-105205, 333-126703, 333-135000, 333-161765, 333-174305, 333-195833, and 333-238801 on Form S-8 and Registration Nos. 333-650 and 33-95896 on Form S-4 of our reports dated February 19, 2021,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304" w:lineRule="exact"/>
        <w:rPr>
          <w:sz w:val="20"/>
          <w:szCs w:val="20"/>
          <w:color w:val="auto"/>
        </w:rPr>
      </w:pPr>
    </w:p>
    <w:p>
      <w:pPr>
        <w:ind w:right="20" w:firstLine="790"/>
        <w:spacing w:after="0" w:line="236" w:lineRule="auto"/>
        <w:rPr>
          <w:sz w:val="20"/>
          <w:szCs w:val="20"/>
          <w:color w:val="auto"/>
        </w:rPr>
      </w:pPr>
      <w:r>
        <w:rPr>
          <w:rFonts w:ascii="Arial" w:cs="Arial" w:eastAsia="Arial" w:hAnsi="Arial"/>
          <w:sz w:val="18"/>
          <w:szCs w:val="18"/>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2020,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200" w:lineRule="exact"/>
        <w:rPr>
          <w:sz w:val="20"/>
          <w:szCs w:val="20"/>
          <w:color w:val="auto"/>
        </w:rPr>
      </w:pPr>
    </w:p>
    <w:p>
      <w:pPr>
        <w:spacing w:after="0" w:line="277" w:lineRule="exact"/>
        <w:rPr>
          <w:sz w:val="20"/>
          <w:szCs w:val="20"/>
          <w:color w:val="auto"/>
        </w:rPr>
      </w:pPr>
    </w:p>
    <w:p>
      <w:pPr>
        <w:ind w:right="120" w:firstLine="790"/>
        <w:spacing w:after="0" w:line="246"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25</w:t>
      </w:r>
      <w:r>
        <w:rPr>
          <w:rFonts w:ascii="Arial" w:cs="Arial" w:eastAsia="Arial" w:hAnsi="Arial"/>
          <w:sz w:val="15"/>
          <w:szCs w:val="15"/>
          <w:color w:val="auto"/>
        </w:rPr>
        <w:t>th</w:t>
      </w:r>
      <w:r>
        <w:rPr>
          <w:rFonts w:ascii="Arial" w:cs="Arial" w:eastAsia="Arial" w:hAnsi="Arial"/>
          <w:sz w:val="18"/>
          <w:szCs w:val="18"/>
          <w:color w:val="auto"/>
        </w:rPr>
        <w:t xml:space="preserve"> day of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ind w:left="1560"/>
        <w:spacing w:after="0"/>
        <w:rPr>
          <w:sz w:val="20"/>
          <w:szCs w:val="20"/>
          <w:color w:val="auto"/>
        </w:rPr>
      </w:pPr>
      <w:r>
        <w:rPr>
          <w:rFonts w:ascii="Arial" w:cs="Arial" w:eastAsia="Arial" w:hAnsi="Arial"/>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16027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16027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Jean-Philippe Courtois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16027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Cari M. Dominguez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6027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160274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John F. Ferraro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 William P. Gipson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16027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William P. Gipson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47625</wp:posOffset>
            </wp:positionV>
            <wp:extent cx="16027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1602740" cy="17145"/>
                    </a:xfrm>
                    <a:prstGeom prst="rect">
                      <a:avLst/>
                    </a:prstGeom>
                    <a:noFill/>
                  </pic:spPr>
                </pic:pic>
              </a:graphicData>
            </a:graphic>
          </wp:anchor>
        </w:drawing>
      </w:r>
    </w:p>
    <w:p>
      <w:pPr>
        <w:spacing w:after="0" w:line="12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Patricia A. Hemingway Hall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40640</wp:posOffset>
            </wp:positionV>
            <wp:extent cx="13887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Julie M. Howard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40640</wp:posOffset>
            </wp:positionV>
            <wp:extent cx="13887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40640</wp:posOffset>
            </wp:positionV>
            <wp:extent cx="13887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40640</wp:posOffset>
            </wp:positionV>
            <wp:extent cx="13887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Paul Read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40640</wp:posOffset>
            </wp:positionV>
            <wp:extent cx="13887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47625</wp:posOffset>
            </wp:positionV>
            <wp:extent cx="13887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ectPr>
          <w:pgSz w:w="11900" w:h="16838" w:orient="portrait"/>
          <w:cols w:equalWidth="0" w:num="2">
            <w:col w:w="4800" w:space="720"/>
            <w:col w:w="3499"/>
          </w:cols>
          <w:pgMar w:left="1440" w:top="395"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Chairman and Chief Executive Officer of ManpowerGroup Inc., certify that:</w:t>
      </w:r>
    </w:p>
    <w:p>
      <w:pPr>
        <w:spacing w:after="0" w:line="185" w:lineRule="exact"/>
        <w:rPr>
          <w:sz w:val="20"/>
          <w:szCs w:val="20"/>
          <w:color w:val="auto"/>
        </w:rPr>
      </w:pPr>
    </w:p>
    <w:p>
      <w:pPr>
        <w:ind w:left="940" w:hanging="446"/>
        <w:spacing w:after="0"/>
        <w:tabs>
          <w:tab w:leader="none" w:pos="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84" w:lineRule="exact"/>
        <w:rPr>
          <w:rFonts w:ascii="Arial" w:cs="Arial" w:eastAsia="Arial" w:hAnsi="Arial"/>
          <w:sz w:val="18"/>
          <w:szCs w:val="18"/>
          <w:color w:val="auto"/>
        </w:rPr>
      </w:pPr>
    </w:p>
    <w:p>
      <w:pPr>
        <w:jc w:val="both"/>
        <w:ind w:left="940" w:right="100" w:hanging="446"/>
        <w:spacing w:after="0" w:line="263" w:lineRule="auto"/>
        <w:tabs>
          <w:tab w:leader="none" w:pos="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446"/>
        <w:spacing w:after="0" w:line="308" w:lineRule="auto"/>
        <w:tabs>
          <w:tab w:leader="none" w:pos="9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446"/>
        <w:spacing w:after="0" w:line="291" w:lineRule="auto"/>
        <w:tabs>
          <w:tab w:leader="none" w:pos="9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2440" w:right="360" w:hanging="488"/>
        <w:spacing w:after="0" w:line="259" w:lineRule="auto"/>
        <w:tabs>
          <w:tab w:leader="none" w:pos="2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2440" w:right="280" w:hanging="488"/>
        <w:spacing w:after="0" w:line="311" w:lineRule="auto"/>
        <w:tabs>
          <w:tab w:leader="none" w:pos="24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2440" w:right="160" w:hanging="488"/>
        <w:spacing w:after="0" w:line="263" w:lineRule="auto"/>
        <w:tabs>
          <w:tab w:leader="none" w:pos="2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2440" w:right="260" w:hanging="488"/>
        <w:spacing w:after="0" w:line="259" w:lineRule="auto"/>
        <w:tabs>
          <w:tab w:leader="none" w:pos="2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940" w:right="500" w:hanging="446"/>
        <w:spacing w:after="0" w:line="263" w:lineRule="auto"/>
        <w:tabs>
          <w:tab w:leader="none" w:pos="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2440" w:right="60" w:hanging="488"/>
        <w:spacing w:after="0" w:line="263" w:lineRule="auto"/>
        <w:tabs>
          <w:tab w:leader="none" w:pos="2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440" w:right="440" w:hanging="488"/>
        <w:spacing w:after="0" w:line="277" w:lineRule="auto"/>
        <w:tabs>
          <w:tab w:leader="none" w:pos="24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85" w:lineRule="exact"/>
        <w:rPr>
          <w:sz w:val="20"/>
          <w:szCs w:val="20"/>
          <w:color w:val="auto"/>
        </w:rPr>
      </w:pPr>
    </w:p>
    <w:p>
      <w:pPr>
        <w:ind w:left="940" w:hanging="446"/>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84" w:lineRule="exact"/>
        <w:rPr>
          <w:rFonts w:ascii="Arial" w:cs="Arial" w:eastAsia="Arial" w:hAnsi="Arial"/>
          <w:sz w:val="18"/>
          <w:szCs w:val="18"/>
          <w:color w:val="auto"/>
        </w:rPr>
      </w:pPr>
    </w:p>
    <w:p>
      <w:pPr>
        <w:jc w:val="both"/>
        <w:ind w:left="940" w:right="100" w:hanging="446"/>
        <w:spacing w:after="0" w:line="263" w:lineRule="auto"/>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446"/>
        <w:spacing w:after="0" w:line="308" w:lineRule="auto"/>
        <w:tabs>
          <w:tab w:leader="none" w:pos="9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446"/>
        <w:spacing w:after="0" w:line="291" w:lineRule="auto"/>
        <w:tabs>
          <w:tab w:leader="none" w:pos="9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2440" w:right="360" w:hanging="488"/>
        <w:spacing w:after="0" w:line="259" w:lineRule="auto"/>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2440" w:right="280" w:hanging="488"/>
        <w:spacing w:after="0" w:line="311" w:lineRule="auto"/>
        <w:tabs>
          <w:tab w:leader="none" w:pos="2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2440" w:right="160" w:hanging="488"/>
        <w:spacing w:after="0" w:line="263" w:lineRule="auto"/>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2440" w:right="260" w:hanging="488"/>
        <w:spacing w:after="0" w:line="259" w:lineRule="auto"/>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940" w:right="500" w:hanging="446"/>
        <w:spacing w:after="0" w:line="263" w:lineRule="auto"/>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2440" w:right="60" w:hanging="488"/>
        <w:spacing w:after="0" w:line="263" w:lineRule="auto"/>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440" w:right="440" w:hanging="488"/>
        <w:spacing w:after="0" w:line="277" w:lineRule="auto"/>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720" w:right="340" w:hanging="429"/>
        <w:spacing w:after="0" w:line="277" w:lineRule="auto"/>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20" w:hanging="429"/>
        <w:spacing w:after="0"/>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rFonts w:ascii="Arial" w:cs="Arial" w:eastAsia="Arial" w:hAnsi="Arial"/>
          <w:sz w:val="16"/>
          <w:szCs w:val="16"/>
          <w:color w:val="auto"/>
        </w:rPr>
      </w:pPr>
    </w:p>
    <w:p>
      <w:pPr>
        <w:ind w:right="9180"/>
        <w:spacing w:after="0" w:line="530" w:lineRule="auto"/>
        <w:rPr>
          <w:rFonts w:ascii="Arial" w:cs="Arial" w:eastAsia="Arial" w:hAnsi="Arial"/>
          <w:sz w:val="16"/>
          <w:szCs w:val="16"/>
          <w:color w:val="auto"/>
        </w:rPr>
      </w:pPr>
      <w:r>
        <w:rPr>
          <w:rFonts w:ascii="Arial" w:cs="Arial" w:eastAsia="Arial" w:hAnsi="Arial"/>
          <w:sz w:val="17"/>
          <w:szCs w:val="17"/>
          <w:color w:val="auto"/>
        </w:rPr>
        <w:t>MANPOWERGROUP INC. Dated: February 19,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30" w:lineRule="exact"/>
        <w:rPr>
          <w:sz w:val="20"/>
          <w:szCs w:val="20"/>
          <w:color w:val="auto"/>
        </w:rPr>
      </w:pPr>
    </w:p>
    <w:p>
      <w:pPr>
        <w:ind w:left="720" w:right="340" w:hanging="429"/>
        <w:spacing w:after="0" w:line="277" w:lineRule="auto"/>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20" w:hanging="429"/>
        <w:spacing w:after="0"/>
        <w:tabs>
          <w:tab w:leader="none" w:pos="7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rFonts w:ascii="Arial" w:cs="Arial" w:eastAsia="Arial" w:hAnsi="Arial"/>
          <w:sz w:val="16"/>
          <w:szCs w:val="16"/>
          <w:color w:val="auto"/>
        </w:rPr>
      </w:pPr>
    </w:p>
    <w:p>
      <w:pPr>
        <w:ind w:right="9180"/>
        <w:spacing w:after="0" w:line="546" w:lineRule="auto"/>
        <w:rPr>
          <w:rFonts w:ascii="Arial" w:cs="Arial" w:eastAsia="Arial" w:hAnsi="Arial"/>
          <w:sz w:val="16"/>
          <w:szCs w:val="16"/>
          <w:color w:val="auto"/>
        </w:rPr>
      </w:pPr>
      <w:r>
        <w:rPr>
          <w:rFonts w:ascii="Arial" w:cs="Arial" w:eastAsia="Arial" w:hAnsi="Arial"/>
          <w:sz w:val="17"/>
          <w:szCs w:val="17"/>
          <w:color w:val="auto"/>
        </w:rPr>
        <w:t>MANPOWERGROUP INC. Dated: February 19,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o"/>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2"/>
    </w:lvl>
  </w:abstractNum>
  <w:abstractNum w:abstractNumId="35">
    <w:nsid w:val="5FF87E05"/>
    <w:multiLevelType w:val="hybridMultilevel"/>
    <w:lvl w:ilvl="0">
      <w:lvlJc w:val="left"/>
      <w:lvlText w:val="•"/>
      <w:numFmt w:val="bullet"/>
      <w:start w:val="1"/>
    </w:lvl>
    <w:lvl w:ilvl="1">
      <w:lvlJc w:val="left"/>
      <w:lvlText w:val="•"/>
      <w:numFmt w:val="bullet"/>
      <w:start w:val="1"/>
    </w:lvl>
  </w:abstractNum>
  <w:abstractNum w:abstractNumId="36">
    <w:nsid w:val="2F305DEF"/>
    <w:multiLevelType w:val="hybridMultilevel"/>
    <w:lvl w:ilvl="0">
      <w:lvlJc w:val="left"/>
      <w:lvlText w:val="(%1)"/>
      <w:numFmt w:val="decimal"/>
      <w:start w:val="3"/>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decimal"/>
      <w:start w:val="4"/>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6"/>
    </w:lvl>
  </w:abstractNum>
  <w:abstractNum w:abstractNumId="41">
    <w:nsid w:val="1381823A"/>
    <w:multiLevelType w:val="hybridMultilevel"/>
    <w:lvl w:ilvl="0">
      <w:lvlJc w:val="left"/>
      <w:lvlText w:val="(%1)"/>
      <w:numFmt w:val="decimal"/>
      <w:start w:val="7"/>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9"/>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12"/>
    </w:lvl>
  </w:abstractNum>
  <w:abstractNum w:abstractNumId="46">
    <w:nsid w:val="5F5E7FD0"/>
    <w:multiLevelType w:val="hybridMultilevel"/>
    <w:lvl w:ilvl="0">
      <w:lvlJc w:val="left"/>
      <w:lvlText w:val="(%1)"/>
      <w:numFmt w:val="decimal"/>
      <w:start w:val="13"/>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14"/>
    </w:lvl>
  </w:abstractNum>
  <w:abstractNum w:abstractNumId="49">
    <w:nsid w:val="6B94764"/>
    <w:multiLevelType w:val="hybridMultilevel"/>
    <w:lvl w:ilvl="0">
      <w:lvlJc w:val="left"/>
      <w:lvlText w:val="(%1)"/>
      <w:numFmt w:val="lowerLetter"/>
      <w:start w:val="2"/>
    </w:lvl>
  </w:abstractNum>
  <w:abstractNum w:abstractNumId="50">
    <w:nsid w:val="42C296BD"/>
    <w:multiLevelType w:val="hybridMultilevel"/>
    <w:lvl w:ilvl="0">
      <w:lvlJc w:val="left"/>
      <w:lvlText w:val="(%1)"/>
      <w:numFmt w:val="lowerLetter"/>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21"/>
    </w:lvl>
  </w:abstractNum>
  <w:abstractNum w:abstractNumId="56">
    <w:nsid w:val="7BD3EE7B"/>
    <w:multiLevelType w:val="hybridMultilevel"/>
    <w:lvl w:ilvl="0">
      <w:lvlJc w:val="left"/>
      <w:lvlText w:val="%1"/>
      <w:numFmt w:val="decimal"/>
      <w:start w:val="24"/>
    </w:lvl>
  </w:abstractNum>
  <w:abstractNum w:abstractNumId="57">
    <w:nsid w:val="51D9C564"/>
    <w:multiLevelType w:val="hybridMultilevel"/>
    <w:lvl w:ilvl="0">
      <w:lvlJc w:val="left"/>
      <w:lvlText w:val="%1"/>
      <w:numFmt w:val="decimal"/>
      <w:start w:val="104"/>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lowerRoman"/>
      <w:start w:val="1"/>
    </w:lvl>
  </w:abstractNum>
  <w:abstractNum w:abstractNumId="61">
    <w:nsid w:val="42963E5A"/>
    <w:multiLevelType w:val="hybridMultilevel"/>
    <w:lvl w:ilvl="0">
      <w:lvlJc w:val="left"/>
      <w:lvlText w:val="(%1)"/>
      <w:numFmt w:val="lowerRoman"/>
      <w:start w:val="3"/>
    </w:lvl>
  </w:abstractNum>
  <w:abstractNum w:abstractNumId="62">
    <w:nsid w:val="A0382C5"/>
    <w:multiLevelType w:val="hybridMultilevel"/>
    <w:lvl w:ilvl="0">
      <w:lvlJc w:val="left"/>
      <w:lvlText w:val="%1."/>
      <w:numFmt w:val="lowerLetter"/>
      <w:start w:val="1"/>
    </w:lvl>
    <w:lvl w:ilvl="1">
      <w:lvlJc w:val="left"/>
      <w:lvlText w:val="(%2)"/>
      <w:numFmt w:val="lowerRoman"/>
      <w:start w:val="1"/>
    </w:lvl>
  </w:abstractNum>
  <w:abstractNum w:abstractNumId="63">
    <w:nsid w:val="8F2B15E"/>
    <w:multiLevelType w:val="hybridMultilevel"/>
    <w:lvl w:ilvl="0">
      <w:lvlJc w:val="left"/>
      <w:lvlText w:val="%1"/>
      <w:numFmt w:val="lowerLetter"/>
      <w:start w:val="1"/>
    </w:lvl>
    <w:lvl w:ilvl="1">
      <w:lvlJc w:val="left"/>
      <w:lvlText w:val="(%2)"/>
      <w:numFmt w:val="lowerRoman"/>
      <w:start w:val="5"/>
    </w:lvl>
  </w:abstractNum>
  <w:abstractNum w:abstractNumId="64">
    <w:nsid w:val="1A32234B"/>
    <w:multiLevelType w:val="hybridMultilevel"/>
    <w:lvl w:ilvl="0">
      <w:lvlJc w:val="left"/>
      <w:lvlText w:val="%1."/>
      <w:numFmt w:val="lowerLetter"/>
      <w:start w:val="2"/>
    </w:lvl>
    <w:lvl w:ilvl="1">
      <w:lvlJc w:val="left"/>
      <w:lvlText w:val="(%2)"/>
      <w:numFmt w:val="lowerRoman"/>
      <w:start w:val="1"/>
    </w:lvl>
  </w:abstractNum>
  <w:abstractNum w:abstractNumId="65">
    <w:nsid w:val="3B0FD379"/>
    <w:multiLevelType w:val="hybridMultilevel"/>
    <w:lvl w:ilvl="0">
      <w:lvlJc w:val="left"/>
      <w:lvlText w:val="%1."/>
      <w:numFmt w:val="decimal"/>
      <w:start w:val="3"/>
    </w:lvl>
  </w:abstractNum>
  <w:abstractNum w:abstractNumId="66">
    <w:nsid w:val="68EB2F63"/>
    <w:multiLevelType w:val="hybridMultilevel"/>
    <w:lvl w:ilvl="0">
      <w:lvlJc w:val="left"/>
      <w:lvlText w:val="%1."/>
      <w:numFmt w:val="decimal"/>
      <w:start w:val="1"/>
    </w:lvl>
    <w:lvl w:ilvl="1">
      <w:lvlJc w:val="left"/>
      <w:lvlText w:val="(%2)"/>
      <w:numFmt w:val="lowerLetter"/>
      <w:start w:val="1"/>
    </w:lvl>
  </w:abstractNum>
  <w:abstractNum w:abstractNumId="67">
    <w:nsid w:val="4962813B"/>
    <w:multiLevelType w:val="hybridMultilevel"/>
    <w:lvl w:ilvl="0">
      <w:lvlJc w:val="left"/>
      <w:lvlText w:val="(%1)"/>
      <w:numFmt w:val="lowerLetter"/>
      <w:start w:val="3"/>
    </w:lvl>
    <w:lvl w:ilvl="1">
      <w:lvlJc w:val="left"/>
      <w:lvlText w:val="(%2)"/>
      <w:numFmt w:val="lowerRoman"/>
      <w:start w:val="1"/>
    </w:lvl>
  </w:abstractNum>
  <w:abstractNum w:abstractNumId="68">
    <w:nsid w:val="60B6DF70"/>
    <w:multiLevelType w:val="hybridMultilevel"/>
    <w:lvl w:ilvl="0">
      <w:lvlJc w:val="left"/>
      <w:lvlText w:val="(%1)"/>
      <w:numFmt w:val="lowerRoman"/>
      <w:start w:val="3"/>
    </w:lvl>
  </w:abstractNum>
  <w:abstractNum w:abstractNumId="69">
    <w:nsid w:val="6A5EE64"/>
    <w:multiLevelType w:val="hybridMultilevel"/>
    <w:lvl w:ilvl="0">
      <w:lvlJc w:val="left"/>
      <w:lvlText w:val="(%1)"/>
      <w:numFmt w:val="lowerLetter"/>
      <w:start w:val="4"/>
    </w:lvl>
    <w:lvl w:ilvl="1">
      <w:lvlJc w:val="left"/>
      <w:lvlText w:val="(%2)"/>
      <w:numFmt w:val="lowerRoman"/>
      <w:start w:val="1"/>
    </w:lvl>
  </w:abstractNum>
  <w:abstractNum w:abstractNumId="70">
    <w:nsid w:val="14330624"/>
    <w:multiLevelType w:val="hybridMultilevel"/>
    <w:lvl w:ilvl="0">
      <w:lvlJc w:val="left"/>
      <w:lvlText w:val="(%1)"/>
      <w:numFmt w:val="lowerRoman"/>
      <w:start w:val="4"/>
    </w:lvl>
  </w:abstractNum>
  <w:abstractNum w:abstractNumId="71">
    <w:nsid w:val="7FFFCA11"/>
    <w:multiLevelType w:val="hybridMultilevel"/>
    <w:lvl w:ilvl="0">
      <w:lvlJc w:val="left"/>
      <w:lvlText w:val="(%1)"/>
      <w:numFmt w:val="lowerLetter"/>
      <w:start w:val="61"/>
    </w:lvl>
    <w:lvl w:ilvl="1">
      <w:lvlJc w:val="left"/>
      <w:lvlText w:val="(%2)"/>
      <w:numFmt w:val="lowerLetter"/>
      <w:start w:val="5"/>
    </w:lvl>
  </w:abstractNum>
  <w:abstractNum w:abstractNumId="72">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3">
    <w:nsid w:val="71EA1109"/>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lowerRoman"/>
      <w:start w:val="1"/>
    </w:lvl>
  </w:abstractNum>
  <w:abstractNum w:abstractNumId="74">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75">
    <w:nsid w:val="7FB7E0AA"/>
    <w:multiLevelType w:val="hybridMultilevel"/>
    <w:lvl w:ilvl="0">
      <w:lvlJc w:val="left"/>
      <w:lvlText w:val="(%1)"/>
      <w:numFmt w:val="lowerLetter"/>
      <w:start w:val="3"/>
    </w:lvl>
    <w:lvl w:ilvl="1">
      <w:lvlJc w:val="left"/>
      <w:lvlText w:val="(%2)"/>
      <w:numFmt w:val="lowerRoman"/>
      <w:start w:val="1"/>
    </w:lvl>
  </w:abstractNum>
  <w:abstractNum w:abstractNumId="76">
    <w:nsid w:val="6EB5BD4"/>
    <w:multiLevelType w:val="hybridMultilevel"/>
    <w:lvl w:ilvl="0">
      <w:lvlJc w:val="left"/>
      <w:lvlText w:val="(%1)"/>
      <w:numFmt w:val="lowerRoman"/>
      <w:start w:val="5"/>
    </w:lvl>
  </w:abstractNum>
  <w:abstractNum w:abstractNumId="77">
    <w:nsid w:val="6F6DD9AC"/>
    <w:multiLevelType w:val="hybridMultilevel"/>
    <w:lvl w:ilvl="0">
      <w:lvlJc w:val="left"/>
      <w:lvlText w:val="(%1)"/>
      <w:numFmt w:val="lowerLetter"/>
      <w:start w:val="4"/>
    </w:lvl>
    <w:lvl w:ilvl="1">
      <w:lvlJc w:val="left"/>
      <w:lvlText w:val="(%2)"/>
      <w:numFmt w:val="lowerRoman"/>
      <w:start w:val="1"/>
    </w:lvl>
  </w:abstractNum>
  <w:abstractNum w:abstractNumId="78">
    <w:nsid w:val="94211F2"/>
    <w:multiLevelType w:val="hybridMultilevel"/>
    <w:lvl w:ilvl="0">
      <w:lvlJc w:val="left"/>
      <w:lvlText w:val="%1"/>
      <w:numFmt w:val="lowerRoman"/>
      <w:start w:val="1"/>
    </w:lvl>
    <w:lvl w:ilvl="1">
      <w:lvlJc w:val="left"/>
      <w:lvlText w:val="(%2)"/>
      <w:numFmt w:val="lowerRoman"/>
      <w:start w:val="4"/>
    </w:lvl>
  </w:abstractNum>
  <w:abstractNum w:abstractNumId="79">
    <w:nsid w:val="885E1B"/>
    <w:multiLevelType w:val="hybridMultilevel"/>
    <w:lvl w:ilvl="0">
      <w:lvlJc w:val="left"/>
      <w:lvlText w:val="(%1)"/>
      <w:numFmt w:val="lowerRoman"/>
      <w:start w:val="5"/>
    </w:lvl>
    <w:lvl w:ilvl="1">
      <w:lvlJc w:val="left"/>
      <w:lvlText w:val="%2"/>
      <w:numFmt w:val="lowerRoman"/>
      <w:start w:val="1"/>
    </w:lvl>
  </w:abstractNum>
  <w:abstractNum w:abstractNumId="80">
    <w:nsid w:val="76272110"/>
    <w:multiLevelType w:val="hybridMultilevel"/>
    <w:lvl w:ilvl="0">
      <w:lvlJc w:val="left"/>
      <w:lvlText w:val="(%1)"/>
      <w:numFmt w:val="lowerLetter"/>
      <w:start w:val="5"/>
    </w:lvl>
  </w:abstractNum>
  <w:abstractNum w:abstractNumId="81">
    <w:nsid w:val="4C04A8AF"/>
    <w:multiLevelType w:val="hybridMultilevel"/>
    <w:lvl w:ilvl="0">
      <w:lvlJc w:val="left"/>
      <w:lvlText w:val="%1"/>
      <w:numFmt w:val="decimal"/>
      <w:start w:val="1"/>
    </w:lvl>
    <w:lvl w:ilvl="1">
      <w:lvlJc w:val="left"/>
      <w:lvlText w:val="(%2)"/>
      <w:numFmt w:val="lowerLetter"/>
      <w:start w:val="7"/>
    </w:lvl>
  </w:abstractNum>
  <w:abstractNum w:abstractNumId="82">
    <w:nsid w:val="1716703B"/>
    <w:multiLevelType w:val="hybridMultilevel"/>
    <w:lvl w:ilvl="0">
      <w:lvlJc w:val="left"/>
      <w:lvlText w:val="%1."/>
      <w:numFmt w:val="decimal"/>
      <w:start w:val="3"/>
    </w:lvl>
    <w:lvl w:ilvl="1">
      <w:lvlJc w:val="left"/>
      <w:lvlText w:val="(%2)"/>
      <w:numFmt w:val="lowerLetter"/>
      <w:start w:val="1"/>
    </w:lvl>
  </w:abstractNum>
  <w:abstractNum w:abstractNumId="83">
    <w:nsid w:val="14E17E33"/>
    <w:multiLevelType w:val="hybridMultilevel"/>
    <w:lvl w:ilvl="0">
      <w:lvlJc w:val="left"/>
      <w:lvlText w:val="(%1)"/>
      <w:numFmt w:val="lowerLetter"/>
      <w:start w:val="2"/>
    </w:lvl>
  </w:abstractNum>
  <w:abstractNum w:abstractNumId="84">
    <w:nsid w:val="3222E7CD"/>
    <w:multiLevelType w:val="hybridMultilevel"/>
    <w:lvl w:ilvl="0">
      <w:lvlJc w:val="left"/>
      <w:lvlText w:val="%1."/>
      <w:numFmt w:val="decimal"/>
      <w:start w:val="4"/>
    </w:lvl>
    <w:lvl w:ilvl="1">
      <w:lvlJc w:val="left"/>
      <w:lvlText w:val="(%2)"/>
      <w:numFmt w:val="lowerLetter"/>
      <w:start w:val="1"/>
    </w:lvl>
  </w:abstractNum>
  <w:abstractNum w:abstractNumId="85">
    <w:nsid w:val="74DE0EE3"/>
    <w:multiLevelType w:val="hybridMultilevel"/>
    <w:lvl w:ilvl="0">
      <w:lvlJc w:val="left"/>
      <w:lvlText w:val="%1."/>
      <w:numFmt w:val="decimal"/>
      <w:start w:val="7"/>
    </w:lvl>
    <w:lvl w:ilvl="1">
      <w:lvlJc w:val="left"/>
      <w:lvlText w:val="(%2)"/>
      <w:numFmt w:val="lowerLetter"/>
      <w:start w:val="1"/>
    </w:lvl>
  </w:abstractNum>
  <w:abstractNum w:abstractNumId="86">
    <w:nsid w:val="68EBC550"/>
    <w:multiLevelType w:val="hybridMultilevel"/>
    <w:lvl w:ilvl="0">
      <w:lvlJc w:val="left"/>
      <w:lvlText w:val="%1."/>
      <w:numFmt w:val="decimal"/>
      <w:start w:val="10"/>
    </w:lvl>
  </w:abstractNum>
  <w:abstractNum w:abstractNumId="87">
    <w:nsid w:val="2DF6D648"/>
    <w:multiLevelType w:val="hybridMultilevel"/>
    <w:lvl w:ilvl="0">
      <w:lvlJc w:val="left"/>
      <w:lvlText w:val="%1."/>
      <w:numFmt w:val="decimal"/>
      <w:start w:val="17"/>
    </w:lvl>
    <w:lvl w:ilvl="1">
      <w:lvlJc w:val="left"/>
      <w:lvlText w:val="(%2)"/>
      <w:numFmt w:val="lowerLetter"/>
      <w:start w:val="1"/>
    </w:lvl>
  </w:abstractNum>
  <w:abstractNum w:abstractNumId="88">
    <w:nsid w:val="46B7D447"/>
    <w:multiLevelType w:val="hybridMultilevel"/>
    <w:lvl w:ilvl="0">
      <w:lvlJc w:val="left"/>
      <w:lvlText w:val="%1."/>
      <w:numFmt w:val="decimal"/>
      <w:start w:val="19"/>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43" Type="http://schemas.openxmlformats.org/officeDocument/2006/relationships/hyperlink" Target="https://www.sec.gov/ix?doc=/Archives/edgar/data/871763/000156459020005762/man-10k_20191231.htm" TargetMode="External"/><Relationship Id="rId128" Type="http://schemas.openxmlformats.org/officeDocument/2006/relationships/hyperlink" Target="http://www.sec.gov/Archives/edgar/data/871763/000087176313000024/exhibit_3-1.htm" TargetMode="External"/><Relationship Id="rId129" Type="http://schemas.openxmlformats.org/officeDocument/2006/relationships/hyperlink" Target="http://www.sec.gov/Archives/edgar/data/871763/000156459020017285/man-ex31_6.htm" TargetMode="External"/><Relationship Id="rId130" Type="http://schemas.openxmlformats.org/officeDocument/2006/relationships/hyperlink" Target="http://www.sec.gov/Archives/edgar/data/871763/000156459020023637/man-ex32_63.htm" TargetMode="External"/><Relationship Id="rId131" Type="http://schemas.openxmlformats.org/officeDocument/2006/relationships/hyperlink" Target="http://www.sec.gov/Archives/edgar/data/871763/000089271218000301/exhibit41.htm" TargetMode="External"/><Relationship Id="rId134" Type="http://schemas.openxmlformats.org/officeDocument/2006/relationships/hyperlink" Target="http://www.sec.gov/Archives/edgar/data/871763/000087176315000042/exhibit_41september112015.htm" TargetMode="External"/><Relationship Id="rId135" Type="http://schemas.openxmlformats.org/officeDocument/2006/relationships/hyperlink" Target="http://www.sec.gov/Archives/edgar/data/871763/000156459020005762/man-ex43_525.htm" TargetMode="External"/><Relationship Id="rId136" Type="http://schemas.openxmlformats.org/officeDocument/2006/relationships/hyperlink" Target="http://www.sec.gov/Archives/edgar/data/871763/000089271218000301/exhibit10-1.htm" TargetMode="External"/><Relationship Id="rId137" Type="http://schemas.openxmlformats.org/officeDocument/2006/relationships/hyperlink" Target="http://www.sec.gov/Archives/edgar/data/871763/000087176311000011/exhibit_10-4.htm" TargetMode="External"/><Relationship Id="rId138" Type="http://schemas.openxmlformats.org/officeDocument/2006/relationships/hyperlink" Target="http://www.sec.gov/Archives/edgar/data/871763/000119312505051218/ddef14a.htm" TargetMode="External"/><Relationship Id="rId139" Type="http://schemas.openxmlformats.org/officeDocument/2006/relationships/hyperlink" Target="http://www.sec.gov/Archives/edgar/data/871763/000156459020005762/man-ex106a_524.htm" TargetMode="External"/><Relationship Id="rId140" Type="http://schemas.openxmlformats.org/officeDocument/2006/relationships/hyperlink" Target="http://www.sec.gov/Archives/edgar/data/871763/000156459020005762/man-ex106b_523.htm" TargetMode="External"/><Relationship Id="rId141" Type="http://schemas.openxmlformats.org/officeDocument/2006/relationships/hyperlink" Target="http://www.sec.gov/Archives/edgar/data/871763/000156459020004814/man-ex101_6.htm" TargetMode="External"/><Relationship Id="rId142" Type="http://schemas.openxmlformats.org/officeDocument/2006/relationships/hyperlink" Target="http://www.sec.gov/Archives/edgar/data/871763/000087176317000124/a12112017ex101severanceagr.htm" TargetMode="External"/><Relationship Id="rId143" Type="http://schemas.openxmlformats.org/officeDocument/2006/relationships/hyperlink" Target="http://www.sec.gov/Archives/edgar/data/871763/000087176318000086/q12018exhibit101.htm" TargetMode="External"/><Relationship Id="rId144" Type="http://schemas.openxmlformats.org/officeDocument/2006/relationships/hyperlink" Target="http://www.sec.gov/Archives/edgar/data/871763/000087176319000050/a10k2018exhibit106h.htm" TargetMode="External"/><Relationship Id="rId145" Type="http://schemas.openxmlformats.org/officeDocument/2006/relationships/hyperlink" Target="http://www.sec.gov/Archives/edgar/data/871763/000089271209000841/exhibit4-1.htm" TargetMode="External"/><Relationship Id="rId146" Type="http://schemas.openxmlformats.org/officeDocument/2006/relationships/hyperlink" Target="http://www.sec.gov/Archives/edgar/data/871763/000087176310000023/ex10_3.htm" TargetMode="External"/><Relationship Id="rId147" Type="http://schemas.openxmlformats.org/officeDocument/2006/relationships/hyperlink" Target="http://www.sec.gov/Archives/edgar/data/871763/000089271220000224/exhibit41.htm" TargetMode="External"/><Relationship Id="rId148" Type="http://schemas.openxmlformats.org/officeDocument/2006/relationships/hyperlink" Target="http://www.sec.gov/Archives/edgar/data/871763/000119312506224722/dex991.htm" TargetMode="External"/><Relationship Id="rId149" Type="http://schemas.openxmlformats.org/officeDocument/2006/relationships/hyperlink" Target="http://www.sec.gov/Archives/edgar/data/871763/000087176319000059/q12019exhibit101.htm" TargetMode="External"/><Relationship Id="rId150" Type="http://schemas.openxmlformats.org/officeDocument/2006/relationships/hyperlink" Target="http://www.sec.gov/Archives/edgar/data/871763/000087176312000023/exhibit_10-4.htm" TargetMode="External"/><Relationship Id="rId151" Type="http://schemas.openxmlformats.org/officeDocument/2006/relationships/hyperlink" Target="http://www.sec.gov/Archives/edgar/data/871763/000087176314000019/exhibit_10-1.htm" TargetMode="External"/><Relationship Id="rId152" Type="http://schemas.openxmlformats.org/officeDocument/2006/relationships/hyperlink" Target="http://www.sec.gov/Archives/edgar/data/871763/000087176316000175/q12016exhibit104.htm" TargetMode="External"/><Relationship Id="rId155" Type="http://schemas.openxmlformats.org/officeDocument/2006/relationships/hyperlink" Target="http://www.sec.gov/Archives/edgar/data/871763/000087176319000059/q12019exhibit102.htm" TargetMode="External"/><Relationship Id="rId156" Type="http://schemas.openxmlformats.org/officeDocument/2006/relationships/hyperlink" Target="http://www.sec.gov/Archives/edgar/data/871763/000087176318000117/a12122018ex101severanceagr.htm" TargetMode="External"/><Relationship Id="rId157" Type="http://schemas.openxmlformats.org/officeDocument/2006/relationships/hyperlink" Target="http://www.sec.gov/Archives/edgar/data/871763/000087176316000113/projectryeofferletterfinal.htm" TargetMode="External"/><Relationship Id="rId158" Type="http://schemas.openxmlformats.org/officeDocument/2006/relationships/hyperlink" Target="http://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2021-02-19T16:15:58Z</dcterms:created>
  <dcterms:modified xsi:type="dcterms:W3CDTF">2021-02-19T16:15:58Z</dcterms:modified>
</cp:coreProperties>
</file>