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McGinnis John 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MANPOWERGROUP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 MANPOWER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ManpowerGroup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MAN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04/16/2021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05"/>
        <w:spacing w:after="0"/>
        <w:rPr>
          <w:sz w:val="20"/>
          <w:szCs w:val="20"/>
          <w:color w:val="auto"/>
        </w:rPr>
      </w:pPr>
      <w:r>
        <w:rPr>
          <w:rFonts w:ascii="Arial" w:cs="Arial" w:eastAsia="Arial" w:hAnsi="Arial"/>
          <w:sz w:val="17"/>
          <w:szCs w:val="17"/>
          <w:color w:val="0000FF"/>
        </w:rPr>
        <w:t>EVP, CFO</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vMerge w:val="restart"/>
          </w:tcPr>
          <w:p>
            <w:pPr>
              <w:spacing w:after="0"/>
              <w:rPr>
                <w:sz w:val="20"/>
                <w:szCs w:val="20"/>
                <w:color w:val="auto"/>
              </w:rPr>
            </w:pPr>
            <w:r>
              <w:rPr>
                <w:rFonts w:ascii="Arial" w:cs="Arial" w:eastAsia="Arial" w:hAnsi="Arial"/>
                <w:sz w:val="17"/>
                <w:szCs w:val="17"/>
                <w:color w:val="0000FF"/>
              </w:rPr>
              <w:t>MILWAUKEE  WI</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53212</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Arial" w:cs="Arial" w:eastAsia="Arial" w:hAnsi="Arial"/>
                <w:sz w:val="17"/>
                <w:szCs w:val="17"/>
                <w:color w:val="0000FF"/>
              </w:rPr>
              <w:t>04/16/2021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10,000</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110.16</w:t>
            </w:r>
            <w:r>
              <w:rPr>
                <w:rFonts w:ascii="Arial" w:cs="Arial" w:eastAsia="Arial" w:hAnsi="Arial"/>
                <w:sz w:val="22"/>
                <w:szCs w:val="22"/>
                <w:color w:val="008000"/>
                <w:w w:val="93"/>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12,343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 pursuant to a Rule 10b5-1 trading plan.</w:t>
      </w:r>
    </w:p>
    <w:p>
      <w:pPr>
        <w:spacing w:after="0" w:line="50" w:lineRule="exact"/>
        <w:rPr>
          <w:rFonts w:ascii="Arial" w:cs="Arial" w:eastAsia="Arial" w:hAnsi="Arial"/>
          <w:sz w:val="13"/>
          <w:szCs w:val="13"/>
          <w:color w:val="008000"/>
        </w:rPr>
      </w:pPr>
    </w:p>
    <w:p>
      <w:pPr>
        <w:ind w:left="40" w:right="1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price is the weighted average price. The prices received actually ranged from $110.00 to $110.58. Upon request, the reporting person will provide to the SEC staff, the issuer, or any security holder of the issuer, full information regarding the number of shares sold at each separate price within this range.</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Richard Buchband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531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5313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(pursuant to Power of</w:t>
      </w:r>
      <w:r>
        <w:rPr>
          <w:sz w:val="20"/>
          <w:szCs w:val="20"/>
          <w:color w:val="auto"/>
        </w:rPr>
        <w:tab/>
      </w:r>
      <w:r>
        <w:rPr>
          <w:rFonts w:ascii="Arial" w:cs="Arial" w:eastAsia="Arial" w:hAnsi="Arial"/>
          <w:sz w:val="15"/>
          <w:szCs w:val="15"/>
          <w:color w:val="0000FF"/>
        </w:rPr>
        <w:t>04/20/2021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Attorney previously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48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41359"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2021-04-20T15:23:19Z</dcterms:created>
  <dcterms:modified xsi:type="dcterms:W3CDTF">2021-04-20T15:23:19Z</dcterms:modified>
</cp:coreProperties>
</file>