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5857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60" w:space="380"/>
            <w:col w:w="8880"/>
          </w:cols>
          <w:pgMar w:left="140" w:top="125" w:right="139" w:bottom="70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gridSpan w:val="6"/>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PAYNE ULICE JR</w:t>
              </w:r>
            </w:hyperlink>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40" w:type="dxa"/>
            <w:vAlign w:val="bottom"/>
            <w:gridSpan w:val="4"/>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9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20"/>
              <w:spacing w:after="0"/>
              <w:rPr>
                <w:sz w:val="20"/>
                <w:szCs w:val="20"/>
                <w:color w:val="auto"/>
              </w:rPr>
            </w:pPr>
            <w:r>
              <w:rPr>
                <w:rFonts w:ascii="Arial" w:cs="Arial" w:eastAsia="Arial" w:hAnsi="Arial"/>
                <w:sz w:val="14"/>
                <w:szCs w:val="14"/>
                <w:color w:val="auto"/>
              </w:rPr>
              <w:t>(Middle)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80" w:type="dxa"/>
            <w:vAlign w:val="bottom"/>
          </w:tcPr>
          <w:p>
            <w:pPr>
              <w:ind w:left="560"/>
              <w:spacing w:after="0"/>
              <w:rPr>
                <w:sz w:val="20"/>
                <w:szCs w:val="20"/>
                <w:color w:val="auto"/>
              </w:rPr>
            </w:pPr>
            <w:r>
              <w:rPr>
                <w:rFonts w:ascii="Arial" w:cs="Arial" w:eastAsia="Arial" w:hAnsi="Arial"/>
                <w:sz w:val="14"/>
                <w:szCs w:val="14"/>
                <w:color w:val="auto"/>
                <w:w w:val="96"/>
              </w:rPr>
              <w:t>below)</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5"/>
            <w:vMerge w:val="restart"/>
          </w:tcPr>
          <w:p>
            <w:pPr>
              <w:spacing w:after="0"/>
              <w:rPr>
                <w:sz w:val="20"/>
                <w:szCs w:val="20"/>
                <w:color w:val="auto"/>
              </w:rPr>
            </w:pPr>
            <w:r>
              <w:rPr>
                <w:rFonts w:ascii="Arial" w:cs="Arial" w:eastAsia="Arial" w:hAnsi="Arial"/>
                <w:sz w:val="18"/>
                <w:szCs w:val="18"/>
                <w:color w:val="0000FF"/>
              </w:rPr>
              <w:t>MANPOWERGROUP INC.</w:t>
            </w:r>
          </w:p>
        </w:tc>
        <w:tc>
          <w:tcPr>
            <w:tcW w:w="1120" w:type="dxa"/>
            <w:vAlign w:val="bottom"/>
          </w:tcPr>
          <w:p>
            <w:pPr>
              <w:spacing w:after="0"/>
              <w:rPr>
                <w:sz w:val="19"/>
                <w:szCs w:val="19"/>
                <w:color w:val="auto"/>
              </w:rPr>
            </w:pPr>
          </w:p>
        </w:tc>
        <w:tc>
          <w:tcPr>
            <w:tcW w:w="1720" w:type="dxa"/>
            <w:vAlign w:val="bottom"/>
            <w:gridSpan w:val="5"/>
          </w:tcPr>
          <w:p>
            <w:pPr>
              <w:jc w:val="right"/>
              <w:ind w:right="538"/>
              <w:spacing w:after="0"/>
              <w:rPr>
                <w:sz w:val="20"/>
                <w:szCs w:val="20"/>
                <w:color w:val="auto"/>
              </w:rPr>
            </w:pPr>
            <w:r>
              <w:rPr>
                <w:rFonts w:ascii="Arial" w:cs="Arial" w:eastAsia="Arial" w:hAnsi="Arial"/>
                <w:sz w:val="18"/>
                <w:szCs w:val="18"/>
                <w:color w:val="0000FF"/>
              </w:rPr>
              <w:t>01/01/2014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80" w:type="dxa"/>
            <w:vAlign w:val="bottom"/>
            <w:gridSpan w:val="5"/>
            <w:vMerge w:val="restart"/>
          </w:tcPr>
          <w:p>
            <w:pPr>
              <w:spacing w:after="0"/>
              <w:rPr>
                <w:sz w:val="20"/>
                <w:szCs w:val="20"/>
                <w:color w:val="auto"/>
              </w:rPr>
            </w:pPr>
            <w:r>
              <w:rPr>
                <w:rFonts w:ascii="Arial" w:cs="Arial" w:eastAsia="Arial" w:hAnsi="Arial"/>
                <w:sz w:val="18"/>
                <w:szCs w:val="18"/>
                <w:color w:val="0000FF"/>
              </w:rPr>
              <w:t>100 MANPOWER PLACE</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58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0" w:type="dxa"/>
            <w:vAlign w:val="bottom"/>
          </w:tcPr>
          <w:p>
            <w:pPr>
              <w:spacing w:after="0"/>
              <w:rPr>
                <w:sz w:val="9"/>
                <w:szCs w:val="9"/>
                <w:color w:val="auto"/>
              </w:rPr>
            </w:pPr>
          </w:p>
        </w:tc>
        <w:tc>
          <w:tcPr>
            <w:tcW w:w="3500" w:type="dxa"/>
            <w:vAlign w:val="bottom"/>
            <w:gridSpan w:val="6"/>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5"/>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MILWAUKEE</w:t>
            </w:r>
          </w:p>
        </w:tc>
        <w:tc>
          <w:tcPr>
            <w:tcW w:w="1300" w:type="dxa"/>
            <w:vAlign w:val="bottom"/>
            <w:gridSpan w:val="3"/>
          </w:tcPr>
          <w:p>
            <w:pPr>
              <w:ind w:left="20"/>
              <w:spacing w:after="0"/>
              <w:rPr>
                <w:sz w:val="20"/>
                <w:szCs w:val="20"/>
                <w:color w:val="auto"/>
              </w:rPr>
            </w:pPr>
            <w:r>
              <w:rPr>
                <w:rFonts w:ascii="Arial" w:cs="Arial" w:eastAsia="Arial" w:hAnsi="Arial"/>
                <w:sz w:val="18"/>
                <w:szCs w:val="18"/>
                <w:color w:val="0000FF"/>
              </w:rPr>
              <w:t>WI</w:t>
            </w:r>
          </w:p>
        </w:tc>
        <w:tc>
          <w:tcPr>
            <w:tcW w:w="1120" w:type="dxa"/>
            <w:vAlign w:val="bottom"/>
          </w:tcPr>
          <w:p>
            <w:pPr>
              <w:ind w:left="20"/>
              <w:spacing w:after="0"/>
              <w:rPr>
                <w:sz w:val="20"/>
                <w:szCs w:val="20"/>
                <w:color w:val="auto"/>
              </w:rPr>
            </w:pPr>
            <w:r>
              <w:rPr>
                <w:rFonts w:ascii="Arial" w:cs="Arial" w:eastAsia="Arial" w:hAnsi="Arial"/>
                <w:sz w:val="18"/>
                <w:szCs w:val="18"/>
                <w:color w:val="0000FF"/>
              </w:rPr>
              <w:t>53212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4"/>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20"/>
              <w:spacing w:after="0"/>
              <w:rPr>
                <w:sz w:val="20"/>
                <w:szCs w:val="20"/>
                <w:color w:val="auto"/>
              </w:rPr>
            </w:pPr>
            <w:r>
              <w:rPr>
                <w:rFonts w:ascii="Arial" w:cs="Arial" w:eastAsia="Arial" w:hAnsi="Arial"/>
                <w:sz w:val="14"/>
                <w:szCs w:val="14"/>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4"/>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6"/>
          </w:tcPr>
          <w:p>
            <w:pPr>
              <w:jc w:val="center"/>
              <w:ind w:left="5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2040" w:type="dxa"/>
            <w:vAlign w:val="bottom"/>
            <w:gridSpan w:val="4"/>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29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8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01/01/2014</w:t>
            </w:r>
          </w:p>
        </w:tc>
        <w:tc>
          <w:tcPr>
            <w:tcW w:w="9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27"/>
                <w:szCs w:val="27"/>
                <w:color w:val="0000FF"/>
                <w:w w:val="94"/>
                <w:vertAlign w:val="subscript"/>
              </w:rPr>
              <w:t>A</w:t>
            </w:r>
            <w:r>
              <w:rPr>
                <w:rFonts w:ascii="Arial" w:cs="Arial" w:eastAsia="Arial" w:hAnsi="Arial"/>
                <w:sz w:val="11"/>
                <w:szCs w:val="11"/>
                <w:color w:val="008000"/>
                <w:w w:val="94"/>
              </w:rPr>
              <w:t>(1)</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1,281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85.86</w:t>
            </w:r>
            <w:r>
              <w:rPr>
                <w:rFonts w:ascii="Arial" w:cs="Arial" w:eastAsia="Arial" w:hAnsi="Arial"/>
                <w:sz w:val="22"/>
                <w:szCs w:val="22"/>
                <w:color w:val="008000"/>
                <w:vertAlign w:val="superscript"/>
              </w:rPr>
              <w:t>(2)</w:t>
            </w:r>
          </w:p>
        </w:tc>
        <w:tc>
          <w:tcPr>
            <w:tcW w:w="1240" w:type="dxa"/>
            <w:vAlign w:val="bottom"/>
            <w:tcBorders>
              <w:bottom w:val="single" w:sz="8" w:color="2C2C2C"/>
            </w:tcBorders>
            <w:gridSpan w:val="2"/>
          </w:tcPr>
          <w:p>
            <w:pPr>
              <w:jc w:val="center"/>
              <w:ind w:right="258"/>
              <w:spacing w:after="0"/>
              <w:rPr>
                <w:sz w:val="20"/>
                <w:szCs w:val="20"/>
                <w:color w:val="auto"/>
              </w:rPr>
            </w:pPr>
            <w:r>
              <w:rPr>
                <w:rFonts w:ascii="Arial" w:cs="Arial" w:eastAsia="Arial" w:hAnsi="Arial"/>
                <w:sz w:val="18"/>
                <w:szCs w:val="18"/>
                <w:color w:val="0000FF"/>
              </w:rPr>
              <w:t>10,781</w:t>
            </w:r>
            <w:r>
              <w:rPr>
                <w:rFonts w:ascii="Arial" w:cs="Arial" w:eastAsia="Arial" w:hAnsi="Arial"/>
                <w:sz w:val="22"/>
                <w:szCs w:val="22"/>
                <w:color w:val="008000"/>
                <w:vertAlign w:val="superscript"/>
              </w:rPr>
              <w:t>(3)</w:t>
            </w:r>
          </w:p>
        </w:tc>
        <w:tc>
          <w:tcPr>
            <w:tcW w:w="9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80" w:type="dxa"/>
            <w:vAlign w:val="bottom"/>
            <w:gridSpan w:val="5"/>
          </w:tcPr>
          <w:p>
            <w:pPr>
              <w:ind w:left="880"/>
              <w:spacing w:after="0"/>
              <w:rPr>
                <w:sz w:val="20"/>
                <w:szCs w:val="20"/>
                <w:color w:val="auto"/>
              </w:rPr>
            </w:pPr>
            <w:r>
              <w:rPr>
                <w:rFonts w:ascii="Arial" w:cs="Arial" w:eastAsia="Arial" w:hAnsi="Arial"/>
                <w:sz w:val="18"/>
                <w:szCs w:val="18"/>
                <w:color w:val="0000FF"/>
              </w:rPr>
              <w:t>01/01/2014</w:t>
            </w: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0000FF"/>
              </w:rPr>
              <w:t>M</w:t>
            </w:r>
          </w:p>
        </w:tc>
        <w:tc>
          <w:tcPr>
            <w:tcW w:w="800" w:type="dxa"/>
            <w:vAlign w:val="bottom"/>
          </w:tcPr>
          <w:p>
            <w:pPr>
              <w:jc w:val="right"/>
              <w:spacing w:after="0"/>
              <w:rPr>
                <w:sz w:val="20"/>
                <w:szCs w:val="20"/>
                <w:color w:val="auto"/>
              </w:rPr>
            </w:pPr>
            <w:r>
              <w:rPr>
                <w:rFonts w:ascii="Arial" w:cs="Arial" w:eastAsia="Arial" w:hAnsi="Arial"/>
                <w:sz w:val="18"/>
                <w:szCs w:val="18"/>
                <w:color w:val="0000FF"/>
              </w:rPr>
              <w:t>1,752</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80" w:type="dxa"/>
            <w:vAlign w:val="bottom"/>
            <w:gridSpan w:val="2"/>
          </w:tcPr>
          <w:p>
            <w:pPr>
              <w:jc w:val="right"/>
              <w:spacing w:after="0"/>
              <w:rPr>
                <w:sz w:val="20"/>
                <w:szCs w:val="20"/>
                <w:color w:val="auto"/>
              </w:rPr>
            </w:pPr>
            <w:r>
              <w:rPr>
                <w:rFonts w:ascii="Arial" w:cs="Arial" w:eastAsia="Arial" w:hAnsi="Arial"/>
                <w:sz w:val="11"/>
                <w:szCs w:val="11"/>
                <w:color w:val="008000"/>
              </w:rPr>
              <w:t>(4)</w:t>
            </w:r>
          </w:p>
        </w:tc>
        <w:tc>
          <w:tcPr>
            <w:tcW w:w="260" w:type="dxa"/>
            <w:vAlign w:val="bottom"/>
          </w:tcPr>
          <w:p>
            <w:pPr>
              <w:spacing w:after="0"/>
              <w:rPr>
                <w:sz w:val="23"/>
                <w:szCs w:val="23"/>
                <w:color w:val="auto"/>
              </w:rPr>
            </w:pPr>
          </w:p>
        </w:tc>
        <w:tc>
          <w:tcPr>
            <w:tcW w:w="1240" w:type="dxa"/>
            <w:vAlign w:val="bottom"/>
            <w:gridSpan w:val="2"/>
          </w:tcPr>
          <w:p>
            <w:pPr>
              <w:jc w:val="right"/>
              <w:ind w:right="338"/>
              <w:spacing w:after="0"/>
              <w:rPr>
                <w:sz w:val="20"/>
                <w:szCs w:val="20"/>
                <w:color w:val="auto"/>
              </w:rPr>
            </w:pPr>
            <w:r>
              <w:rPr>
                <w:rFonts w:ascii="Arial" w:cs="Arial" w:eastAsia="Arial" w:hAnsi="Arial"/>
                <w:sz w:val="18"/>
                <w:szCs w:val="18"/>
                <w:color w:val="0000FF"/>
              </w:rPr>
              <w:t>12,533</w:t>
            </w:r>
          </w:p>
        </w:tc>
        <w:tc>
          <w:tcPr>
            <w:tcW w:w="980" w:type="dxa"/>
            <w:vAlign w:val="bottom"/>
          </w:tcPr>
          <w:p>
            <w:pPr>
              <w:ind w:left="38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60" w:type="dxa"/>
            <w:vAlign w:val="bottom"/>
            <w:tcBorders>
              <w:bottom w:val="single" w:sz="8" w:color="2C2C2C"/>
            </w:tcBorders>
            <w:gridSpan w:val="7"/>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6"/>
          </w:tcPr>
          <w:p>
            <w:pPr>
              <w:jc w:val="center"/>
              <w:ind w:left="6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60" w:type="dxa"/>
            <w:vAlign w:val="bottom"/>
            <w:gridSpan w:val="13"/>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9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01/01/2014</w:t>
            </w:r>
          </w:p>
        </w:tc>
        <w:tc>
          <w:tcPr>
            <w:tcW w:w="1120" w:type="dxa"/>
            <w:vAlign w:val="bottom"/>
          </w:tcPr>
          <w:p>
            <w:pPr>
              <w:spacing w:after="0"/>
              <w:rPr>
                <w:sz w:val="16"/>
                <w:szCs w:val="16"/>
                <w:color w:val="auto"/>
              </w:rPr>
            </w:pPr>
          </w:p>
        </w:tc>
        <w:tc>
          <w:tcPr>
            <w:tcW w:w="760" w:type="dxa"/>
            <w:vAlign w:val="bottom"/>
            <w:gridSpan w:val="4"/>
            <w:vMerge w:val="restart"/>
          </w:tcPr>
          <w:p>
            <w:pPr>
              <w:jc w:val="center"/>
              <w:ind w:right="23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(6)</w:t>
            </w:r>
          </w:p>
        </w:tc>
        <w:tc>
          <w:tcPr>
            <w:tcW w:w="960" w:type="dxa"/>
            <w:vAlign w:val="bottom"/>
            <w:vMerge w:val="restart"/>
          </w:tcPr>
          <w:p>
            <w:pPr>
              <w:jc w:val="right"/>
              <w:ind w:right="558"/>
              <w:spacing w:after="0"/>
              <w:rPr>
                <w:sz w:val="20"/>
                <w:szCs w:val="20"/>
                <w:color w:val="auto"/>
              </w:rPr>
            </w:pPr>
            <w:r>
              <w:rPr>
                <w:rFonts w:ascii="Arial" w:cs="Arial" w:eastAsia="Arial" w:hAnsi="Arial"/>
                <w:sz w:val="14"/>
                <w:szCs w:val="14"/>
                <w:color w:val="0000FF"/>
              </w:rPr>
              <w:t>41</w:t>
            </w:r>
          </w:p>
        </w:tc>
        <w:tc>
          <w:tcPr>
            <w:tcW w:w="460" w:type="dxa"/>
            <w:vAlign w:val="bottom"/>
            <w:gridSpan w:val="2"/>
            <w:vMerge w:val="restart"/>
          </w:tcPr>
          <w:p>
            <w:pPr>
              <w:jc w:val="center"/>
              <w:ind w:left="179"/>
              <w:spacing w:after="0"/>
              <w:rPr>
                <w:sz w:val="20"/>
                <w:szCs w:val="20"/>
                <w:color w:val="auto"/>
              </w:rPr>
            </w:pPr>
            <w:r>
              <w:rPr>
                <w:rFonts w:ascii="Arial" w:cs="Arial" w:eastAsia="Arial" w:hAnsi="Arial"/>
                <w:sz w:val="11"/>
                <w:szCs w:val="11"/>
                <w:color w:val="008000"/>
              </w:rPr>
              <w:t>(5)</w:t>
            </w:r>
          </w:p>
        </w:tc>
        <w:tc>
          <w:tcPr>
            <w:tcW w:w="32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41</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(7)</w:t>
            </w:r>
          </w:p>
        </w:tc>
        <w:tc>
          <w:tcPr>
            <w:tcW w:w="700" w:type="dxa"/>
            <w:vAlign w:val="bottom"/>
            <w:vMerge w:val="restart"/>
          </w:tcPr>
          <w:p>
            <w:pPr>
              <w:jc w:val="center"/>
              <w:ind w:left="58"/>
              <w:spacing w:after="0"/>
              <w:rPr>
                <w:sz w:val="20"/>
                <w:szCs w:val="20"/>
                <w:color w:val="auto"/>
              </w:rPr>
            </w:pPr>
            <w:r>
              <w:rPr>
                <w:rFonts w:ascii="Arial" w:cs="Arial" w:eastAsia="Arial" w:hAnsi="Arial"/>
                <w:sz w:val="14"/>
                <w:szCs w:val="14"/>
                <w:color w:val="0000FF"/>
                <w:w w:val="85"/>
              </w:rPr>
              <w:t>3,041</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8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4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01/01/2014</w:t>
            </w:r>
          </w:p>
        </w:tc>
        <w:tc>
          <w:tcPr>
            <w:tcW w:w="1120" w:type="dxa"/>
            <w:vAlign w:val="bottom"/>
          </w:tcPr>
          <w:p>
            <w:pPr>
              <w:spacing w:after="0"/>
              <w:rPr>
                <w:sz w:val="16"/>
                <w:szCs w:val="16"/>
                <w:color w:val="auto"/>
              </w:rPr>
            </w:pPr>
          </w:p>
        </w:tc>
        <w:tc>
          <w:tcPr>
            <w:tcW w:w="760" w:type="dxa"/>
            <w:vAlign w:val="bottom"/>
            <w:gridSpan w:val="4"/>
            <w:vMerge w:val="restart"/>
          </w:tcPr>
          <w:p>
            <w:pPr>
              <w:jc w:val="center"/>
              <w:ind w:right="23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(6)</w:t>
            </w:r>
          </w:p>
        </w:tc>
        <w:tc>
          <w:tcPr>
            <w:tcW w:w="960" w:type="dxa"/>
            <w:vAlign w:val="bottom"/>
            <w:vMerge w:val="restart"/>
          </w:tcPr>
          <w:p>
            <w:pPr>
              <w:jc w:val="right"/>
              <w:ind w:right="558"/>
              <w:spacing w:after="0"/>
              <w:rPr>
                <w:sz w:val="20"/>
                <w:szCs w:val="20"/>
                <w:color w:val="auto"/>
              </w:rPr>
            </w:pPr>
            <w:r>
              <w:rPr>
                <w:rFonts w:ascii="Arial" w:cs="Arial" w:eastAsia="Arial" w:hAnsi="Arial"/>
                <w:sz w:val="14"/>
                <w:szCs w:val="14"/>
                <w:color w:val="0000FF"/>
              </w:rPr>
              <w:t>24</w:t>
            </w:r>
          </w:p>
        </w:tc>
        <w:tc>
          <w:tcPr>
            <w:tcW w:w="460" w:type="dxa"/>
            <w:vAlign w:val="bottom"/>
            <w:gridSpan w:val="2"/>
            <w:vMerge w:val="restart"/>
          </w:tcPr>
          <w:p>
            <w:pPr>
              <w:jc w:val="center"/>
              <w:ind w:left="179"/>
              <w:spacing w:after="0"/>
              <w:rPr>
                <w:sz w:val="20"/>
                <w:szCs w:val="20"/>
                <w:color w:val="auto"/>
              </w:rPr>
            </w:pPr>
            <w:r>
              <w:rPr>
                <w:rFonts w:ascii="Arial" w:cs="Arial" w:eastAsia="Arial" w:hAnsi="Arial"/>
                <w:sz w:val="11"/>
                <w:szCs w:val="11"/>
                <w:color w:val="008000"/>
              </w:rPr>
              <w:t>(8)</w:t>
            </w:r>
          </w:p>
        </w:tc>
        <w:tc>
          <w:tcPr>
            <w:tcW w:w="32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24</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(7)</w:t>
            </w:r>
          </w:p>
        </w:tc>
        <w:tc>
          <w:tcPr>
            <w:tcW w:w="700" w:type="dxa"/>
            <w:vAlign w:val="bottom"/>
            <w:vMerge w:val="restart"/>
          </w:tcPr>
          <w:p>
            <w:pPr>
              <w:jc w:val="center"/>
              <w:ind w:left="58"/>
              <w:spacing w:after="0"/>
              <w:rPr>
                <w:sz w:val="20"/>
                <w:szCs w:val="20"/>
                <w:color w:val="auto"/>
              </w:rPr>
            </w:pPr>
            <w:r>
              <w:rPr>
                <w:rFonts w:ascii="Arial" w:cs="Arial" w:eastAsia="Arial" w:hAnsi="Arial"/>
                <w:sz w:val="14"/>
                <w:szCs w:val="14"/>
                <w:color w:val="0000FF"/>
                <w:w w:val="85"/>
              </w:rPr>
              <w:t>1,752</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8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01/01/2014</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3"/>
            <w:vMerge w:val="restart"/>
          </w:tcPr>
          <w:p>
            <w:pPr>
              <w:jc w:val="center"/>
              <w:ind w:right="375"/>
              <w:spacing w:after="0"/>
              <w:rPr>
                <w:sz w:val="20"/>
                <w:szCs w:val="20"/>
                <w:color w:val="auto"/>
              </w:rPr>
            </w:pPr>
            <w:r>
              <w:rPr>
                <w:rFonts w:ascii="Arial" w:cs="Arial" w:eastAsia="Arial" w:hAnsi="Arial"/>
                <w:sz w:val="14"/>
                <w:szCs w:val="14"/>
                <w:color w:val="0000FF"/>
              </w:rPr>
              <w:t>M</w:t>
            </w:r>
          </w:p>
        </w:tc>
        <w:tc>
          <w:tcPr>
            <w:tcW w:w="960" w:type="dxa"/>
            <w:vAlign w:val="bottom"/>
            <w:vMerge w:val="restart"/>
          </w:tcPr>
          <w:p>
            <w:pPr>
              <w:ind w:left="520"/>
              <w:spacing w:after="0"/>
              <w:rPr>
                <w:sz w:val="20"/>
                <w:szCs w:val="20"/>
                <w:color w:val="auto"/>
              </w:rPr>
            </w:pPr>
            <w:r>
              <w:rPr>
                <w:rFonts w:ascii="Arial" w:cs="Arial" w:eastAsia="Arial" w:hAnsi="Arial"/>
                <w:sz w:val="14"/>
                <w:szCs w:val="14"/>
                <w:color w:val="0000FF"/>
              </w:rPr>
              <w:t>1,752</w:t>
            </w: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0000FF"/>
                <w:w w:val="88"/>
              </w:rPr>
              <w:t>01/01/2014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01/01/2014</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1,752</w:t>
            </w:r>
          </w:p>
        </w:tc>
        <w:tc>
          <w:tcPr>
            <w:tcW w:w="260" w:type="dxa"/>
            <w:vAlign w:val="bottom"/>
          </w:tcPr>
          <w:p>
            <w:pPr>
              <w:spacing w:after="0"/>
              <w:rPr>
                <w:sz w:val="16"/>
                <w:szCs w:val="16"/>
                <w:color w:val="auto"/>
              </w:rPr>
            </w:pPr>
          </w:p>
        </w:tc>
        <w:tc>
          <w:tcPr>
            <w:tcW w:w="540" w:type="dxa"/>
            <w:vAlign w:val="bottom"/>
            <w:vMerge w:val="restart"/>
          </w:tcPr>
          <w:p>
            <w:pPr>
              <w:jc w:val="center"/>
              <w:ind w:right="254"/>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left="58"/>
              <w:spacing w:after="0"/>
              <w:rPr>
                <w:sz w:val="20"/>
                <w:szCs w:val="20"/>
                <w:color w:val="auto"/>
              </w:rPr>
            </w:pPr>
            <w:r>
              <w:rPr>
                <w:rFonts w:ascii="Arial" w:cs="Arial" w:eastAsia="Arial" w:hAnsi="Arial"/>
                <w:sz w:val="14"/>
                <w:szCs w:val="14"/>
                <w:color w:val="0000FF"/>
                <w:w w:val="76"/>
              </w:rPr>
              <w:t>0</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under the 2011 Equity Incentive Plan of the Company(the "Plan")and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2013.</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restricted stock will vest in quarterly installments on the last day of each calendar quarter during 2014.</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Settlement of shares of deferred stock in shares of ManpowerGroup common stock on a 1 for 1 basis.</w:t>
      </w:r>
    </w:p>
    <w:p>
      <w:pPr>
        <w:spacing w:after="0" w:line="41" w:lineRule="exact"/>
        <w:rPr>
          <w:rFonts w:ascii="Arial" w:cs="Arial" w:eastAsia="Arial" w:hAnsi="Arial"/>
          <w:sz w:val="14"/>
          <w:szCs w:val="14"/>
          <w:color w:val="008000"/>
        </w:rPr>
      </w:pPr>
    </w:p>
    <w:p>
      <w:pPr>
        <w:ind w:left="40" w:right="38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and will be settled in shares of ManpowerGroup common stock on a 1 for 1 basis on the earlier of January 1, 2015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41" w:lineRule="exact"/>
        <w:rPr>
          <w:rFonts w:ascii="Arial" w:cs="Arial" w:eastAsia="Arial" w:hAnsi="Arial"/>
          <w:sz w:val="14"/>
          <w:szCs w:val="14"/>
          <w:color w:val="008000"/>
        </w:rPr>
      </w:pPr>
    </w:p>
    <w:p>
      <w:pPr>
        <w:ind w:left="40" w:right="24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fully vested on the date of grant and will be settled in shares of ManpowerGroup common stock on a 1 for 1 basis on the earlier of January 1, 2014 or within 30 days after the reporting person's termination of service as a director, except as otherwise provided in the Terms and Conditions.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01/03/2014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70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2013.</w:t>
      </w:r>
    </w:p>
    <w:p>
      <w:pPr>
        <w:spacing w:after="0" w:line="200" w:lineRule="exact"/>
        <w:rPr>
          <w:sz w:val="20"/>
          <w:szCs w:val="20"/>
          <w:color w:val="auto"/>
        </w:r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-10160</wp:posOffset>
            </wp:positionV>
            <wp:extent cx="882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Ulice Payne, Jr.</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817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2019-12-18T04:13:44Z</dcterms:created>
  <dcterms:modified xsi:type="dcterms:W3CDTF">2019-12-18T04:13:44Z</dcterms:modified>
</cp:coreProperties>
</file>