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17145</wp:posOffset>
            </wp:positionV>
            <wp:extent cx="6992620" cy="9387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9387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DOWNE WILLIAM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1,798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97.33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01/01/2022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43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01/01/2022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43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01/01/2022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43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01/01/2022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43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01/01/2022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43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84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3,608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01/01/2022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43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01/01/2022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43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1,836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01/01/2022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43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69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2,977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01/01/2022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43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2,234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01/01/2022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43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01/01/2022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43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center"/>
              <w:ind w:lef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01/01/2022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43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center"/>
              <w:ind w:lef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01/01/2022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43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62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-6383020</wp:posOffset>
            </wp:positionV>
            <wp:extent cx="29210" cy="65246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6524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281940</wp:posOffset>
            </wp:positionH>
            <wp:positionV relativeFrom="page">
              <wp:posOffset>88900</wp:posOffset>
            </wp:positionV>
            <wp:extent cx="7045960" cy="28257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282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(6)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01/01/2022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1,763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(6)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01/01/2022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1,319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(6)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01/01/2022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1,903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20" w:right="220" w:firstLine="3"/>
        <w:spacing w:after="0" w:line="25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grant of restricted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restricted stock will vest in quarterly installments on the last day of each calendar quarter during 2022.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Market Price (as defined in the Plan) on the last trading day of 2021.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140" w:firstLine="3"/>
        <w:spacing w:after="0" w:line="25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2024 or within 30 days after the reporting person's termination of service as a director, except as otherwise provided in the Terms and Conditions.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Receipt of deferred stock under the Plan and the Terms and Conditions in lieu of dividends.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300" w:firstLine="3"/>
        <w:spacing w:after="0" w:line="25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May 3, 2024 or within 30 days after the reporting person's termination of service as a director, except as otherwise provided in the Terms and Conditions.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140" w:firstLine="3"/>
        <w:spacing w:after="0" w:line="25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2025 or within 30 days after the reporting person's termination of service as a director, except as otherwise provided in the Terms and Conditions.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140" w:firstLine="3"/>
        <w:spacing w:after="0" w:line="25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2026 or within 30 days after the reporting person's termination of service as a director, except as otherwise provided in the Terms and Conditions.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260" w:firstLine="3"/>
        <w:spacing w:after="0" w:line="253" w:lineRule="auto"/>
        <w:tabs>
          <w:tab w:leader="none" w:pos="21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2027 or within 30 days after the reporting person's termination of service as a director, except as otherwise provided in the Terms and Conditions.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260" w:firstLine="3"/>
        <w:spacing w:after="0" w:line="253" w:lineRule="auto"/>
        <w:tabs>
          <w:tab w:leader="none" w:pos="21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2028 or within 30 days after the reporting person's termination of service as a director, except as otherwise provided in the Terms and Conditions.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4177030</wp:posOffset>
            </wp:positionH>
            <wp:positionV relativeFrom="paragraph">
              <wp:posOffset>-10795</wp:posOffset>
            </wp:positionV>
            <wp:extent cx="13652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01/04/2022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4177030</wp:posOffset>
            </wp:positionH>
            <wp:positionV relativeFrom="paragraph">
              <wp:posOffset>-14605</wp:posOffset>
            </wp:positionV>
            <wp:extent cx="18884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4177030</wp:posOffset>
            </wp:positionH>
            <wp:positionV relativeFrom="paragraph">
              <wp:posOffset>-14605</wp:posOffset>
            </wp:positionV>
            <wp:extent cx="7137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20" w:right="3500" w:firstLine="3"/>
        <w:spacing w:after="0" w:line="312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88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518494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2022-01-04T17:48:15Z</dcterms:created>
  <dcterms:modified xsi:type="dcterms:W3CDTF">2022-01-04T17:48:15Z</dcterms:modified>
</cp:coreProperties>
</file>