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4"/>
          <w:szCs w:val="14"/>
          <w:b w:val="1"/>
          <w:bCs w:val="1"/>
          <w:color w:val="auto"/>
        </w:rPr>
        <w:t>UNITED STATES</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16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FORM 10-K</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x ANNUAL REPORT PURSUANT TO SECTION 13 OR 15(d) OF THE SECURITIES EXCHANGE ACT OF 1934:</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 the fiscal year ended December 31, 2016</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OR</w:t>
      </w:r>
    </w:p>
    <w:p>
      <w:pPr>
        <w:spacing w:after="0" w:line="192" w:lineRule="exact"/>
        <w:rPr>
          <w:sz w:val="24"/>
          <w:szCs w:val="24"/>
          <w:color w:val="auto"/>
        </w:rPr>
      </w:pPr>
    </w:p>
    <w:p>
      <w:pPr>
        <w:ind w:left="2480" w:hanging="147"/>
        <w:spacing w:after="0"/>
        <w:tabs>
          <w:tab w:leader="none" w:pos="2480" w:val="left"/>
        </w:tabs>
        <w:numPr>
          <w:ilvl w:val="0"/>
          <w:numId w:val="1"/>
        </w:numPr>
        <w:rPr>
          <w:rFonts w:ascii="Arial" w:cs="Arial" w:eastAsia="Arial" w:hAnsi="Arial"/>
          <w:sz w:val="16"/>
          <w:szCs w:val="16"/>
          <w:color w:val="auto"/>
        </w:rPr>
      </w:pPr>
      <w:r>
        <w:rPr>
          <w:rFonts w:ascii="Arial" w:cs="Arial" w:eastAsia="Arial" w:hAnsi="Arial"/>
          <w:sz w:val="13"/>
          <w:szCs w:val="13"/>
          <w:color w:val="auto"/>
        </w:rPr>
        <w:t>TRANSITION REPORT PURSUANT TO SECTION 13 OR 15(d) OF THE SECURITIES EXCHANGE ACT OF 1934</w:t>
      </w:r>
    </w:p>
    <w:p>
      <w:pPr>
        <w:spacing w:after="0" w:line="16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Commission File No. 1-10686</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MANPOWERGROUP INC.</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00"/>
          </w:cols>
          <w:pgMar w:left="220" w:top="394" w:right="279" w:bottom="1440" w:gutter="0" w:footer="0" w:header="0"/>
        </w:sectPr>
      </w:pPr>
    </w:p>
    <w:p>
      <w:pPr>
        <w:spacing w:after="0" w:line="115" w:lineRule="exact"/>
        <w:rPr>
          <w:sz w:val="24"/>
          <w:szCs w:val="24"/>
          <w:color w:val="auto"/>
        </w:rPr>
      </w:pPr>
    </w:p>
    <w:p>
      <w:pPr>
        <w:ind w:left="2480"/>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39-1672779</w:t>
      </w:r>
    </w:p>
    <w:p>
      <w:pPr>
        <w:spacing w:after="0" w:line="80" w:lineRule="exact"/>
        <w:rPr>
          <w:sz w:val="24"/>
          <w:szCs w:val="24"/>
          <w:color w:val="auto"/>
        </w:rPr>
      </w:pPr>
    </w:p>
    <w:p>
      <w:pPr>
        <w:sectPr>
          <w:pgSz w:w="11900" w:h="16838" w:orient="portrait"/>
          <w:cols w:equalWidth="0" w:num="2">
            <w:col w:w="7540" w:space="720"/>
            <w:col w:w="3140"/>
          </w:cols>
          <w:pgMar w:left="220" w:top="394" w:right="279" w:bottom="1440" w:gutter="0" w:footer="0" w:header="0"/>
          <w:type w:val="continuous"/>
        </w:sectPr>
      </w:pPr>
    </w:p>
    <w:p>
      <w:pPr>
        <w:ind w:left="2020"/>
        <w:spacing w:after="0"/>
        <w:rPr>
          <w:sz w:val="20"/>
          <w:szCs w:val="20"/>
          <w:color w:val="auto"/>
        </w:rPr>
      </w:pPr>
      <w:r>
        <w:rPr>
          <w:rFonts w:ascii="Arial" w:cs="Arial" w:eastAsia="Arial" w:hAnsi="Arial"/>
          <w:sz w:val="11"/>
          <w:szCs w:val="11"/>
          <w:b w:val="1"/>
          <w:bCs w:val="1"/>
          <w:color w:val="auto"/>
        </w:rPr>
        <w:t>(State or other jurisdiction of</w:t>
      </w:r>
    </w:p>
    <w:p>
      <w:pPr>
        <w:spacing w:after="0" w:line="52" w:lineRule="exact"/>
        <w:rPr>
          <w:sz w:val="24"/>
          <w:szCs w:val="24"/>
          <w:color w:val="auto"/>
        </w:rPr>
      </w:pPr>
    </w:p>
    <w:p>
      <w:pPr>
        <w:ind w:left="198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line="29"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200" w:lineRule="exact"/>
        <w:rPr>
          <w:sz w:val="24"/>
          <w:szCs w:val="24"/>
          <w:color w:val="auto"/>
        </w:rPr>
      </w:pPr>
    </w:p>
    <w:p>
      <w:pPr>
        <w:sectPr>
          <w:pgSz w:w="11900" w:h="16838" w:orient="portrait"/>
          <w:cols w:equalWidth="0" w:num="2">
            <w:col w:w="7340" w:space="720"/>
            <w:col w:w="3340"/>
          </w:cols>
          <w:pgMar w:left="220" w:top="394" w:right="279" w:bottom="1440" w:gutter="0" w:footer="0" w:header="0"/>
          <w:type w:val="continuous"/>
        </w:sectPr>
      </w:pPr>
    </w:p>
    <w:p>
      <w:pPr>
        <w:spacing w:after="0" w:line="7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100 MANPOWER PLACE</w:t>
      </w:r>
    </w:p>
    <w:p>
      <w:pPr>
        <w:spacing w:after="0" w:line="18"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53212</w:t>
      </w:r>
    </w:p>
    <w:p>
      <w:pPr>
        <w:spacing w:after="0" w:line="80" w:lineRule="exact"/>
        <w:rPr>
          <w:sz w:val="24"/>
          <w:szCs w:val="24"/>
          <w:color w:val="auto"/>
        </w:rPr>
      </w:pPr>
    </w:p>
    <w:p>
      <w:pPr>
        <w:sectPr>
          <w:pgSz w:w="11900" w:h="16838" w:orient="portrait"/>
          <w:cols w:equalWidth="0" w:num="2">
            <w:col w:w="7700" w:space="720"/>
            <w:col w:w="2980"/>
          </w:cols>
          <w:pgMar w:left="220" w:top="394" w:right="27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60" w:lineRule="exact"/>
        <w:rPr>
          <w:sz w:val="24"/>
          <w:szCs w:val="24"/>
          <w:color w:val="auto"/>
        </w:rPr>
      </w:pPr>
    </w:p>
    <w:p>
      <w:pPr>
        <w:sectPr>
          <w:pgSz w:w="11900" w:h="16838" w:orient="portrait"/>
          <w:cols w:equalWidth="0" w:num="2">
            <w:col w:w="7560" w:space="720"/>
            <w:col w:w="3120"/>
          </w:cols>
          <w:pgMar w:left="220" w:top="394" w:right="279" w:bottom="1440" w:gutter="0" w:footer="0" w:header="0"/>
          <w:type w:val="continuous"/>
        </w:sectPr>
      </w:pPr>
    </w:p>
    <w:p>
      <w:pPr>
        <w:jc w:val="center"/>
        <w:ind w:right="-79"/>
        <w:spacing w:after="0"/>
        <w:rPr>
          <w:sz w:val="20"/>
          <w:szCs w:val="20"/>
          <w:color w:val="auto"/>
        </w:rPr>
      </w:pPr>
      <w:r>
        <w:rPr>
          <w:rFonts w:ascii="Arial" w:cs="Arial" w:eastAsia="Arial" w:hAnsi="Arial"/>
          <w:sz w:val="11"/>
          <w:szCs w:val="11"/>
          <w:b w:val="1"/>
          <w:bCs w:val="1"/>
          <w:color w:val="auto"/>
        </w:rPr>
        <w:t>Registrant’s telephone number, including area code: (414) 961-1000</w:t>
      </w:r>
    </w:p>
    <w:p>
      <w:pPr>
        <w:spacing w:after="0" w:line="5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00"/>
          </w:cols>
          <w:pgMar w:left="220" w:top="394" w:right="279" w:bottom="1440" w:gutter="0" w:footer="0" w:header="0"/>
          <w:type w:val="continuous"/>
        </w:sectPr>
      </w:pPr>
    </w:p>
    <w:p>
      <w:pPr>
        <w:spacing w:after="0" w:line="115" w:lineRule="exact"/>
        <w:rPr>
          <w:sz w:val="24"/>
          <w:szCs w:val="24"/>
          <w:color w:val="auto"/>
        </w:rPr>
      </w:pPr>
    </w:p>
    <w:p>
      <w:pPr>
        <w:ind w:left="236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Exchange on which registered</w:t>
      </w:r>
    </w:p>
    <w:p>
      <w:pPr>
        <w:spacing w:after="0" w:line="80" w:lineRule="exact"/>
        <w:rPr>
          <w:sz w:val="24"/>
          <w:szCs w:val="24"/>
          <w:color w:val="auto"/>
        </w:rPr>
      </w:pPr>
    </w:p>
    <w:p>
      <w:pPr>
        <w:sectPr>
          <w:pgSz w:w="11900" w:h="16838" w:orient="portrait"/>
          <w:cols w:equalWidth="0" w:num="2">
            <w:col w:w="6740" w:space="720"/>
            <w:col w:w="3940"/>
          </w:cols>
          <w:pgMar w:left="220" w:top="394" w:right="279" w:bottom="1440" w:gutter="0" w:footer="0" w:header="0"/>
          <w:type w:val="continuous"/>
        </w:sectPr>
      </w:pPr>
    </w:p>
    <w:p>
      <w:pPr>
        <w:ind w:left="1980"/>
        <w:spacing w:after="0"/>
        <w:rPr>
          <w:sz w:val="20"/>
          <w:szCs w:val="20"/>
          <w:color w:val="auto"/>
        </w:rPr>
      </w:pPr>
      <w:r>
        <w:rPr>
          <w:rFonts w:ascii="Arial" w:cs="Arial" w:eastAsia="Arial" w:hAnsi="Arial"/>
          <w:sz w:val="11"/>
          <w:szCs w:val="11"/>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New York Stock Exchange</w:t>
      </w:r>
    </w:p>
    <w:p>
      <w:pPr>
        <w:spacing w:after="0" w:line="60" w:lineRule="exact"/>
        <w:rPr>
          <w:sz w:val="24"/>
          <w:szCs w:val="24"/>
          <w:color w:val="auto"/>
        </w:rPr>
      </w:pPr>
    </w:p>
    <w:p>
      <w:pPr>
        <w:sectPr>
          <w:pgSz w:w="11900" w:h="16838" w:orient="portrait"/>
          <w:cols w:equalWidth="0" w:num="2">
            <w:col w:w="7100" w:space="720"/>
            <w:col w:w="3580"/>
          </w:cols>
          <w:pgMar w:left="220" w:top="394" w:right="279" w:bottom="1440" w:gutter="0" w:footer="0" w:header="0"/>
          <w:type w:val="continuous"/>
        </w:sectPr>
      </w:pPr>
    </w:p>
    <w:p>
      <w:pPr>
        <w:jc w:val="center"/>
        <w:ind w:right="-59"/>
        <w:spacing w:after="0"/>
        <w:rPr>
          <w:sz w:val="20"/>
          <w:szCs w:val="20"/>
          <w:color w:val="auto"/>
        </w:rPr>
      </w:pPr>
      <w:r>
        <w:rPr>
          <w:rFonts w:ascii="Arial" w:cs="Arial" w:eastAsia="Arial" w:hAnsi="Arial"/>
          <w:sz w:val="11"/>
          <w:szCs w:val="11"/>
          <w:b w:val="1"/>
          <w:bCs w:val="1"/>
          <w:color w:val="auto"/>
        </w:rPr>
        <w:t>Securities registered pursuant to Section 12(g) of the Act: None</w:t>
      </w:r>
    </w:p>
    <w:p>
      <w:pPr>
        <w:sectPr>
          <w:pgSz w:w="11900" w:h="16838" w:orient="portrait"/>
          <w:cols w:equalWidth="0" w:num="1">
            <w:col w:w="11400"/>
          </w:cols>
          <w:pgMar w:left="220" w:top="394" w:right="279" w:bottom="1440" w:gutter="0" w:footer="0" w:header="0"/>
          <w:type w:val="continuous"/>
        </w:sectPr>
      </w:pPr>
    </w:p>
    <w:p>
      <w:pPr>
        <w:spacing w:after="0" w:line="213" w:lineRule="exact"/>
        <w:rPr>
          <w:sz w:val="24"/>
          <w:szCs w:val="24"/>
          <w:color w:val="auto"/>
        </w:rPr>
      </w:pPr>
    </w:p>
    <w:p>
      <w:pPr>
        <w:ind w:left="140" w:right="3720"/>
        <w:spacing w:after="0" w:line="299" w:lineRule="auto"/>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x No </w:t>
      </w:r>
      <w:r>
        <w:rPr>
          <w:rFonts w:ascii="Arial" w:cs="Arial" w:eastAsia="Arial" w:hAnsi="Arial"/>
          <w:sz w:val="15"/>
          <w:szCs w:val="15"/>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w:cs="Arial" w:eastAsia="Arial" w:hAnsi="Arial"/>
          <w:sz w:val="15"/>
          <w:szCs w:val="15"/>
          <w:color w:val="auto"/>
        </w:rPr>
        <w:t>□</w:t>
      </w:r>
      <w:r>
        <w:rPr>
          <w:rFonts w:ascii="Arial" w:cs="Arial" w:eastAsia="Arial" w:hAnsi="Arial"/>
          <w:sz w:val="13"/>
          <w:szCs w:val="13"/>
          <w:color w:val="auto"/>
        </w:rPr>
        <w:t xml:space="preserve"> No x</w:t>
      </w:r>
    </w:p>
    <w:p>
      <w:pPr>
        <w:sectPr>
          <w:pgSz w:w="11900" w:h="16838" w:orient="portrait"/>
          <w:cols w:equalWidth="0" w:num="1">
            <w:col w:w="11400"/>
          </w:cols>
          <w:pgMar w:left="220" w:top="394" w:right="279" w:bottom="1440" w:gutter="0" w:footer="0" w:header="0"/>
          <w:type w:val="continuous"/>
        </w:sectPr>
      </w:pPr>
    </w:p>
    <w:p>
      <w:pPr>
        <w:ind w:firstLine="138"/>
        <w:spacing w:after="0" w:line="280"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Arial" w:cs="Arial" w:eastAsia="Arial" w:hAnsi="Arial"/>
          <w:sz w:val="16"/>
          <w:szCs w:val="16"/>
          <w:color w:val="auto"/>
        </w:rPr>
        <w:t>□</w:t>
      </w:r>
    </w:p>
    <w:p>
      <w:pPr>
        <w:spacing w:after="0" w:line="1" w:lineRule="exact"/>
        <w:rPr>
          <w:sz w:val="24"/>
          <w:szCs w:val="24"/>
          <w:color w:val="auto"/>
        </w:rPr>
      </w:pPr>
    </w:p>
    <w:p>
      <w:pPr>
        <w:ind w:right="60" w:firstLine="372"/>
        <w:spacing w:after="0" w:line="312" w:lineRule="auto"/>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Arial" w:cs="Arial" w:eastAsia="Arial" w:hAnsi="Arial"/>
          <w:sz w:val="14"/>
          <w:szCs w:val="14"/>
          <w:color w:val="auto"/>
        </w:rPr>
        <w:t>□</w:t>
      </w:r>
    </w:p>
    <w:p>
      <w:pPr>
        <w:spacing w:after="0" w:line="1" w:lineRule="exact"/>
        <w:rPr>
          <w:sz w:val="24"/>
          <w:szCs w:val="24"/>
          <w:color w:val="auto"/>
        </w:rPr>
      </w:pPr>
    </w:p>
    <w:p>
      <w:pPr>
        <w:ind w:right="160" w:firstLine="372"/>
        <w:spacing w:after="0" w:line="256"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left="38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 of “large accelerated filer,”</w:t>
      </w:r>
    </w:p>
    <w:p>
      <w:pPr>
        <w:sectPr>
          <w:pgSz w:w="11900" w:h="16838" w:orient="portrait"/>
          <w:cols w:equalWidth="0" w:num="1">
            <w:col w:w="11400"/>
          </w:cols>
          <w:pgMar w:left="220" w:top="394" w:right="279" w:bottom="1440" w:gutter="0" w:footer="0" w:header="0"/>
          <w:type w:val="continuous"/>
        </w:sectPr>
      </w:pPr>
    </w:p>
    <w:p>
      <w:pPr>
        <w:spacing w:after="0" w:line="31" w:lineRule="exact"/>
        <w:rPr>
          <w:sz w:val="24"/>
          <w:szCs w:val="24"/>
          <w:color w:val="auto"/>
        </w:rPr>
      </w:pPr>
    </w:p>
    <w:p>
      <w:pPr>
        <w:ind w:left="380" w:hanging="371"/>
        <w:spacing w:after="0" w:line="271" w:lineRule="auto"/>
        <w:rPr>
          <w:sz w:val="20"/>
          <w:szCs w:val="20"/>
          <w:color w:val="auto"/>
        </w:rPr>
      </w:pPr>
      <w:r>
        <w:rPr>
          <w:rFonts w:ascii="Arial" w:cs="Arial" w:eastAsia="Arial" w:hAnsi="Arial"/>
          <w:sz w:val="14"/>
          <w:szCs w:val="14"/>
          <w:color w:val="auto"/>
        </w:rPr>
        <w:t xml:space="preserve">“accelerated filer” and “smaller reporting company” in Rule 12b-2 of the Exchange Act. (Check one): Large accelerated filer x Accelerated filer </w:t>
      </w:r>
      <w:r>
        <w:rPr>
          <w:rFonts w:ascii="Arial" w:cs="Arial" w:eastAsia="Arial" w:hAnsi="Arial"/>
          <w:sz w:val="16"/>
          <w:szCs w:val="16"/>
          <w:color w:val="auto"/>
        </w:rPr>
        <w:t>□</w:t>
      </w:r>
      <w:r>
        <w:rPr>
          <w:rFonts w:ascii="Arial" w:cs="Arial" w:eastAsia="Arial" w:hAnsi="Arial"/>
          <w:sz w:val="14"/>
          <w:szCs w:val="14"/>
          <w:color w:val="auto"/>
        </w:rPr>
        <w:t xml:space="preserve"> Non-accelerated filer </w:t>
      </w:r>
      <w:r>
        <w:rPr>
          <w:rFonts w:ascii="Arial" w:cs="Arial" w:eastAsia="Arial" w:hAnsi="Arial"/>
          <w:sz w:val="16"/>
          <w:szCs w:val="16"/>
          <w:color w:val="auto"/>
        </w:rPr>
        <w:t>□</w:t>
      </w:r>
      <w:r>
        <w:rPr>
          <w:rFonts w:ascii="Arial" w:cs="Arial" w:eastAsia="Arial" w:hAnsi="Arial"/>
          <w:sz w:val="14"/>
          <w:szCs w:val="14"/>
          <w:color w:val="auto"/>
        </w:rPr>
        <w:t xml:space="preserve"> Smaller reporting company Indicate by check mark whether the registrant is a shell company (as defined in Rule 12b-2 of the Exchange Act). Yes </w:t>
      </w:r>
      <w:r>
        <w:rPr>
          <w:rFonts w:ascii="Arial" w:cs="Arial" w:eastAsia="Arial" w:hAnsi="Arial"/>
          <w:sz w:val="16"/>
          <w:szCs w:val="16"/>
          <w:color w:val="auto"/>
        </w:rPr>
        <w:t>□</w:t>
      </w:r>
      <w:r>
        <w:rPr>
          <w:rFonts w:ascii="Arial" w:cs="Arial" w:eastAsia="Arial" w:hAnsi="Arial"/>
          <w:sz w:val="14"/>
          <w:szCs w:val="14"/>
          <w:color w:val="auto"/>
        </w:rPr>
        <w:t xml:space="preserve"> No x</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232" w:lineRule="exact"/>
        <w:rPr>
          <w:sz w:val="24"/>
          <w:szCs w:val="24"/>
          <w:color w:val="auto"/>
        </w:rPr>
      </w:pPr>
    </w:p>
    <w:p>
      <w:pPr>
        <w:sectPr>
          <w:pgSz w:w="11900" w:h="16838" w:orient="portrait"/>
          <w:cols w:equalWidth="0" w:num="2">
            <w:col w:w="11200" w:space="80"/>
            <w:col w:w="120"/>
          </w:cols>
          <w:pgMar w:left="220" w:top="394" w:right="279" w:bottom="1440" w:gutter="0" w:footer="0" w:header="0"/>
          <w:type w:val="continuous"/>
        </w:sectPr>
      </w:pPr>
    </w:p>
    <w:p>
      <w:pPr>
        <w:ind w:firstLine="372"/>
        <w:spacing w:after="0" w:line="257" w:lineRule="auto"/>
        <w:rPr>
          <w:sz w:val="20"/>
          <w:szCs w:val="20"/>
          <w:color w:val="auto"/>
        </w:rPr>
      </w:pPr>
      <w:r>
        <w:rPr>
          <w:rFonts w:ascii="Arial" w:cs="Arial" w:eastAsia="Arial" w:hAnsi="Arial"/>
          <w:sz w:val="14"/>
          <w:szCs w:val="14"/>
          <w:color w:val="auto"/>
        </w:rPr>
        <w:t>The aggregate market value of the voting stock held by nonaffiliates of the registrant was $4,466,964,128 as of June 30, 2016. As of February 17, 2017, there were 67,640,669 of the registrant’s shares of common stock outstanding.</w:t>
      </w:r>
    </w:p>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DOCUMENTS INCORPORATED BY REFERENCE</w:t>
      </w:r>
    </w:p>
    <w:p>
      <w:pPr>
        <w:spacing w:after="0" w:line="170" w:lineRule="exact"/>
        <w:rPr>
          <w:sz w:val="24"/>
          <w:szCs w:val="24"/>
          <w:color w:val="auto"/>
        </w:rPr>
      </w:pPr>
    </w:p>
    <w:p>
      <w:pPr>
        <w:ind w:firstLine="372"/>
        <w:spacing w:after="0" w:line="267" w:lineRule="auto"/>
        <w:rPr>
          <w:sz w:val="20"/>
          <w:szCs w:val="20"/>
          <w:color w:val="auto"/>
        </w:rPr>
      </w:pPr>
      <w:r>
        <w:rPr>
          <w:rFonts w:ascii="Arial" w:cs="Arial" w:eastAsia="Arial" w:hAnsi="Arial"/>
          <w:sz w:val="14"/>
          <w:szCs w:val="14"/>
          <w:color w:val="auto"/>
        </w:rPr>
        <w:t>Parts I and II incorporate information by reference from the Annual Report to Shareholders for the fiscal year ended December 31, 2016. Part III is incorporated by reference from the Proxy Statement for the Annual Meeting of Shareholders to be held on May 2, 2017.</w:t>
      </w:r>
    </w:p>
    <w:p>
      <w:pPr>
        <w:sectPr>
          <w:pgSz w:w="11900" w:h="16838" w:orient="portrait"/>
          <w:cols w:equalWidth="0" w:num="1">
            <w:col w:w="11400"/>
          </w:cols>
          <w:pgMar w:left="220" w:top="394" w:right="27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4"/>
          <w:szCs w:val="14"/>
          <w:b w:val="1"/>
          <w:bCs w:val="1"/>
          <w:u w:val="single" w:color="auto"/>
          <w:color w:val="auto"/>
        </w:rPr>
        <w:t>PART I</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terms “we,” “our,” “us,” "ManpowerGroup," or “the Company” refer to ManpowerGroup Inc. and its consolidated subsidiaries.</w:t>
      </w:r>
    </w:p>
    <w:p>
      <w:pPr>
        <w:spacing w:after="0" w:line="1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Introduction and History</w:t>
      </w:r>
    </w:p>
    <w:p>
      <w:pPr>
        <w:spacing w:after="0" w:line="170" w:lineRule="exact"/>
        <w:rPr>
          <w:sz w:val="20"/>
          <w:szCs w:val="20"/>
          <w:color w:val="auto"/>
        </w:rPr>
      </w:pPr>
    </w:p>
    <w:p>
      <w:pPr>
        <w:ind w:right="40" w:firstLine="372"/>
        <w:spacing w:after="0" w:line="257" w:lineRule="auto"/>
        <w:rPr>
          <w:sz w:val="20"/>
          <w:szCs w:val="20"/>
          <w:color w:val="auto"/>
        </w:rPr>
      </w:pPr>
      <w:r>
        <w:rPr>
          <w:rFonts w:ascii="Arial" w:cs="Arial" w:eastAsia="Arial" w:hAnsi="Arial"/>
          <w:sz w:val="14"/>
          <w:szCs w:val="14"/>
          <w:color w:val="auto"/>
        </w:rPr>
        <w:t>ManpowerGroup Inc. is a world leader in innovative workforce solutions and services. Our global network of nearly 2,800 offices in 80 countries and territories allows us to meet the needs of our global, multinational and local clients across all major industry segments. We develop solutions that drive organizations forward, accelerate individual success and help build more sustainable communities. We power the world of work.</w:t>
      </w:r>
    </w:p>
    <w:p>
      <w:pPr>
        <w:spacing w:after="0" w:line="145" w:lineRule="exact"/>
        <w:rPr>
          <w:sz w:val="20"/>
          <w:szCs w:val="20"/>
          <w:color w:val="auto"/>
        </w:rPr>
      </w:pPr>
    </w:p>
    <w:p>
      <w:pPr>
        <w:ind w:right="280" w:firstLine="372"/>
        <w:spacing w:after="0" w:line="267" w:lineRule="auto"/>
        <w:rPr>
          <w:sz w:val="20"/>
          <w:szCs w:val="20"/>
          <w:color w:val="auto"/>
        </w:rPr>
      </w:pPr>
      <w:r>
        <w:rPr>
          <w:rFonts w:ascii="Arial" w:cs="Arial" w:eastAsia="Arial" w:hAnsi="Arial"/>
          <w:sz w:val="14"/>
          <w:szCs w:val="14"/>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34" w:lineRule="exact"/>
        <w:rPr>
          <w:sz w:val="20"/>
          <w:szCs w:val="20"/>
          <w:color w:val="auto"/>
        </w:rPr>
      </w:pPr>
    </w:p>
    <w:p>
      <w:pPr>
        <w:ind w:right="160" w:firstLine="3"/>
        <w:spacing w:after="0" w:line="413" w:lineRule="auto"/>
        <w:tabs>
          <w:tab w:leader="none" w:pos="83"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 xml:space="preserve">Recruitment and Assessment </w:t>
      </w:r>
      <w:r>
        <w:rPr>
          <w:rFonts w:ascii="Arial" w:cs="Arial" w:eastAsia="Arial" w:hAnsi="Arial"/>
          <w:sz w:val="11"/>
          <w:szCs w:val="11"/>
          <w:color w:val="auto"/>
        </w:rPr>
        <w:t>– By leveraging our trusted brands, industry knowledge and expertise, we identify the right talent in the right place to help our clients quickly access the people they need</w:t>
      </w:r>
      <w:r>
        <w:rPr>
          <w:rFonts w:ascii="Arial" w:cs="Arial" w:eastAsia="Arial" w:hAnsi="Arial"/>
          <w:sz w:val="11"/>
          <w:szCs w:val="11"/>
          <w:b w:val="1"/>
          <w:bCs w:val="1"/>
          <w:color w:val="auto"/>
        </w:rPr>
        <w:t xml:space="preserve"> </w:t>
      </w:r>
      <w:r>
        <w:rPr>
          <w:rFonts w:ascii="Arial" w:cs="Arial" w:eastAsia="Arial" w:hAnsi="Arial"/>
          <w:sz w:val="11"/>
          <w:szCs w:val="11"/>
          <w:color w:val="auto"/>
        </w:rPr>
        <w:t>when they need them. Through our industry-leading assessments, we gain a deeper understanding of the people we serve to correctly identify candidates’ potential, resulting in a better cultural match.</w:t>
      </w:r>
    </w:p>
    <w:p>
      <w:pPr>
        <w:spacing w:after="0" w:line="61" w:lineRule="exact"/>
        <w:rPr>
          <w:rFonts w:ascii="Arial" w:cs="Arial" w:eastAsia="Arial" w:hAnsi="Arial"/>
          <w:sz w:val="11"/>
          <w:szCs w:val="11"/>
          <w:color w:val="auto"/>
        </w:rPr>
      </w:pPr>
    </w:p>
    <w:p>
      <w:pPr>
        <w:ind w:right="40" w:firstLine="3"/>
        <w:spacing w:after="0" w:line="312" w:lineRule="auto"/>
        <w:tabs>
          <w:tab w:leader="none" w:pos="83"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 xml:space="preserve">Training and Development </w:t>
      </w:r>
      <w:r>
        <w:rPr>
          <w:rFonts w:ascii="Arial" w:cs="Arial" w:eastAsia="Arial" w:hAnsi="Arial"/>
          <w:sz w:val="13"/>
          <w:szCs w:val="13"/>
          <w:color w:val="auto"/>
        </w:rPr>
        <w:t>– Our unique insights into evolving employer needs and our expertise in training and development help us prepare candidates and associates to succeed in today’s competitive</w:t>
      </w:r>
      <w:r>
        <w:rPr>
          <w:rFonts w:ascii="Arial" w:cs="Arial" w:eastAsia="Arial" w:hAnsi="Arial"/>
          <w:sz w:val="13"/>
          <w:szCs w:val="13"/>
          <w:b w:val="1"/>
          <w:bCs w:val="1"/>
          <w:color w:val="auto"/>
        </w:rPr>
        <w:t xml:space="preserve"> </w:t>
      </w:r>
      <w:r>
        <w:rPr>
          <w:rFonts w:ascii="Arial" w:cs="Arial" w:eastAsia="Arial" w:hAnsi="Arial"/>
          <w:sz w:val="13"/>
          <w:szCs w:val="13"/>
          <w:color w:val="auto"/>
        </w:rPr>
        <w:t>marketplace. We offer an extensive portfolio of training courses and leadership development solutions that help clients maximize talent and optimize performance.</w:t>
      </w:r>
    </w:p>
    <w:p>
      <w:pPr>
        <w:spacing w:after="0" w:line="107" w:lineRule="exact"/>
        <w:rPr>
          <w:rFonts w:ascii="Arial" w:cs="Arial" w:eastAsia="Arial" w:hAnsi="Arial"/>
          <w:sz w:val="13"/>
          <w:szCs w:val="13"/>
          <w:color w:val="auto"/>
        </w:rPr>
      </w:pPr>
    </w:p>
    <w:p>
      <w:pPr>
        <w:ind w:right="120" w:firstLine="3"/>
        <w:spacing w:after="0" w:line="273" w:lineRule="auto"/>
        <w:tabs>
          <w:tab w:leader="none" w:pos="83"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Career Management </w:t>
      </w:r>
      <w:r>
        <w:rPr>
          <w:rFonts w:ascii="Arial" w:cs="Arial" w:eastAsia="Arial" w:hAnsi="Arial"/>
          <w:sz w:val="14"/>
          <w:szCs w:val="14"/>
          <w:color w:val="auto"/>
        </w:rPr>
        <w:t>– We understand the human side of business to help individuals and organizations unleash human potential to enhance skills, increase effectiveness and successfully manage career</w:t>
      </w:r>
      <w:r>
        <w:rPr>
          <w:rFonts w:ascii="Arial" w:cs="Arial" w:eastAsia="Arial" w:hAnsi="Arial"/>
          <w:sz w:val="14"/>
          <w:szCs w:val="14"/>
          <w:b w:val="1"/>
          <w:bCs w:val="1"/>
          <w:color w:val="auto"/>
        </w:rPr>
        <w:t xml:space="preserve"> </w:t>
      </w:r>
      <w:r>
        <w:rPr>
          <w:rFonts w:ascii="Arial" w:cs="Arial" w:eastAsia="Arial" w:hAnsi="Arial"/>
          <w:sz w:val="14"/>
          <w:szCs w:val="14"/>
          <w:color w:val="auto"/>
        </w:rPr>
        <w:t>changes and workforce transitions.</w:t>
      </w:r>
    </w:p>
    <w:p>
      <w:pPr>
        <w:spacing w:after="0" w:line="130" w:lineRule="exact"/>
        <w:rPr>
          <w:rFonts w:ascii="Arial" w:cs="Arial" w:eastAsia="Arial" w:hAnsi="Arial"/>
          <w:sz w:val="14"/>
          <w:szCs w:val="14"/>
          <w:color w:val="auto"/>
        </w:rPr>
      </w:pPr>
    </w:p>
    <w:p>
      <w:pPr>
        <w:ind w:firstLine="3"/>
        <w:spacing w:after="0" w:line="273" w:lineRule="auto"/>
        <w:tabs>
          <w:tab w:leader="none" w:pos="83"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Outsourcing </w:t>
      </w:r>
      <w:r>
        <w:rPr>
          <w:rFonts w:ascii="Arial" w:cs="Arial" w:eastAsia="Arial" w:hAnsi="Arial"/>
          <w:sz w:val="14"/>
          <w:szCs w:val="14"/>
          <w:color w:val="auto"/>
        </w:rPr>
        <w:t>– We provide clients with outsourcing services related to human resources functions primarily in the areas of large-scale recruiting and workforce-intensive initiatives that are outcome-based,</w:t>
      </w:r>
      <w:r>
        <w:rPr>
          <w:rFonts w:ascii="Arial" w:cs="Arial" w:eastAsia="Arial" w:hAnsi="Arial"/>
          <w:sz w:val="14"/>
          <w:szCs w:val="14"/>
          <w:b w:val="1"/>
          <w:bCs w:val="1"/>
          <w:color w:val="auto"/>
        </w:rPr>
        <w:t xml:space="preserve"> </w:t>
      </w:r>
      <w:r>
        <w:rPr>
          <w:rFonts w:ascii="Arial" w:cs="Arial" w:eastAsia="Arial" w:hAnsi="Arial"/>
          <w:sz w:val="14"/>
          <w:szCs w:val="14"/>
          <w:color w:val="auto"/>
        </w:rPr>
        <w:t>thereby sharing in the risk and reward with our clients.</w:t>
      </w:r>
    </w:p>
    <w:p>
      <w:pPr>
        <w:spacing w:after="0" w:line="130" w:lineRule="exact"/>
        <w:rPr>
          <w:rFonts w:ascii="Arial" w:cs="Arial" w:eastAsia="Arial" w:hAnsi="Arial"/>
          <w:sz w:val="14"/>
          <w:szCs w:val="14"/>
          <w:color w:val="auto"/>
        </w:rPr>
      </w:pPr>
    </w:p>
    <w:p>
      <w:pPr>
        <w:ind w:left="380" w:right="80" w:hanging="377"/>
        <w:spacing w:after="0" w:line="628" w:lineRule="auto"/>
        <w:tabs>
          <w:tab w:leader="none" w:pos="90"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 xml:space="preserve">Workforce Consulting </w:t>
      </w:r>
      <w:r>
        <w:rPr>
          <w:rFonts w:ascii="Arial" w:cs="Arial" w:eastAsia="Arial" w:hAnsi="Arial"/>
          <w:sz w:val="11"/>
          <w:szCs w:val="11"/>
          <w:color w:val="auto"/>
        </w:rPr>
        <w:t>– We help clients create and align their workforce strategy to achieve their business strategy, increase business agility and flexibility, and accelerate personal and business success.</w:t>
      </w:r>
      <w:r>
        <w:rPr>
          <w:rFonts w:ascii="Arial" w:cs="Arial" w:eastAsia="Arial" w:hAnsi="Arial"/>
          <w:sz w:val="11"/>
          <w:szCs w:val="11"/>
          <w:b w:val="1"/>
          <w:bCs w:val="1"/>
          <w:color w:val="auto"/>
        </w:rPr>
        <w:t xml:space="preserve"> </w:t>
      </w:r>
      <w:r>
        <w:rPr>
          <w:rFonts w:ascii="Arial" w:cs="Arial" w:eastAsia="Arial" w:hAnsi="Arial"/>
          <w:sz w:val="11"/>
          <w:szCs w:val="11"/>
          <w:color w:val="auto"/>
        </w:rPr>
        <w:t>This comprehensive and diverse business mix helps us to partially mitigate the cyclical effects of the economies in which we operate. Our family of brands and offerings includes:</w:t>
      </w:r>
    </w:p>
    <w:p>
      <w:pPr>
        <w:ind w:right="240" w:firstLine="3"/>
        <w:spacing w:after="0" w:line="273" w:lineRule="auto"/>
        <w:tabs>
          <w:tab w:leader="none" w:pos="83"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Manpower </w:t>
      </w:r>
      <w:r>
        <w:rPr>
          <w:rFonts w:ascii="Arial" w:cs="Arial" w:eastAsia="Arial" w:hAnsi="Arial"/>
          <w:sz w:val="14"/>
          <w:szCs w:val="14"/>
          <w:color w:val="auto"/>
        </w:rPr>
        <w:t>– We are a global leader in contingent staffing and permanent recruitment. We provide businesses with rapid access to a highly qualified and productive pool of candidates to give them the</w:t>
      </w:r>
      <w:r>
        <w:rPr>
          <w:rFonts w:ascii="Arial" w:cs="Arial" w:eastAsia="Arial" w:hAnsi="Arial"/>
          <w:sz w:val="14"/>
          <w:szCs w:val="14"/>
          <w:b w:val="1"/>
          <w:bCs w:val="1"/>
          <w:color w:val="auto"/>
        </w:rPr>
        <w:t xml:space="preserve"> </w:t>
      </w:r>
      <w:r>
        <w:rPr>
          <w:rFonts w:ascii="Arial" w:cs="Arial" w:eastAsia="Arial" w:hAnsi="Arial"/>
          <w:sz w:val="14"/>
          <w:szCs w:val="14"/>
          <w:color w:val="auto"/>
        </w:rPr>
        <w:t>flexibility and agility they need to respond to changing business needs.</w:t>
      </w:r>
    </w:p>
    <w:p>
      <w:pPr>
        <w:spacing w:after="0" w:line="130" w:lineRule="exact"/>
        <w:rPr>
          <w:rFonts w:ascii="Arial" w:cs="Arial" w:eastAsia="Arial" w:hAnsi="Arial"/>
          <w:sz w:val="14"/>
          <w:szCs w:val="14"/>
          <w:color w:val="auto"/>
        </w:rPr>
      </w:pPr>
    </w:p>
    <w:p>
      <w:pPr>
        <w:ind w:right="180" w:firstLine="3"/>
        <w:spacing w:after="0" w:line="273" w:lineRule="auto"/>
        <w:tabs>
          <w:tab w:leader="none" w:pos="83"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Experis </w:t>
      </w:r>
      <w:r>
        <w:rPr>
          <w:rFonts w:ascii="Arial" w:cs="Arial" w:eastAsia="Arial" w:hAnsi="Arial"/>
          <w:sz w:val="14"/>
          <w:szCs w:val="14"/>
          <w:color w:val="auto"/>
        </w:rPr>
        <w:t>– We are a global leader in professional resourcing and project-based solutions. With operations in over 50 countries and territories, we delivered 63 million hours of professional talent in 2016</w:t>
      </w:r>
      <w:r>
        <w:rPr>
          <w:rFonts w:ascii="Arial" w:cs="Arial" w:eastAsia="Arial" w:hAnsi="Arial"/>
          <w:sz w:val="14"/>
          <w:szCs w:val="14"/>
          <w:b w:val="1"/>
          <w:bCs w:val="1"/>
          <w:color w:val="auto"/>
        </w:rPr>
        <w:t xml:space="preserve"> </w:t>
      </w:r>
      <w:r>
        <w:rPr>
          <w:rFonts w:ascii="Arial" w:cs="Arial" w:eastAsia="Arial" w:hAnsi="Arial"/>
          <w:sz w:val="14"/>
          <w:szCs w:val="14"/>
          <w:color w:val="auto"/>
        </w:rPr>
        <w:t>specializing in Information Technology (IT), Engineering, and Finance.</w:t>
      </w:r>
    </w:p>
    <w:p>
      <w:pPr>
        <w:spacing w:after="0" w:line="130" w:lineRule="exact"/>
        <w:rPr>
          <w:rFonts w:ascii="Arial" w:cs="Arial" w:eastAsia="Arial" w:hAnsi="Arial"/>
          <w:sz w:val="14"/>
          <w:szCs w:val="14"/>
          <w:color w:val="auto"/>
        </w:rPr>
      </w:pPr>
    </w:p>
    <w:p>
      <w:pPr>
        <w:ind w:right="220" w:firstLine="3"/>
        <w:spacing w:after="0" w:line="413" w:lineRule="auto"/>
        <w:tabs>
          <w:tab w:leader="none" w:pos="83"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 xml:space="preserve">Right Management </w:t>
      </w:r>
      <w:r>
        <w:rPr>
          <w:rFonts w:ascii="Arial" w:cs="Arial" w:eastAsia="Arial" w:hAnsi="Arial"/>
          <w:sz w:val="11"/>
          <w:szCs w:val="11"/>
          <w:color w:val="auto"/>
        </w:rPr>
        <w:t>– We are a global career expert dedicated to helping organizations and individuals become more agile and innovative. By leveraging our expertise in assessment, development and</w:t>
      </w:r>
      <w:r>
        <w:rPr>
          <w:rFonts w:ascii="Arial" w:cs="Arial" w:eastAsia="Arial" w:hAnsi="Arial"/>
          <w:sz w:val="11"/>
          <w:szCs w:val="11"/>
          <w:b w:val="1"/>
          <w:bCs w:val="1"/>
          <w:color w:val="auto"/>
        </w:rPr>
        <w:t xml:space="preserve"> </w:t>
      </w:r>
      <w:r>
        <w:rPr>
          <w:rFonts w:ascii="Arial" w:cs="Arial" w:eastAsia="Arial" w:hAnsi="Arial"/>
          <w:sz w:val="11"/>
          <w:szCs w:val="11"/>
          <w:color w:val="auto"/>
        </w:rPr>
        <w:t>coaching, we provide tailored solutions that deliver organizational efficiency, individual development, and career management, to increase productivity and optimize business performance.</w:t>
      </w:r>
    </w:p>
    <w:p>
      <w:pPr>
        <w:spacing w:after="0" w:line="61" w:lineRule="exact"/>
        <w:rPr>
          <w:rFonts w:ascii="Arial" w:cs="Arial" w:eastAsia="Arial" w:hAnsi="Arial"/>
          <w:sz w:val="11"/>
          <w:szCs w:val="11"/>
          <w:color w:val="auto"/>
        </w:rPr>
      </w:pPr>
    </w:p>
    <w:p>
      <w:pPr>
        <w:ind w:right="240" w:firstLine="3"/>
        <w:spacing w:after="0" w:line="260" w:lineRule="auto"/>
        <w:tabs>
          <w:tab w:leader="none" w:pos="83"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ManpowerGroup Solutions </w:t>
      </w:r>
      <w:r>
        <w:rPr>
          <w:rFonts w:ascii="Arial" w:cs="Arial" w:eastAsia="Arial" w:hAnsi="Arial"/>
          <w:sz w:val="14"/>
          <w:szCs w:val="14"/>
          <w:color w:val="auto"/>
        </w:rPr>
        <w:t>– ManpowerGroup Solutions is a leader in outcome-based, talent-driven solutions. Our offerings include best-in-class Recruitment Process Outsourcing (RPO), TAPFIN -</w:t>
      </w:r>
      <w:r>
        <w:rPr>
          <w:rFonts w:ascii="Arial" w:cs="Arial" w:eastAsia="Arial" w:hAnsi="Arial"/>
          <w:sz w:val="14"/>
          <w:szCs w:val="14"/>
          <w:b w:val="1"/>
          <w:bCs w:val="1"/>
          <w:color w:val="auto"/>
        </w:rPr>
        <w:t xml:space="preserve"> </w:t>
      </w:r>
      <w:r>
        <w:rPr>
          <w:rFonts w:ascii="Arial" w:cs="Arial" w:eastAsia="Arial" w:hAnsi="Arial"/>
          <w:sz w:val="14"/>
          <w:szCs w:val="14"/>
          <w:color w:val="auto"/>
        </w:rPr>
        <w:t>Managed Service Provider (MSP), Proservia and Talent Based Outsourcing (TBO). Proservia is a recognized leader within the Digital Services market and IT Infrastructure sector throughout Europe, specializing in infrastructure management and end-user support.</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60"/>
          </w:cols>
          <w:pgMar w:left="220" w:top="477" w:right="319" w:bottom="1440" w:gutter="0" w:footer="0" w:header="0"/>
        </w:sectPr>
      </w:pPr>
    </w:p>
    <w:bookmarkStart w:id="2" w:name="page3"/>
    <w:bookmarkEnd w:id="2"/>
    <w:p>
      <w:pPr>
        <w:ind w:right="100" w:firstLine="372"/>
        <w:spacing w:after="0" w:line="251" w:lineRule="auto"/>
        <w:rPr>
          <w:sz w:val="20"/>
          <w:szCs w:val="20"/>
          <w:color w:val="auto"/>
        </w:rPr>
      </w:pPr>
      <w:r>
        <w:rPr>
          <w:rFonts w:ascii="Arial" w:cs="Arial" w:eastAsia="Arial" w:hAnsi="Arial"/>
          <w:sz w:val="14"/>
          <w:szCs w:val="14"/>
          <w:color w:val="auto"/>
        </w:rPr>
        <w:t>Our leadership position allows us to be a center for quality employment opportunities for people at all points in their career paths. In 2016, the over 3 million people whom we connected to opportunities and purpose worked to help our clients meet their business objectives. Seasoned professionals, skilled laborers, temporary to permanent, parents returning to work, seniors wanting to supplement pensions, previously unemployed youth and disabled individuals all turn to the ManpowerGroup companies for employment possibilities.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We, and our predecessors, have been in business since 1948 when we were incorporated as a Wisconsin corporation, and have shares listed on the New York Stock Exchange since 1967.</w:t>
      </w:r>
    </w:p>
    <w:p>
      <w:pPr>
        <w:spacing w:after="0" w:line="182" w:lineRule="exact"/>
        <w:rPr>
          <w:sz w:val="20"/>
          <w:szCs w:val="20"/>
          <w:color w:val="auto"/>
        </w:rPr>
      </w:pPr>
    </w:p>
    <w:p>
      <w:pPr>
        <w:ind w:right="20" w:firstLine="372"/>
        <w:spacing w:after="0" w:line="257" w:lineRule="auto"/>
        <w:rPr>
          <w:sz w:val="20"/>
          <w:szCs w:val="20"/>
          <w:color w:val="auto"/>
        </w:rPr>
      </w:pPr>
      <w:r>
        <w:rPr>
          <w:rFonts w:ascii="Arial" w:cs="Arial" w:eastAsia="Arial" w:hAnsi="Arial"/>
          <w:sz w:val="14"/>
          <w:szCs w:val="14"/>
          <w:color w:val="auto"/>
        </w:rPr>
        <w:t>Our Internet address is www.manpowergroup.com. We make available free of charge through our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45" w:lineRule="exact"/>
        <w:rPr>
          <w:sz w:val="20"/>
          <w:szCs w:val="20"/>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amended and restated articles of incorporation and amended and restated bylaws;</w:t>
      </w:r>
    </w:p>
    <w:p>
      <w:pPr>
        <w:spacing w:after="0" w:line="170"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ManpowerGroup code of business conduct and ethics;</w:t>
      </w:r>
    </w:p>
    <w:p>
      <w:pPr>
        <w:spacing w:after="0" w:line="170"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corporate governance guidelines;</w:t>
      </w:r>
    </w:p>
    <w:p>
      <w:pPr>
        <w:spacing w:after="0" w:line="170"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anti-corruption policy;</w:t>
      </w:r>
    </w:p>
    <w:p>
      <w:pPr>
        <w:spacing w:after="0" w:line="170"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charters of the Audit, Executive Compensation and Human Resources and Nominating and Governance Committees of the Board of Directors;</w:t>
      </w:r>
    </w:p>
    <w:p>
      <w:pPr>
        <w:spacing w:after="0" w:line="170"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guidelines for selecting board candidates;</w:t>
      </w:r>
    </w:p>
    <w:p>
      <w:pPr>
        <w:spacing w:after="0" w:line="170"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categorical standards for relationships deemed not to impair independence of non-employee directors;</w:t>
      </w:r>
    </w:p>
    <w:p>
      <w:pPr>
        <w:spacing w:after="0" w:line="170"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policy on services provided by independent auditors; and</w:t>
      </w:r>
    </w:p>
    <w:p>
      <w:pPr>
        <w:spacing w:after="0" w:line="170"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regular update on corporate social responsibility.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Our Operations</w:t>
      </w:r>
    </w:p>
    <w:p>
      <w:pPr>
        <w:spacing w:after="0" w:line="170" w:lineRule="exact"/>
        <w:rPr>
          <w:sz w:val="20"/>
          <w:szCs w:val="20"/>
          <w:color w:val="auto"/>
        </w:rPr>
      </w:pPr>
    </w:p>
    <w:p>
      <w:pPr>
        <w:ind w:right="40" w:firstLine="372"/>
        <w:spacing w:after="0" w:line="253" w:lineRule="auto"/>
        <w:rPr>
          <w:sz w:val="20"/>
          <w:szCs w:val="20"/>
          <w:color w:val="auto"/>
        </w:rPr>
      </w:pPr>
      <w:r>
        <w:rPr>
          <w:rFonts w:ascii="Arial" w:cs="Arial" w:eastAsia="Arial" w:hAnsi="Arial"/>
          <w:sz w:val="14"/>
          <w:szCs w:val="14"/>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while demand for our outplacement services typically declines. Correspondingly, during periods of weak economic growth or economic contraction, the demand for our staffing services typically declines, while demand for our outplacement services typically accelerates.</w:t>
      </w:r>
    </w:p>
    <w:p>
      <w:pPr>
        <w:spacing w:after="0" w:line="149" w:lineRule="exact"/>
        <w:rPr>
          <w:sz w:val="20"/>
          <w:szCs w:val="20"/>
          <w:color w:val="auto"/>
        </w:rPr>
      </w:pPr>
    </w:p>
    <w:p>
      <w:pPr>
        <w:ind w:firstLine="372"/>
        <w:spacing w:after="0" w:line="253" w:lineRule="auto"/>
        <w:rPr>
          <w:sz w:val="20"/>
          <w:szCs w:val="20"/>
          <w:color w:val="auto"/>
        </w:rPr>
      </w:pPr>
      <w:r>
        <w:rPr>
          <w:rFonts w:ascii="Arial" w:cs="Arial" w:eastAsia="Arial" w:hAnsi="Arial"/>
          <w:sz w:val="14"/>
          <w:szCs w:val="14"/>
          <w:color w:val="auto"/>
        </w:rPr>
        <w:t>During the last several years, secular trends toward greater workforce flexibility have had a favorable impact on demand for our innovative workforce solutions and services around the world. As companies attempt to increase the variability of their cost base, the workforce solutions we provide help them to effectively address the fluctuating demand for their products or services. As the economy recovers, we plan to play an increasing role, as the need for a robust workforce strategy and talent acquisition plan will continue to be critical due to the deep staff cuts that many companies, particularly large organizations, have made during the previous periods of slow economic growth.</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20" w:top="481" w:right="259" w:bottom="1440" w:gutter="0" w:footer="0" w:header="0"/>
        </w:sectPr>
      </w:pPr>
    </w:p>
    <w:bookmarkStart w:id="3" w:name="page4"/>
    <w:bookmarkEnd w:id="3"/>
    <w:p>
      <w:pPr>
        <w:ind w:right="100" w:firstLine="497"/>
        <w:spacing w:after="0" w:line="337" w:lineRule="auto"/>
        <w:rPr>
          <w:sz w:val="20"/>
          <w:szCs w:val="20"/>
          <w:color w:val="auto"/>
        </w:rPr>
      </w:pPr>
      <w:r>
        <w:rPr>
          <w:rFonts w:ascii="Arial" w:cs="Arial" w:eastAsia="Arial" w:hAnsi="Arial"/>
          <w:sz w:val="11"/>
          <w:szCs w:val="11"/>
          <w:color w:val="auto"/>
        </w:rPr>
        <w:t>Our portfolio of recruitment services includes permanent, temporary and contract recruitment of professionals, as well as administrative and industrial positions. All of these services are provided under our Manpower and Experis brands. We have provided services under our core Manpower brand for almost 70 years with a primary focus on the areas of office, call center and industrial services and solutions. We provide services under our Experis brand, particularly in the areas of IT, Engineering, and Finance, that include high-impact solutions, and accelerate organizations’ growth by attracting, assessing and placing specialized expertise to deliver in-demand talent for mission-critical positions. Our experience and expertise allow us to accurately assess candidates’ workplace potential and technical skills to match them to the needs of our clients. We plan to continue to build our brand and attract the talent our clients need as skills shortages arise or continue.</w:t>
      </w:r>
    </w:p>
    <w:p>
      <w:pPr>
        <w:spacing w:after="0" w:line="105" w:lineRule="exact"/>
        <w:rPr>
          <w:sz w:val="20"/>
          <w:szCs w:val="20"/>
          <w:color w:val="auto"/>
        </w:rPr>
      </w:pPr>
    </w:p>
    <w:p>
      <w:pPr>
        <w:ind w:right="40" w:firstLine="372"/>
        <w:spacing w:after="0" w:line="251" w:lineRule="auto"/>
        <w:rPr>
          <w:sz w:val="20"/>
          <w:szCs w:val="20"/>
          <w:color w:val="auto"/>
        </w:rPr>
      </w:pPr>
      <w:r>
        <w:rPr>
          <w:rFonts w:ascii="Arial" w:cs="Arial" w:eastAsia="Arial" w:hAnsi="Arial"/>
          <w:sz w:val="14"/>
          <w:szCs w:val="14"/>
          <w:color w:val="auto"/>
        </w:rPr>
        <w:t>ManpowerGroup Solutions specializes in the delivery of customized workforce strategies and outcome-based solutions. Through our RPO offering, we manage customized, large-scale recruiting and workforce productivity initiatives for clients through an exclusive outsourcing contract.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TBO and Proservia services also include management of financial and administrative processes, including call center and customer service activities and accounting and payroll.</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Americas</w:t>
      </w:r>
    </w:p>
    <w:p>
      <w:pPr>
        <w:spacing w:after="0" w:line="170" w:lineRule="exact"/>
        <w:rPr>
          <w:sz w:val="20"/>
          <w:szCs w:val="20"/>
          <w:color w:val="auto"/>
        </w:rPr>
      </w:pPr>
    </w:p>
    <w:p>
      <w:pPr>
        <w:jc w:val="both"/>
        <w:ind w:firstLine="372"/>
        <w:spacing w:after="0" w:line="344" w:lineRule="auto"/>
        <w:rPr>
          <w:sz w:val="20"/>
          <w:szCs w:val="20"/>
          <w:color w:val="auto"/>
        </w:rPr>
      </w:pPr>
      <w:r>
        <w:rPr>
          <w:rFonts w:ascii="Arial" w:cs="Arial" w:eastAsia="Arial" w:hAnsi="Arial"/>
          <w:sz w:val="11"/>
          <w:szCs w:val="11"/>
          <w:color w:val="auto"/>
        </w:rPr>
        <w:t>We provide services as Manpower, Experis and ManpowerGroup Solutions through both branch and franchise offices. The Americas segment had 631 branch and 180 franchise offices. In the United States, where we realized 66% of the Americas’ revenue, we had 415 branch and 164 franchise offices as of December 31, 2016, as well as on-site locations at clients with significant permanent, temporary and contract recruitment requirements. In Other Americas, the largest operations of which include Mexico and Argentina, we had 216 branch offices and 16 franchise offices. We provide a number of central support services to our branches and franchises, which enable us to maintain consistent service quality throughout the region regardless of whether an office is a branch or franchise.</w:t>
      </w:r>
    </w:p>
    <w:p>
      <w:pPr>
        <w:spacing w:after="0" w:line="102" w:lineRule="exact"/>
        <w:rPr>
          <w:sz w:val="20"/>
          <w:szCs w:val="20"/>
          <w:color w:val="auto"/>
        </w:rPr>
      </w:pPr>
    </w:p>
    <w:p>
      <w:pPr>
        <w:ind w:right="20" w:firstLine="372"/>
        <w:spacing w:after="0" w:line="286" w:lineRule="auto"/>
        <w:rPr>
          <w:sz w:val="20"/>
          <w:szCs w:val="20"/>
          <w:color w:val="auto"/>
        </w:rPr>
      </w:pPr>
      <w:r>
        <w:rPr>
          <w:rFonts w:ascii="Arial" w:cs="Arial" w:eastAsia="Arial" w:hAnsi="Arial"/>
          <w:sz w:val="13"/>
          <w:szCs w:val="13"/>
          <w:color w:val="auto"/>
        </w:rPr>
        <w:t>Our franchise agreements provide the franchisee with the right to use the Manpower® service mark in a specifically defined exclusive territory. In the United States, franchise fees generally range from 2% to 3% of franchise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 with appropriate prices and terms.</w:t>
      </w:r>
    </w:p>
    <w:p>
      <w:pPr>
        <w:spacing w:after="0" w:line="128"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4"/>
          <w:szCs w:val="14"/>
          <w:color w:val="auto"/>
        </w:rPr>
        <w:t>Our Manpower and Experis operations provide a variety of workforce solutions and services, including permanent, temporary and contract recruitment, assessment and selection, and training. During 2016 in this segment, approximately 38% of temporary and contract recruitment revenues were derived from placing industrial staff, 25% from placing office staff, and 37% from placing professional and technical staff. For our United States operations in 2016, approximately 44% of the temporary and contract recruitment revenues were derived from placing industrial staff, 15% from placing office staff, and 41% from placing professional and technical staff.</w:t>
      </w:r>
    </w:p>
    <w:p>
      <w:pPr>
        <w:spacing w:after="0" w:line="149" w:lineRule="exact"/>
        <w:rPr>
          <w:sz w:val="20"/>
          <w:szCs w:val="20"/>
          <w:color w:val="auto"/>
        </w:rPr>
      </w:pPr>
    </w:p>
    <w:p>
      <w:pPr>
        <w:jc w:val="both"/>
        <w:ind w:firstLine="372"/>
        <w:spacing w:after="0" w:line="267" w:lineRule="auto"/>
        <w:rPr>
          <w:sz w:val="20"/>
          <w:szCs w:val="20"/>
          <w:color w:val="auto"/>
        </w:rPr>
      </w:pPr>
      <w:r>
        <w:rPr>
          <w:rFonts w:ascii="Arial" w:cs="Arial" w:eastAsia="Arial" w:hAnsi="Arial"/>
          <w:sz w:val="14"/>
          <w:szCs w:val="14"/>
          <w:color w:val="auto"/>
        </w:rPr>
        <w:t>Our ManpowerGroup Solutions operations provide a variety of outcome-based solutions including RPO, MSP and TBO. We also conduct business in the Americas under our Right Management brand as discussed below.</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Southern Europe</w:t>
      </w:r>
    </w:p>
    <w:p>
      <w:pPr>
        <w:spacing w:after="0" w:line="170" w:lineRule="exact"/>
        <w:rPr>
          <w:sz w:val="20"/>
          <w:szCs w:val="20"/>
          <w:color w:val="auto"/>
        </w:rPr>
      </w:pPr>
    </w:p>
    <w:p>
      <w:pPr>
        <w:ind w:right="160" w:firstLine="372"/>
        <w:spacing w:after="0" w:line="257" w:lineRule="auto"/>
        <w:rPr>
          <w:sz w:val="20"/>
          <w:szCs w:val="20"/>
          <w:color w:val="auto"/>
        </w:rPr>
      </w:pPr>
      <w:r>
        <w:rPr>
          <w:rFonts w:ascii="Arial" w:cs="Arial" w:eastAsia="Arial" w:hAnsi="Arial"/>
          <w:sz w:val="14"/>
          <w:szCs w:val="14"/>
          <w:color w:val="auto"/>
        </w:rPr>
        <w:t>We are a leading provider of permanent, temporary and contract recruitment, assessment and selection, training and outsourcing services throughout Europe. The Southern Europe segment had 1,103 branch offices and 49 franchise offices as of December 31, 2016. Our largest operations in this segment are in France (65% of the segment revenue) and Italy (16% of the segment revenue). The franchise offices are in Switzerland, where we own 49% of the franchise.</w:t>
      </w:r>
    </w:p>
    <w:p>
      <w:pPr>
        <w:spacing w:after="0" w:line="145" w:lineRule="exact"/>
        <w:rPr>
          <w:sz w:val="20"/>
          <w:szCs w:val="20"/>
          <w:color w:val="auto"/>
        </w:rPr>
      </w:pPr>
    </w:p>
    <w:p>
      <w:pPr>
        <w:ind w:right="20" w:firstLine="372"/>
        <w:spacing w:after="0" w:line="267" w:lineRule="auto"/>
        <w:rPr>
          <w:sz w:val="20"/>
          <w:szCs w:val="20"/>
          <w:color w:val="auto"/>
        </w:rPr>
      </w:pPr>
      <w:r>
        <w:rPr>
          <w:rFonts w:ascii="Arial" w:cs="Arial" w:eastAsia="Arial" w:hAnsi="Arial"/>
          <w:sz w:val="14"/>
          <w:szCs w:val="14"/>
          <w:color w:val="auto"/>
        </w:rPr>
        <w:t>During 2016 for our Southern Europe operations, approximately 73% of temporary and contract recruitment revenues were derived from placing industrial staff, 14% from placing office staff, and 13% from placing professional and technical staff.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481" w:right="219" w:bottom="1440" w:gutter="0" w:footer="0" w:header="0"/>
        </w:sectPr>
      </w:pPr>
    </w:p>
    <w:bookmarkStart w:id="4" w:name="page5"/>
    <w:bookmarkEnd w:id="4"/>
    <w:p>
      <w:pPr>
        <w:ind w:firstLine="372"/>
        <w:spacing w:after="0" w:line="344" w:lineRule="auto"/>
        <w:rPr>
          <w:sz w:val="20"/>
          <w:szCs w:val="20"/>
          <w:color w:val="auto"/>
        </w:rPr>
      </w:pPr>
      <w:r>
        <w:rPr>
          <w:rFonts w:ascii="Arial" w:cs="Arial" w:eastAsia="Arial" w:hAnsi="Arial"/>
          <w:sz w:val="11"/>
          <w:szCs w:val="11"/>
          <w:color w:val="auto"/>
        </w:rPr>
        <w:t>We conduct our operations in France and the surrounding region as a leading workforce solutions and service provider through 545 branch offices under the name of Manpower, Experis, ManpowerGroup Solutions or Proservia, and 123 branch offices under the name Supplay. The employment services market in France calls for a wide range of our services including permanent, temporary and contract recruitment, assessment and selection, and training. The temporary recruitment market is predominantly focused on recruitment for industrial positions. In 2016, we derived approximately 83% of our temporary recruitment revenues in France from the supply of industrial and construction workers, 16% from the supply of office staff, and 1% from the supply of professional and technical staff.</w:t>
      </w:r>
    </w:p>
    <w:p>
      <w:pPr>
        <w:spacing w:after="0" w:line="102" w:lineRule="exact"/>
        <w:rPr>
          <w:sz w:val="20"/>
          <w:szCs w:val="20"/>
          <w:color w:val="auto"/>
        </w:rPr>
      </w:pPr>
    </w:p>
    <w:p>
      <w:pPr>
        <w:ind w:right="60" w:firstLine="372"/>
        <w:spacing w:after="0" w:line="253" w:lineRule="auto"/>
        <w:rPr>
          <w:sz w:val="20"/>
          <w:szCs w:val="20"/>
          <w:color w:val="auto"/>
        </w:rPr>
      </w:pPr>
      <w:r>
        <w:rPr>
          <w:rFonts w:ascii="Arial" w:cs="Arial" w:eastAsia="Arial" w:hAnsi="Arial"/>
          <w:sz w:val="14"/>
          <w:szCs w:val="14"/>
          <w:color w:val="auto"/>
        </w:rPr>
        <w:t>In Italy, we are a leading workforce solutions and services provider. As of December 31, 2016, ManpowerGroup Italy conducted operations through a network of 228 branch offices. It provides a comprehensive suite of workforce solutions and services offered through Manpower, Experis or ManpowerGroup Solutions, including permanent, temporary and contract recruitment, assessment and selection, training and outsourcing. In 2016, approximately 67% of our temporary and contract recruitment revenues in Italy were derived from placing industrial staff, 6% from placing office staff, including contact center staff, and 27% from placing professional and technical staff.</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conduct business in Southern Europe under our Right Management brand as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Northern Europe</w:t>
      </w:r>
    </w:p>
    <w:p>
      <w:pPr>
        <w:spacing w:after="0" w:line="170" w:lineRule="exact"/>
        <w:rPr>
          <w:sz w:val="20"/>
          <w:szCs w:val="20"/>
          <w:color w:val="auto"/>
        </w:rPr>
      </w:pPr>
    </w:p>
    <w:p>
      <w:pPr>
        <w:ind w:right="500" w:firstLine="372"/>
        <w:spacing w:after="0" w:line="267" w:lineRule="auto"/>
        <w:rPr>
          <w:sz w:val="20"/>
          <w:szCs w:val="20"/>
          <w:color w:val="auto"/>
        </w:rPr>
      </w:pPr>
      <w:r>
        <w:rPr>
          <w:rFonts w:ascii="Arial" w:cs="Arial" w:eastAsia="Arial" w:hAnsi="Arial"/>
          <w:sz w:val="14"/>
          <w:szCs w:val="14"/>
          <w:color w:val="auto"/>
        </w:rPr>
        <w:t>Our largest operations in Northern Europe are in the United Kingdom, the Nordics, Germany and the Netherlands, providing a comprehensive suite of workforce solutions and services through Manpower, Experis, ManpowerGroup Solutions and Proservia. Collectively, we operate through 562 branch offices in this region.</w:t>
      </w:r>
    </w:p>
    <w:p>
      <w:pPr>
        <w:spacing w:after="0" w:line="138" w:lineRule="exact"/>
        <w:rPr>
          <w:sz w:val="20"/>
          <w:szCs w:val="20"/>
          <w:color w:val="auto"/>
        </w:rPr>
      </w:pPr>
    </w:p>
    <w:p>
      <w:pPr>
        <w:jc w:val="both"/>
        <w:ind w:right="20" w:firstLine="372"/>
        <w:spacing w:after="0" w:line="267" w:lineRule="auto"/>
        <w:rPr>
          <w:sz w:val="20"/>
          <w:szCs w:val="20"/>
          <w:color w:val="auto"/>
        </w:rPr>
      </w:pPr>
      <w:r>
        <w:rPr>
          <w:rFonts w:ascii="Arial" w:cs="Arial" w:eastAsia="Arial" w:hAnsi="Arial"/>
          <w:sz w:val="14"/>
          <w:szCs w:val="14"/>
          <w:color w:val="auto"/>
        </w:rPr>
        <w:t>During 2016 for our Northern Europe operations, approximately 41% of temporary and contract recruitment revenues were derived from placing industrial staff, 23% from placing office staff, and 36% from placing professional and technical staff.</w:t>
      </w:r>
    </w:p>
    <w:p>
      <w:pPr>
        <w:spacing w:after="0" w:line="138"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4"/>
          <w:szCs w:val="14"/>
          <w:color w:val="auto"/>
        </w:rPr>
        <w:t>In the United Kingdom, where we have the largest operation in this segment, we are a leading provider of workforce solutions and services. As of December 31, 2016, we conducted operations in the United Kingdom as Manpower, Experis and ManpowerGroup Solutions through a network of 73 branch offices and also provided on-site services to clients who have significant permanent, temporary and contract recruitment requirements. During 2016, approximately 27% of our United Kingdom operation’s temporary recruitment revenues were derived from the supply of industrial staff, 21% from the supply of office staff, and 52% from the supply of professional and technical staff.</w:t>
      </w:r>
    </w:p>
    <w:p>
      <w:pPr>
        <w:spacing w:after="0" w:line="149" w:lineRule="exact"/>
        <w:rPr>
          <w:sz w:val="20"/>
          <w:szCs w:val="20"/>
          <w:color w:val="auto"/>
        </w:rPr>
      </w:pPr>
    </w:p>
    <w:p>
      <w:pPr>
        <w:ind w:right="20" w:firstLine="372"/>
        <w:spacing w:after="0" w:line="405" w:lineRule="auto"/>
        <w:rPr>
          <w:sz w:val="20"/>
          <w:szCs w:val="20"/>
          <w:color w:val="auto"/>
        </w:rPr>
      </w:pPr>
      <w:r>
        <w:rPr>
          <w:rFonts w:ascii="Arial" w:cs="Arial" w:eastAsia="Arial" w:hAnsi="Arial"/>
          <w:sz w:val="11"/>
          <w:szCs w:val="11"/>
          <w:color w:val="auto"/>
        </w:rPr>
        <w:t>We also own Brook Street Bureau PLC, or Brook Street, which operates through a total of 67 branch offices.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conduct business in Northern Europe under our Right Management brand as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APME</w:t>
      </w:r>
    </w:p>
    <w:p>
      <w:pPr>
        <w:spacing w:after="0" w:line="170" w:lineRule="exact"/>
        <w:rPr>
          <w:sz w:val="20"/>
          <w:szCs w:val="20"/>
          <w:color w:val="auto"/>
        </w:rPr>
      </w:pPr>
    </w:p>
    <w:p>
      <w:pPr>
        <w:ind w:right="80" w:firstLine="372"/>
        <w:spacing w:after="0" w:line="253" w:lineRule="auto"/>
        <w:rPr>
          <w:sz w:val="20"/>
          <w:szCs w:val="20"/>
          <w:color w:val="auto"/>
        </w:rPr>
      </w:pPr>
      <w:r>
        <w:rPr>
          <w:rFonts w:ascii="Arial" w:cs="Arial" w:eastAsia="Arial" w:hAnsi="Arial"/>
          <w:sz w:val="14"/>
          <w:szCs w:val="14"/>
          <w:color w:val="auto"/>
        </w:rPr>
        <w:t>We operate through 179 branch offices in the Asia Pacific Middle East (APME) region. The largest of these operations are located in Japan, Australia, Korea, China and India, all of which operate through branch offices. Our APME operations provide a variety of workforce solutions and services offered through Manpower, Experis and ManpowerGroup Solutions, including permanent, temporary and contract recruitment, assessment and selection, training and outsourcing. During 2016, approximately 11% of our APME temporary and contract recruitment revenues were derived from placing industrial staff, 51% from placing office staff, and 38% from placing professional and technical staff.</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conduct business in APME under our Right Management brand as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Right Management</w:t>
      </w:r>
    </w:p>
    <w:p>
      <w:pPr>
        <w:spacing w:after="0" w:line="170" w:lineRule="exact"/>
        <w:rPr>
          <w:sz w:val="20"/>
          <w:szCs w:val="20"/>
          <w:color w:val="auto"/>
        </w:rPr>
      </w:pPr>
    </w:p>
    <w:p>
      <w:pPr>
        <w:jc w:val="both"/>
        <w:ind w:firstLine="372"/>
        <w:spacing w:after="0" w:line="257" w:lineRule="auto"/>
        <w:rPr>
          <w:sz w:val="20"/>
          <w:szCs w:val="20"/>
          <w:color w:val="auto"/>
        </w:rPr>
      </w:pPr>
      <w:r>
        <w:rPr>
          <w:rFonts w:ascii="Arial" w:cs="Arial" w:eastAsia="Arial" w:hAnsi="Arial"/>
          <w:sz w:val="14"/>
          <w:szCs w:val="14"/>
          <w:color w:val="auto"/>
        </w:rPr>
        <w:t>Right Management is a global expert in talent and career management workforce solutions. We design and deliver solutions to align talent strategy with business strategy. Our expertise spans Talent Assessment, Leader Development, Organizational Effectiveness, Employee Engagement, and Workforce Transition and Outplacement. With 94 offices in 48 countries and territories, we partner with companies of all sizes to help grow and engage their talent, increase productivity and optimize business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481" w:right="2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auto"/>
        </w:rPr>
        <w:t>Competition</w:t>
      </w:r>
    </w:p>
    <w:p>
      <w:pPr>
        <w:spacing w:after="0" w:line="170" w:lineRule="exact"/>
        <w:rPr>
          <w:sz w:val="20"/>
          <w:szCs w:val="20"/>
          <w:color w:val="auto"/>
        </w:rPr>
      </w:pPr>
    </w:p>
    <w:p>
      <w:pPr>
        <w:ind w:right="220" w:firstLine="372"/>
        <w:spacing w:after="0" w:line="267" w:lineRule="auto"/>
        <w:rPr>
          <w:sz w:val="20"/>
          <w:szCs w:val="20"/>
          <w:color w:val="auto"/>
        </w:rPr>
      </w:pPr>
      <w:r>
        <w:rPr>
          <w:rFonts w:ascii="Arial" w:cs="Arial" w:eastAsia="Arial" w:hAnsi="Arial"/>
          <w:sz w:val="14"/>
          <w:szCs w:val="14"/>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38" w:lineRule="exact"/>
        <w:rPr>
          <w:sz w:val="20"/>
          <w:szCs w:val="20"/>
          <w:color w:val="auto"/>
        </w:rPr>
      </w:pPr>
    </w:p>
    <w:p>
      <w:pPr>
        <w:ind w:right="20" w:firstLine="372"/>
        <w:spacing w:after="0" w:line="249" w:lineRule="auto"/>
        <w:rPr>
          <w:sz w:val="20"/>
          <w:szCs w:val="20"/>
          <w:color w:val="auto"/>
        </w:rPr>
      </w:pPr>
      <w:r>
        <w:rPr>
          <w:rFonts w:ascii="Arial" w:cs="Arial" w:eastAsia="Arial" w:hAnsi="Arial"/>
          <w:sz w:val="14"/>
          <w:szCs w:val="14"/>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(Switzerland) and Randstad Holding N.V. (Netherlands). We also compete against a variety of regional or specialized companies such as Recruit Holdings Co., Ltd., Kelly Services, Inc., Robert Half Inc., Kforce Inc.,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high-value workforce management, outsourcing and consulting solutions.</w:t>
      </w:r>
    </w:p>
    <w:p>
      <w:pPr>
        <w:spacing w:after="0" w:line="153" w:lineRule="exact"/>
        <w:rPr>
          <w:sz w:val="20"/>
          <w:szCs w:val="20"/>
          <w:color w:val="auto"/>
        </w:rPr>
      </w:pPr>
    </w:p>
    <w:p>
      <w:pPr>
        <w:ind w:firstLine="372"/>
        <w:spacing w:after="0" w:line="251" w:lineRule="auto"/>
        <w:rPr>
          <w:sz w:val="20"/>
          <w:szCs w:val="20"/>
          <w:color w:val="auto"/>
        </w:rPr>
      </w:pPr>
      <w:r>
        <w:rPr>
          <w:rFonts w:ascii="Arial" w:cs="Arial" w:eastAsia="Arial" w:hAnsi="Arial"/>
          <w:sz w:val="14"/>
          <w:szCs w:val="14"/>
          <w:color w:val="auto"/>
        </w:rPr>
        <w:t>Our client mix consists of both small- and medium-size businesses, and large national and multinational client relationships, which comprised approximately 57% of our revenues in 2016. Client relationships with small- and medium-size businesses are based upon a local or regional relationship with our presence in each market, tend to rely less upon longer-term contracts, and the competitors for this business are primarily locally-owned businesses. The large national and multinational clients, on the other hand, will frequently enter into non-exclusive arrangements with several firms, with the ultimate choice among them being left to the local managers. As a result, employment services firms with a large network of offices compete most effectively for this business which generally has agreed-upon pricing or mark-up on services performed.</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Regulation</w:t>
      </w:r>
    </w:p>
    <w:p>
      <w:pPr>
        <w:spacing w:after="0" w:line="170" w:lineRule="exact"/>
        <w:rPr>
          <w:sz w:val="20"/>
          <w:szCs w:val="20"/>
          <w:color w:val="auto"/>
        </w:rPr>
      </w:pPr>
    </w:p>
    <w:p>
      <w:pPr>
        <w:ind w:right="60" w:firstLine="372"/>
        <w:spacing w:after="0" w:line="267" w:lineRule="auto"/>
        <w:rPr>
          <w:sz w:val="20"/>
          <w:szCs w:val="20"/>
          <w:color w:val="auto"/>
        </w:rPr>
      </w:pPr>
      <w:r>
        <w:rPr>
          <w:rFonts w:ascii="Arial" w:cs="Arial" w:eastAsia="Arial" w:hAnsi="Arial"/>
          <w:sz w:val="14"/>
          <w:szCs w:val="14"/>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38" w:lineRule="exact"/>
        <w:rPr>
          <w:sz w:val="20"/>
          <w:szCs w:val="20"/>
          <w:color w:val="auto"/>
        </w:rPr>
      </w:pPr>
    </w:p>
    <w:p>
      <w:pPr>
        <w:ind w:left="400" w:hanging="397"/>
        <w:spacing w:after="0"/>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regulation of the employer/employee relationship between the firm and its temporary and contract employees;</w:t>
      </w:r>
    </w:p>
    <w:p>
      <w:pPr>
        <w:spacing w:after="0" w:line="170" w:lineRule="exact"/>
        <w:rPr>
          <w:rFonts w:ascii="Arial" w:cs="Arial" w:eastAsia="Arial" w:hAnsi="Arial"/>
          <w:sz w:val="14"/>
          <w:szCs w:val="14"/>
          <w:color w:val="auto"/>
        </w:rPr>
      </w:pPr>
    </w:p>
    <w:p>
      <w:pPr>
        <w:ind w:left="400" w:hanging="397"/>
        <w:spacing w:after="0"/>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registration, licensing, record keeping and reporting requirements; and</w:t>
      </w:r>
    </w:p>
    <w:p>
      <w:pPr>
        <w:spacing w:after="0" w:line="170" w:lineRule="exact"/>
        <w:rPr>
          <w:rFonts w:ascii="Arial" w:cs="Arial" w:eastAsia="Arial" w:hAnsi="Arial"/>
          <w:sz w:val="14"/>
          <w:szCs w:val="14"/>
          <w:color w:val="auto"/>
        </w:rPr>
      </w:pPr>
    </w:p>
    <w:p>
      <w:pPr>
        <w:ind w:left="400" w:hanging="397"/>
        <w:spacing w:after="0"/>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substantive limitations on the operations or the use of temporary and contract employees by clients.</w:t>
      </w:r>
    </w:p>
    <w:p>
      <w:pPr>
        <w:spacing w:after="0" w:line="170" w:lineRule="exact"/>
        <w:rPr>
          <w:sz w:val="20"/>
          <w:szCs w:val="20"/>
          <w:color w:val="auto"/>
        </w:rPr>
      </w:pPr>
    </w:p>
    <w:p>
      <w:pPr>
        <w:jc w:val="both"/>
        <w:ind w:right="100" w:firstLine="372"/>
        <w:spacing w:after="0" w:line="257" w:lineRule="auto"/>
        <w:rPr>
          <w:sz w:val="20"/>
          <w:szCs w:val="20"/>
          <w:color w:val="auto"/>
        </w:rPr>
      </w:pPr>
      <w:r>
        <w:rPr>
          <w:rFonts w:ascii="Arial" w:cs="Arial" w:eastAsia="Arial" w:hAnsi="Arial"/>
          <w:sz w:val="14"/>
          <w:szCs w:val="14"/>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45" w:lineRule="exact"/>
        <w:rPr>
          <w:sz w:val="20"/>
          <w:szCs w:val="20"/>
          <w:color w:val="auto"/>
        </w:rPr>
      </w:pPr>
    </w:p>
    <w:p>
      <w:pPr>
        <w:ind w:right="40" w:firstLine="372"/>
        <w:spacing w:after="0" w:line="253" w:lineRule="auto"/>
        <w:rPr>
          <w:sz w:val="20"/>
          <w:szCs w:val="20"/>
          <w:color w:val="auto"/>
        </w:rPr>
      </w:pPr>
      <w:r>
        <w:rPr>
          <w:rFonts w:ascii="Arial" w:cs="Arial" w:eastAsia="Arial" w:hAnsi="Arial"/>
          <w:sz w:val="14"/>
          <w:szCs w:val="14"/>
          <w:color w:val="auto"/>
        </w:rPr>
        <w:t>In many countries, including the United States and the United Kingdom, workforce solutions and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149" w:lineRule="exact"/>
        <w:rPr>
          <w:sz w:val="20"/>
          <w:szCs w:val="20"/>
          <w:color w:val="auto"/>
        </w:rPr>
      </w:pPr>
    </w:p>
    <w:p>
      <w:pPr>
        <w:ind w:right="360" w:firstLine="372"/>
        <w:spacing w:after="0" w:line="257" w:lineRule="auto"/>
        <w:rPr>
          <w:sz w:val="20"/>
          <w:szCs w:val="20"/>
          <w:color w:val="auto"/>
        </w:rPr>
      </w:pPr>
      <w:r>
        <w:rPr>
          <w:rFonts w:ascii="Arial" w:cs="Arial" w:eastAsia="Arial" w:hAnsi="Arial"/>
          <w:sz w:val="14"/>
          <w:szCs w:val="14"/>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481" w:right="219" w:bottom="1440" w:gutter="0" w:footer="0" w:header="0"/>
        </w:sectPr>
      </w:pPr>
    </w:p>
    <w:bookmarkStart w:id="6" w:name="page7"/>
    <w:bookmarkEnd w:id="6"/>
    <w:p>
      <w:pPr>
        <w:ind w:right="20" w:firstLine="372"/>
        <w:spacing w:after="0" w:line="251" w:lineRule="auto"/>
        <w:rPr>
          <w:sz w:val="20"/>
          <w:szCs w:val="20"/>
          <w:color w:val="auto"/>
        </w:rPr>
      </w:pPr>
      <w:r>
        <w:rPr>
          <w:rFonts w:ascii="Arial" w:cs="Arial" w:eastAsia="Arial" w:hAnsi="Arial"/>
          <w:sz w:val="14"/>
          <w:szCs w:val="14"/>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outplacement and consulting services generally are not subjected to governmental regulation in the markets in which we operate.</w:t>
      </w:r>
    </w:p>
    <w:p>
      <w:pPr>
        <w:spacing w:after="0" w:line="170" w:lineRule="exact"/>
        <w:rPr>
          <w:sz w:val="20"/>
          <w:szCs w:val="20"/>
          <w:color w:val="auto"/>
        </w:rPr>
      </w:pPr>
    </w:p>
    <w:p>
      <w:pPr>
        <w:ind w:right="260" w:firstLine="372"/>
        <w:spacing w:after="0" w:line="405" w:lineRule="auto"/>
        <w:rPr>
          <w:sz w:val="20"/>
          <w:szCs w:val="20"/>
          <w:color w:val="auto"/>
        </w:rPr>
      </w:pPr>
      <w:r>
        <w:rPr>
          <w:rFonts w:ascii="Arial" w:cs="Arial" w:eastAsia="Arial" w:hAnsi="Arial"/>
          <w:sz w:val="11"/>
          <w:szCs w:val="11"/>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Also see Item 7. “Management’s Discussion and Analysis of Financial Condition and Results of Operations—Legal Regulations.”</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Trademarks</w:t>
      </w:r>
    </w:p>
    <w:p>
      <w:pPr>
        <w:spacing w:after="0" w:line="170" w:lineRule="exact"/>
        <w:rPr>
          <w:sz w:val="20"/>
          <w:szCs w:val="20"/>
          <w:color w:val="auto"/>
        </w:rPr>
      </w:pPr>
    </w:p>
    <w:p>
      <w:pPr>
        <w:ind w:right="140" w:firstLine="372"/>
        <w:spacing w:after="0" w:line="229" w:lineRule="auto"/>
        <w:rPr>
          <w:sz w:val="20"/>
          <w:szCs w:val="20"/>
          <w:color w:val="auto"/>
        </w:rPr>
      </w:pPr>
      <w:r>
        <w:rPr>
          <w:rFonts w:ascii="Arial" w:cs="Arial" w:eastAsia="Arial" w:hAnsi="Arial"/>
          <w:sz w:val="14"/>
          <w:szCs w:val="14"/>
          <w:color w:val="auto"/>
        </w:rPr>
        <w:t>We maintain a number of registered trademarks, trade names and service marks in the United States and various other countries. We believe that many of these marks and trade names, including ManpowerGroup</w:t>
      </w:r>
      <w:r>
        <w:rPr>
          <w:rFonts w:ascii="Arial" w:cs="Arial" w:eastAsia="Arial" w:hAnsi="Arial"/>
          <w:sz w:val="19"/>
          <w:szCs w:val="19"/>
          <w:color w:val="auto"/>
          <w:vertAlign w:val="superscript"/>
        </w:rPr>
        <w:t>®</w:t>
      </w:r>
      <w:r>
        <w:rPr>
          <w:rFonts w:ascii="Arial" w:cs="Arial" w:eastAsia="Arial" w:hAnsi="Arial"/>
          <w:sz w:val="14"/>
          <w:szCs w:val="14"/>
          <w:color w:val="auto"/>
        </w:rPr>
        <w:t>, ManpowerGroup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Solutions, Manpower</w:t>
      </w:r>
      <w:r>
        <w:rPr>
          <w:rFonts w:ascii="Arial" w:cs="Arial" w:eastAsia="Arial" w:hAnsi="Arial"/>
          <w:sz w:val="19"/>
          <w:szCs w:val="19"/>
          <w:color w:val="auto"/>
          <w:vertAlign w:val="superscript"/>
        </w:rPr>
        <w:t>®</w:t>
      </w:r>
      <w:r>
        <w:rPr>
          <w:rFonts w:ascii="Arial" w:cs="Arial" w:eastAsia="Arial" w:hAnsi="Arial"/>
          <w:sz w:val="14"/>
          <w:szCs w:val="14"/>
          <w:color w:val="auto"/>
        </w:rPr>
        <w:t>, Experis</w:t>
      </w:r>
      <w:r>
        <w:rPr>
          <w:rFonts w:ascii="Arial" w:cs="Arial" w:eastAsia="Arial" w:hAnsi="Arial"/>
          <w:sz w:val="19"/>
          <w:szCs w:val="19"/>
          <w:color w:val="auto"/>
          <w:vertAlign w:val="superscript"/>
        </w:rPr>
        <w:t>®</w:t>
      </w:r>
      <w:r>
        <w:rPr>
          <w:rFonts w:ascii="Arial" w:cs="Arial" w:eastAsia="Arial" w:hAnsi="Arial"/>
          <w:sz w:val="14"/>
          <w:szCs w:val="14"/>
          <w:color w:val="auto"/>
        </w:rPr>
        <w:t>, Right Management</w:t>
      </w:r>
      <w:r>
        <w:rPr>
          <w:rFonts w:ascii="Arial" w:cs="Arial" w:eastAsia="Arial" w:hAnsi="Arial"/>
          <w:sz w:val="19"/>
          <w:szCs w:val="19"/>
          <w:color w:val="auto"/>
          <w:vertAlign w:val="superscript"/>
        </w:rPr>
        <w:t>®</w:t>
      </w:r>
      <w:r>
        <w:rPr>
          <w:rFonts w:ascii="Arial" w:cs="Arial" w:eastAsia="Arial" w:hAnsi="Arial"/>
          <w:sz w:val="14"/>
          <w:szCs w:val="14"/>
          <w:color w:val="auto"/>
        </w:rPr>
        <w:t>, Brook Street</w:t>
      </w:r>
      <w:r>
        <w:rPr>
          <w:rFonts w:ascii="Arial" w:cs="Arial" w:eastAsia="Arial" w:hAnsi="Arial"/>
          <w:sz w:val="19"/>
          <w:szCs w:val="19"/>
          <w:color w:val="auto"/>
          <w:vertAlign w:val="superscript"/>
        </w:rPr>
        <w:t>®</w:t>
      </w:r>
      <w:r>
        <w:rPr>
          <w:rFonts w:ascii="Arial" w:cs="Arial" w:eastAsia="Arial" w:hAnsi="Arial"/>
          <w:sz w:val="14"/>
          <w:szCs w:val="14"/>
          <w:color w:val="auto"/>
        </w:rPr>
        <w:t>, and Proservia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Employees</w:t>
      </w:r>
    </w:p>
    <w:p>
      <w:pPr>
        <w:spacing w:after="0" w:line="170" w:lineRule="exact"/>
        <w:rPr>
          <w:sz w:val="20"/>
          <w:szCs w:val="20"/>
          <w:color w:val="auto"/>
        </w:rPr>
      </w:pPr>
    </w:p>
    <w:p>
      <w:pPr>
        <w:ind w:right="420" w:firstLine="372"/>
        <w:spacing w:after="0" w:line="267" w:lineRule="auto"/>
        <w:rPr>
          <w:sz w:val="20"/>
          <w:szCs w:val="20"/>
          <w:color w:val="auto"/>
        </w:rPr>
      </w:pPr>
      <w:r>
        <w:rPr>
          <w:rFonts w:ascii="Arial" w:cs="Arial" w:eastAsia="Arial" w:hAnsi="Arial"/>
          <w:sz w:val="14"/>
          <w:szCs w:val="14"/>
          <w:color w:val="auto"/>
        </w:rPr>
        <w:t>We had approximately 28,000 full-time equivalent employees as of December 31, 2016. In addition, we estimate that we recruit on behalf of our clients over 3 million permanent, temporary and contract workers on a worldwide basis each year.</w:t>
      </w:r>
    </w:p>
    <w:p>
      <w:pPr>
        <w:spacing w:after="0" w:line="138"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4"/>
          <w:szCs w:val="14"/>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Information about Foreign and Domestic Operations</w:t>
      </w:r>
    </w:p>
    <w:p>
      <w:pPr>
        <w:spacing w:after="0" w:line="170" w:lineRule="exact"/>
        <w:rPr>
          <w:sz w:val="20"/>
          <w:szCs w:val="20"/>
          <w:color w:val="auto"/>
        </w:rPr>
      </w:pPr>
    </w:p>
    <w:p>
      <w:pPr>
        <w:ind w:right="80" w:firstLine="372"/>
        <w:spacing w:after="0" w:line="267" w:lineRule="auto"/>
        <w:rPr>
          <w:sz w:val="20"/>
          <w:szCs w:val="20"/>
          <w:color w:val="auto"/>
        </w:rPr>
      </w:pPr>
      <w:r>
        <w:rPr>
          <w:rFonts w:ascii="Arial" w:cs="Arial" w:eastAsia="Arial" w:hAnsi="Arial"/>
          <w:sz w:val="14"/>
          <w:szCs w:val="14"/>
          <w:color w:val="auto"/>
        </w:rPr>
        <w:t>Note 14 to our consolidated financial statements sets forth the information required for each segment and geographical area for the years ended December 31, 2016, 2015 and 2014. Such note is found in our 2016 Annual Report to Shareholders and is incorporated herein by 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480" w:right="219" w:bottom="1440" w:gutter="0" w:footer="0" w:header="0"/>
        </w:sectPr>
      </w:pPr>
    </w:p>
    <w:bookmarkStart w:id="7" w:name="page8"/>
    <w:bookmarkEnd w:id="7"/>
    <w:p>
      <w:pPr>
        <w:spacing w:after="0"/>
        <w:tabs>
          <w:tab w:leader="none" w:pos="6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FORWARD-LOOKING STATEMENTS</w:t>
      </w:r>
    </w:p>
    <w:p>
      <w:pPr>
        <w:spacing w:after="0" w:line="174" w:lineRule="exact"/>
        <w:rPr>
          <w:sz w:val="20"/>
          <w:szCs w:val="20"/>
          <w:color w:val="auto"/>
        </w:rPr>
      </w:pPr>
    </w:p>
    <w:p>
      <w:pPr>
        <w:ind w:firstLine="372"/>
        <w:spacing w:after="0" w:line="251" w:lineRule="auto"/>
        <w:rPr>
          <w:sz w:val="20"/>
          <w:szCs w:val="20"/>
          <w:color w:val="auto"/>
        </w:rPr>
      </w:pPr>
      <w:r>
        <w:rPr>
          <w:rFonts w:ascii="Arial" w:cs="Arial" w:eastAsia="Arial" w:hAnsi="Arial"/>
          <w:sz w:val="14"/>
          <w:szCs w:val="14"/>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are some of the factors that could cause actual results to differ materially from estimates contained in our forward-looking statements:</w:t>
      </w:r>
    </w:p>
    <w:p>
      <w:pPr>
        <w:spacing w:after="0" w:line="170" w:lineRule="exact"/>
        <w:rPr>
          <w:sz w:val="20"/>
          <w:szCs w:val="20"/>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volatile or uncertain economic conditions;</w:t>
      </w:r>
    </w:p>
    <w:p>
      <w:pPr>
        <w:spacing w:after="0" w:line="13"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economic recovery may be short-lived and uneven, and may not result in increased demand for our services;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inability to timely respond to the needs of our clients;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competition in the worldwide employment services industry limiting our ability to maintain or increase market share or profitability;</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inability to effectively implement our business strategy or achieve our objectives;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foreign currency fluctuations;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loss or reduction in revenues from one or more large clients;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challenges meeting contractual obligations if we or third parties fail to deliver on performance commitments;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failure to keep pace with technological change and marketplace demand in the development and implementation of our services and solutions;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failure to implement strategic technology investments;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disruption and increased costs from outsourcing various aspects of our business;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loss of key personnel;</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competition in labor markets limiting our ability to attract, train and retain the personnel necessary to meet our clients’ staffing needs;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improper disclosure or loss of sensitive or confidential company, employee, associate or client data, including personal data;</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political unrest, natural disasters, health crises, infrastructure disruptions, and other risks beyond our control;</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1"/>
          <w:szCs w:val="11"/>
          <w:color w:val="auto"/>
        </w:rPr>
      </w:pPr>
      <w:r>
        <w:rPr>
          <w:rFonts w:ascii="Arial" w:cs="Arial" w:eastAsia="Arial" w:hAnsi="Arial"/>
          <w:sz w:val="11"/>
          <w:szCs w:val="11"/>
          <w:color w:val="auto"/>
        </w:rPr>
        <w:t>failure to comply with the legal regulations in places we do business or the regulatory prohibition or restriction of employment services or the imposition of additional licensing or tax requirements;</w:t>
      </w:r>
    </w:p>
    <w:p>
      <w:pPr>
        <w:spacing w:after="0" w:line="39" w:lineRule="exact"/>
        <w:rPr>
          <w:rFonts w:ascii="Arial" w:cs="Arial" w:eastAsia="Arial" w:hAnsi="Arial"/>
          <w:sz w:val="11"/>
          <w:szCs w:val="11"/>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failure to comply with anti-corruption and bribery laws;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employment-related legal claims from clients or third parties;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liability resulting from competition law;</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preserve our reputation in the marketplace;</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client attitudes toward the use of our services;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inability to maintain effective internal controls;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costs or disruptions resulting from acquisitions we complete;</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limited ability to protect our thought leadership and other intellectual property;</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material adverse effects on our operating flexibility resulting from our debt levels;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failure to comply with restrictive covenants under our revolving credit facilities and other debt instruments;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inability to obtain credit on terms acceptable to us or at all;</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performance of our subsidiaries and their ability to distribute cash to our parent company, ManpowerGroup, may vary;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477" w:right="219" w:bottom="1440" w:gutter="0" w:footer="0" w:header="0"/>
        </w:sectPr>
      </w:pPr>
    </w:p>
    <w:bookmarkStart w:id="8" w:name="page9"/>
    <w:bookmarkEnd w:id="8"/>
    <w:p>
      <w:pPr>
        <w:ind w:left="500" w:hanging="249"/>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inability to secure guarantees or letters of credit on acceptable terms;</w:t>
      </w:r>
    </w:p>
    <w:p>
      <w:pPr>
        <w:spacing w:after="0" w:line="13" w:lineRule="exact"/>
        <w:rPr>
          <w:rFonts w:ascii="Arial" w:cs="Arial" w:eastAsia="Arial" w:hAnsi="Arial"/>
          <w:sz w:val="14"/>
          <w:szCs w:val="14"/>
          <w:color w:val="auto"/>
        </w:rPr>
      </w:pPr>
    </w:p>
    <w:p>
      <w:pPr>
        <w:ind w:left="500" w:hanging="249"/>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tax legislation;</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fluctuation of our stock price;</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provisions under Wisconsin law and our articles of incorporation and bylaws could make the takeover of our Company more difficult;</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risk factors disclosed below; and</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factors that may be disclosed from time to time in our SEC filings or otherwise.</w:t>
      </w:r>
    </w:p>
    <w:p>
      <w:pPr>
        <w:spacing w:after="0" w:line="161" w:lineRule="exact"/>
        <w:rPr>
          <w:sz w:val="20"/>
          <w:szCs w:val="20"/>
          <w:color w:val="auto"/>
        </w:rPr>
      </w:pPr>
    </w:p>
    <w:p>
      <w:pPr>
        <w:ind w:right="280" w:firstLine="372"/>
        <w:spacing w:after="0" w:line="267" w:lineRule="auto"/>
        <w:rPr>
          <w:sz w:val="20"/>
          <w:szCs w:val="20"/>
          <w:color w:val="auto"/>
        </w:rPr>
      </w:pPr>
      <w:r>
        <w:rPr>
          <w:rFonts w:ascii="Arial" w:cs="Arial" w:eastAsia="Arial" w:hAnsi="Arial"/>
          <w:sz w:val="14"/>
          <w:szCs w:val="14"/>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300"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RISK FACTORS</w:t>
      </w:r>
    </w:p>
    <w:p>
      <w:pPr>
        <w:spacing w:after="0" w:line="174" w:lineRule="exact"/>
        <w:rPr>
          <w:sz w:val="20"/>
          <w:szCs w:val="20"/>
          <w:color w:val="auto"/>
        </w:rPr>
      </w:pPr>
    </w:p>
    <w:p>
      <w:pPr>
        <w:jc w:val="both"/>
        <w:ind w:firstLine="372"/>
        <w:spacing w:after="0" w:line="286" w:lineRule="auto"/>
        <w:rPr>
          <w:sz w:val="20"/>
          <w:szCs w:val="20"/>
          <w:color w:val="auto"/>
        </w:rPr>
      </w:pPr>
      <w:r>
        <w:rPr>
          <w:rFonts w:ascii="Arial" w:cs="Arial" w:eastAsia="Arial" w:hAnsi="Arial"/>
          <w:sz w:val="13"/>
          <w:szCs w:val="13"/>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Our results of operations could be materially adversely affected by volatile or uncertain economic conditions.</w:t>
      </w:r>
    </w:p>
    <w:p>
      <w:pPr>
        <w:spacing w:after="0" w:line="174" w:lineRule="exact"/>
        <w:rPr>
          <w:sz w:val="20"/>
          <w:szCs w:val="20"/>
          <w:color w:val="auto"/>
        </w:rPr>
      </w:pPr>
    </w:p>
    <w:p>
      <w:pPr>
        <w:ind w:right="320" w:firstLine="497"/>
        <w:spacing w:after="0" w:line="267" w:lineRule="auto"/>
        <w:rPr>
          <w:sz w:val="20"/>
          <w:szCs w:val="20"/>
          <w:color w:val="auto"/>
        </w:rPr>
      </w:pPr>
      <w:r>
        <w:rPr>
          <w:rFonts w:ascii="Arial" w:cs="Arial" w:eastAsia="Arial" w:hAnsi="Arial"/>
          <w:sz w:val="14"/>
          <w:szCs w:val="14"/>
          <w:color w:val="auto"/>
        </w:rPr>
        <w:t>Our business is affected by global macroeconomic conditions, which have included considerable uncertainty and volatility. In particular, economic conditions have been unstable and difficult to predict globally, with many regions experiencing volatile growth patterns, and there is a risk these conditions will continue.</w:t>
      </w:r>
    </w:p>
    <w:p>
      <w:pPr>
        <w:spacing w:after="0" w:line="138" w:lineRule="exact"/>
        <w:rPr>
          <w:sz w:val="20"/>
          <w:szCs w:val="20"/>
          <w:color w:val="auto"/>
        </w:rPr>
      </w:pPr>
    </w:p>
    <w:p>
      <w:pPr>
        <w:ind w:right="100" w:firstLine="497"/>
        <w:spacing w:after="0" w:line="275" w:lineRule="auto"/>
        <w:rPr>
          <w:sz w:val="20"/>
          <w:szCs w:val="20"/>
          <w:color w:val="auto"/>
        </w:rPr>
      </w:pPr>
      <w:r>
        <w:rPr>
          <w:rFonts w:ascii="Arial" w:cs="Arial" w:eastAsia="Arial" w:hAnsi="Arial"/>
          <w:sz w:val="13"/>
          <w:szCs w:val="13"/>
          <w:color w:val="auto"/>
        </w:rPr>
        <w:t>Economic conditions in the United States and the other countries where we do business may be affected by recent or emerging events, such as the rise of populist politics, the global refugee crisis, changes in immigration policy, the impact of terrorist activity, or by other political or economic developments. We are particularly susceptible to changes in economic conditions in Europe, which represents two of our operating segments and approximately 65% of our revenue. During 2016, the various economies in Europe continued to experience uneven and choppy growth characteristics, and there is a risk that some or many of the European economies may continue to be hampered by events which emerged in the past few years, including the United Kingdom referendum to exit the European Union as well as the potential exit of additional countries. Any of these events or trends could have a material adverse effect on our business and operating results.</w:t>
      </w:r>
    </w:p>
    <w:p>
      <w:pPr>
        <w:spacing w:after="0" w:line="137" w:lineRule="exact"/>
        <w:rPr>
          <w:sz w:val="20"/>
          <w:szCs w:val="20"/>
          <w:color w:val="auto"/>
        </w:rPr>
      </w:pPr>
    </w:p>
    <w:p>
      <w:pPr>
        <w:ind w:right="60" w:firstLine="497"/>
        <w:spacing w:after="0" w:line="267" w:lineRule="auto"/>
        <w:rPr>
          <w:sz w:val="20"/>
          <w:szCs w:val="20"/>
          <w:color w:val="auto"/>
        </w:rPr>
      </w:pPr>
      <w:r>
        <w:rPr>
          <w:rFonts w:ascii="Arial" w:cs="Arial" w:eastAsia="Arial" w:hAnsi="Arial"/>
          <w:sz w:val="14"/>
          <w:szCs w:val="14"/>
          <w:color w:val="auto"/>
        </w:rPr>
        <w:t>In addition, because we operate globally, an economic slowdown in one or more regions outside Europe, including in emerging markets, could materially adversely affect our results of operations as well. There are a number of recent global economic developments that could contribute to such a slowdown, including a strengthening US dollar.</w:t>
      </w:r>
    </w:p>
    <w:p>
      <w:pPr>
        <w:spacing w:after="0" w:line="138" w:lineRule="exact"/>
        <w:rPr>
          <w:sz w:val="20"/>
          <w:szCs w:val="20"/>
          <w:color w:val="auto"/>
        </w:rPr>
      </w:pPr>
    </w:p>
    <w:p>
      <w:pPr>
        <w:ind w:right="60" w:firstLine="497"/>
        <w:spacing w:after="0" w:line="253" w:lineRule="auto"/>
        <w:rPr>
          <w:sz w:val="20"/>
          <w:szCs w:val="20"/>
          <w:color w:val="auto"/>
        </w:rPr>
      </w:pPr>
      <w:r>
        <w:rPr>
          <w:rFonts w:ascii="Arial" w:cs="Arial" w:eastAsia="Arial" w:hAnsi="Arial"/>
          <w:sz w:val="14"/>
          <w:szCs w:val="14"/>
          <w:color w:val="auto"/>
        </w:rPr>
        <w:t>Even without uncertainty and volatility, it is difficult for us to forecast future demand for our services due to the inherent difficulty in forecasting the direction and strength of economic cycles, and the short-term nature of many of our staffing assignments. This situation can be exacerbated by uncertain and volatile economic conditions, which may cause clients to reduce or defer projects for which they utilize our services, thereby negatively affecting demand for them. When it is difficult for us to accurately forecast future demand, we may not be able to determine the optimal level of personnel and office investments necessary to profitably operate our business or take advantage of growth opportunities.</w:t>
      </w:r>
    </w:p>
    <w:p>
      <w:pPr>
        <w:spacing w:after="0" w:line="149" w:lineRule="exact"/>
        <w:rPr>
          <w:sz w:val="20"/>
          <w:szCs w:val="20"/>
          <w:color w:val="auto"/>
        </w:rPr>
      </w:pPr>
    </w:p>
    <w:p>
      <w:pPr>
        <w:jc w:val="both"/>
        <w:ind w:firstLine="497"/>
        <w:spacing w:after="0" w:line="279" w:lineRule="auto"/>
        <w:rPr>
          <w:sz w:val="20"/>
          <w:szCs w:val="20"/>
          <w:color w:val="auto"/>
        </w:rPr>
      </w:pPr>
      <w:r>
        <w:rPr>
          <w:rFonts w:ascii="Arial" w:cs="Arial" w:eastAsia="Arial" w:hAnsi="Arial"/>
          <w:sz w:val="13"/>
          <w:szCs w:val="13"/>
          <w:color w:val="auto"/>
        </w:rPr>
        <w:t>Furthermore, our profitability is sensitive to decreases in demand. When demand drops or remains low, our operating profit is typically impacted unfavorably as we experience a deleveraging of our selling and administrative expense base as expenses may not decline as quickly as revenues. In periods of decline, we may not be able to reduce selling and administrative expenses without negatively impacting the long-term potential of our branch network and brands. Additionally, during periods of decline or uncertainty, companies may slow the rate at which they pay their vendors, or they may become unable to pay their obligations. If our clients become unable to pay amounts owed to us, or pay us more slowly, then our cash flow and profitability may suffer.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646" w:right="219" w:bottom="1440" w:gutter="0" w:footer="0" w:header="0"/>
        </w:sectPr>
      </w:pPr>
    </w:p>
    <w:bookmarkStart w:id="9" w:name="page10"/>
    <w:bookmarkEnd w:id="9"/>
    <w:p>
      <w:pPr>
        <w:ind w:left="500"/>
        <w:spacing w:after="0"/>
        <w:rPr>
          <w:sz w:val="20"/>
          <w:szCs w:val="20"/>
          <w:color w:val="auto"/>
        </w:rPr>
      </w:pPr>
      <w:r>
        <w:rPr>
          <w:rFonts w:ascii="Arial" w:cs="Arial" w:eastAsia="Arial" w:hAnsi="Arial"/>
          <w:sz w:val="14"/>
          <w:szCs w:val="14"/>
          <w:b w:val="1"/>
          <w:bCs w:val="1"/>
          <w:color w:val="auto"/>
        </w:rPr>
        <w:t>There is a risk that any economic recovery may be short-lived and uneven, and may not result in increased demand for our services.</w:t>
      </w:r>
    </w:p>
    <w:p>
      <w:pPr>
        <w:spacing w:after="0" w:line="174" w:lineRule="exact"/>
        <w:rPr>
          <w:sz w:val="20"/>
          <w:szCs w:val="20"/>
          <w:color w:val="auto"/>
        </w:rPr>
      </w:pPr>
    </w:p>
    <w:p>
      <w:pPr>
        <w:jc w:val="both"/>
        <w:ind w:firstLine="497"/>
        <w:spacing w:after="0" w:line="250" w:lineRule="auto"/>
        <w:rPr>
          <w:sz w:val="20"/>
          <w:szCs w:val="20"/>
          <w:color w:val="auto"/>
        </w:rPr>
      </w:pPr>
      <w:r>
        <w:rPr>
          <w:rFonts w:ascii="Arial" w:cs="Arial" w:eastAsia="Arial" w:hAnsi="Arial"/>
          <w:sz w:val="14"/>
          <w:szCs w:val="14"/>
          <w:color w:val="auto"/>
        </w:rPr>
        <w:t>During periods of economic contraction or weak economic growth, the demand for our staffing services typically declines, and these declines may be prolonged even if other economic indicators turn positive. Our business declined during the global economic downturn, as clients required fewer of our workforce solutions and services, and there is a risk that as overall global economic conditions improve, we could continue to experience declines in all, or in portions, of our business. Recoveries are difficult to predict, and may be short-lived, slow or uneven, with some regions, or countries within a region, continuing to experience declines or weakness in economic activity while others improve. Differing economic conditions and patterns of economic growth or contraction in the geographical regions in which we operate may affect demand for our solutions and services. As global economic conditions improve, we may not experience uniform, or any, increases in demand for our solutions and services within the markets where our business is concentrated.</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We may lack the speed and agility to respond to the needs of our clients.</w:t>
      </w:r>
    </w:p>
    <w:p>
      <w:pPr>
        <w:spacing w:after="0" w:line="174" w:lineRule="exact"/>
        <w:rPr>
          <w:sz w:val="20"/>
          <w:szCs w:val="20"/>
          <w:color w:val="auto"/>
        </w:rPr>
      </w:pPr>
    </w:p>
    <w:p>
      <w:pPr>
        <w:jc w:val="both"/>
        <w:ind w:firstLine="497"/>
        <w:spacing w:after="0" w:line="273" w:lineRule="auto"/>
        <w:rPr>
          <w:sz w:val="20"/>
          <w:szCs w:val="20"/>
          <w:color w:val="auto"/>
        </w:rPr>
      </w:pPr>
      <w:r>
        <w:rPr>
          <w:rFonts w:ascii="Arial" w:cs="Arial" w:eastAsia="Arial" w:hAnsi="Arial"/>
          <w:sz w:val="13"/>
          <w:szCs w:val="13"/>
          <w:color w:val="auto"/>
        </w:rPr>
        <w:t>There is a risk we may not be able to respond with sufficient speed and agility to the needs of our clients, which may change rapidly as their businesses evolve. The size and breadth of our organization, comprising approximately 28,000 employees based out of nearly 2,800 offices in 80 countries and territories, may make it difficult for us to effectively manage our resources and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meeting the needs of our current and prospective clients, or our competitors are more agile or effective at doing so, our business and financial results could be materially adversely affected.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auto"/>
        </w:rPr>
        <w:t>The worldwide employment services industry is highly competitive with limited barriers to entry, which could limit our ability to maintain or increase our market share or profitability.</w:t>
      </w:r>
    </w:p>
    <w:p>
      <w:pPr>
        <w:spacing w:after="0" w:line="209" w:lineRule="exact"/>
        <w:rPr>
          <w:sz w:val="20"/>
          <w:szCs w:val="20"/>
          <w:color w:val="auto"/>
        </w:rPr>
      </w:pPr>
    </w:p>
    <w:p>
      <w:pPr>
        <w:ind w:right="20" w:firstLine="497"/>
        <w:spacing w:after="0" w:line="250" w:lineRule="auto"/>
        <w:rPr>
          <w:sz w:val="20"/>
          <w:szCs w:val="20"/>
          <w:color w:val="auto"/>
        </w:rPr>
      </w:pPr>
      <w:r>
        <w:rPr>
          <w:rFonts w:ascii="Arial" w:cs="Arial" w:eastAsia="Arial" w:hAnsi="Arial"/>
          <w:sz w:val="14"/>
          <w:szCs w:val="14"/>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global competitors, including the Adecco Group and Randstad Holding N.V.,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We may be unable to effectively implement our business strategy, and there can be no assurance that we will achieve our objectives.</w:t>
      </w:r>
    </w:p>
    <w:p>
      <w:pPr>
        <w:spacing w:after="0" w:line="174" w:lineRule="exact"/>
        <w:rPr>
          <w:sz w:val="20"/>
          <w:szCs w:val="20"/>
          <w:color w:val="auto"/>
        </w:rPr>
      </w:pPr>
    </w:p>
    <w:p>
      <w:pPr>
        <w:ind w:right="200" w:firstLine="497"/>
        <w:spacing w:after="0" w:line="275" w:lineRule="auto"/>
        <w:rPr>
          <w:sz w:val="20"/>
          <w:szCs w:val="20"/>
          <w:color w:val="auto"/>
        </w:rPr>
      </w:pPr>
      <w:r>
        <w:rPr>
          <w:rFonts w:ascii="Arial" w:cs="Arial" w:eastAsia="Arial" w:hAnsi="Arial"/>
          <w:sz w:val="13"/>
          <w:szCs w:val="13"/>
          <w:color w:val="auto"/>
        </w:rPr>
        <w:t>Our business strategy focuses on growing revenues while improving our operating profits. An important element of our strategy is our effort to diversify our revenues beyond our core staffing and employment services through the sale of innovative workforce solutions designed to achieve higher operating margins. These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spacing w:after="0" w:line="137" w:lineRule="exact"/>
        <w:rPr>
          <w:sz w:val="20"/>
          <w:szCs w:val="20"/>
          <w:color w:val="auto"/>
        </w:rPr>
      </w:pPr>
    </w:p>
    <w:p>
      <w:pPr>
        <w:ind w:firstLine="497"/>
        <w:spacing w:after="0" w:line="279" w:lineRule="auto"/>
        <w:rPr>
          <w:sz w:val="20"/>
          <w:szCs w:val="20"/>
          <w:color w:val="auto"/>
        </w:rPr>
      </w:pPr>
      <w:r>
        <w:rPr>
          <w:rFonts w:ascii="Arial" w:cs="Arial" w:eastAsia="Arial" w:hAnsi="Arial"/>
          <w:sz w:val="13"/>
          <w:szCs w:val="13"/>
          <w:color w:val="auto"/>
        </w:rPr>
        <w:t>Our business strategy also includes continuing efforts to optimize our organizational and cost structures, technology and delivery of services to make us a more agile and effective competitor, to reduce the cost of operating our business and to increase our operating profit and operating profit margin. We may not be successful in these efforts, and we may fail to prevent the return of costs eliminated as part of our efforts. Additionally, reductions in personnel and other changes could materially adversely affect our ability to effectively operate our business. If, for these or other reasons, we are not successful in implementing our business strategy or achieving the anticipated results, our business, financial condition and results of operations could be materially adversely affected.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476" w:right="219" w:bottom="1440" w:gutter="0" w:footer="0" w:header="0"/>
        </w:sectPr>
      </w:pPr>
    </w:p>
    <w:bookmarkStart w:id="10" w:name="page11"/>
    <w:bookmarkEnd w:id="10"/>
    <w:p>
      <w:pPr>
        <w:ind w:left="500"/>
        <w:spacing w:after="0"/>
        <w:rPr>
          <w:sz w:val="20"/>
          <w:szCs w:val="20"/>
          <w:color w:val="auto"/>
        </w:rPr>
      </w:pPr>
      <w:r>
        <w:rPr>
          <w:rFonts w:ascii="Arial" w:cs="Arial" w:eastAsia="Arial" w:hAnsi="Arial"/>
          <w:sz w:val="14"/>
          <w:szCs w:val="14"/>
          <w:b w:val="1"/>
          <w:bCs w:val="1"/>
          <w:color w:val="auto"/>
        </w:rPr>
        <w:t>Foreign currency fluctuations may have a material adverse effect on our operating results.</w:t>
      </w:r>
    </w:p>
    <w:p>
      <w:pPr>
        <w:spacing w:after="0" w:line="174" w:lineRule="exact"/>
        <w:rPr>
          <w:sz w:val="20"/>
          <w:szCs w:val="20"/>
          <w:color w:val="auto"/>
        </w:rPr>
      </w:pPr>
    </w:p>
    <w:p>
      <w:pPr>
        <w:ind w:right="220" w:firstLine="497"/>
        <w:spacing w:after="0" w:line="267" w:lineRule="auto"/>
        <w:rPr>
          <w:sz w:val="20"/>
          <w:szCs w:val="20"/>
          <w:color w:val="auto"/>
        </w:rPr>
      </w:pPr>
      <w:r>
        <w:rPr>
          <w:rFonts w:ascii="Arial" w:cs="Arial" w:eastAsia="Arial" w:hAnsi="Arial"/>
          <w:sz w:val="14"/>
          <w:szCs w:val="14"/>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w:t>
      </w:r>
    </w:p>
    <w:p>
      <w:pPr>
        <w:spacing w:after="0" w:line="138" w:lineRule="exact"/>
        <w:rPr>
          <w:sz w:val="20"/>
          <w:szCs w:val="20"/>
          <w:color w:val="auto"/>
        </w:rPr>
      </w:pPr>
    </w:p>
    <w:p>
      <w:pPr>
        <w:ind w:right="40" w:firstLine="497"/>
        <w:spacing w:after="0" w:line="251" w:lineRule="auto"/>
        <w:rPr>
          <w:sz w:val="20"/>
          <w:szCs w:val="20"/>
          <w:color w:val="auto"/>
        </w:rPr>
      </w:pPr>
      <w:r>
        <w:rPr>
          <w:rFonts w:ascii="Arial" w:cs="Arial" w:eastAsia="Arial" w:hAnsi="Arial"/>
          <w:sz w:val="14"/>
          <w:szCs w:val="14"/>
          <w:color w:val="auto"/>
        </w:rPr>
        <w:t>During 2016, approximately 85% of our revenues were generated outside of the United States, the majority of which were generated in Europe. Furthermore, $825.4 million of our outstanding indebtedness as of December 31, 2016 was denominated in foreign currencies.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business, financial condition, cash flow and results of operations. Furthermore, the volatility of currencies may make year-over-year comparability of our financial results difficult.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A loss or reduction in revenues from large client accounts could have a material adverse effect on our business.</w:t>
      </w:r>
    </w:p>
    <w:p>
      <w:pPr>
        <w:spacing w:after="0" w:line="174" w:lineRule="exact"/>
        <w:rPr>
          <w:sz w:val="20"/>
          <w:szCs w:val="20"/>
          <w:color w:val="auto"/>
        </w:rPr>
      </w:pPr>
    </w:p>
    <w:p>
      <w:pPr>
        <w:ind w:firstLine="497"/>
        <w:spacing w:after="0" w:line="275" w:lineRule="auto"/>
        <w:rPr>
          <w:sz w:val="20"/>
          <w:szCs w:val="20"/>
          <w:color w:val="auto"/>
        </w:rPr>
      </w:pPr>
      <w:r>
        <w:rPr>
          <w:rFonts w:ascii="Arial" w:cs="Arial" w:eastAsia="Arial" w:hAnsi="Arial"/>
          <w:sz w:val="13"/>
          <w:szCs w:val="13"/>
          <w:color w:val="auto"/>
        </w:rPr>
        <w:t>Our client mix consists of both small- and medium-size businesses, which are based upon a local or regional relationship with our presence in each market, and large national and multinational client relationships, which comprised approximately 57% of our revenues in 2016. These large national and multinational clients will frequently enter into non-exclusive arrangements with several firms, and the client is generally able to terminate our contracts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Our performance on contracts may be materially adversely affected if we or third parties fail to deliver on commitments.</w:t>
      </w:r>
    </w:p>
    <w:p>
      <w:pPr>
        <w:spacing w:after="0" w:line="174" w:lineRule="exact"/>
        <w:rPr>
          <w:sz w:val="20"/>
          <w:szCs w:val="20"/>
          <w:color w:val="auto"/>
        </w:rPr>
      </w:pPr>
    </w:p>
    <w:p>
      <w:pPr>
        <w:ind w:right="100" w:firstLine="497"/>
        <w:spacing w:after="0" w:line="253" w:lineRule="auto"/>
        <w:rPr>
          <w:sz w:val="20"/>
          <w:szCs w:val="20"/>
          <w:color w:val="auto"/>
        </w:rPr>
      </w:pPr>
      <w:r>
        <w:rPr>
          <w:rFonts w:ascii="Arial" w:cs="Arial" w:eastAsia="Arial" w:hAnsi="Arial"/>
          <w:sz w:val="14"/>
          <w:szCs w:val="14"/>
          <w:color w:val="auto"/>
        </w:rPr>
        <w:t>Our contracts are increasingly complex and, in most instances, require that we partner with other parties to provide the workforce solutions required by our clients.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w:t>
      </w:r>
    </w:p>
    <w:p>
      <w:pPr>
        <w:spacing w:after="0" w:line="145" w:lineRule="exact"/>
        <w:rPr>
          <w:sz w:val="20"/>
          <w:szCs w:val="20"/>
          <w:color w:val="auto"/>
        </w:rPr>
      </w:pPr>
    </w:p>
    <w:p>
      <w:pPr>
        <w:jc w:val="both"/>
        <w:ind w:firstLine="497"/>
        <w:spacing w:after="0" w:line="273" w:lineRule="auto"/>
        <w:rPr>
          <w:sz w:val="20"/>
          <w:szCs w:val="20"/>
          <w:color w:val="auto"/>
        </w:rPr>
      </w:pPr>
      <w:r>
        <w:rPr>
          <w:rFonts w:ascii="Arial" w:cs="Arial" w:eastAsia="Arial" w:hAnsi="Arial"/>
          <w:sz w:val="14"/>
          <w:szCs w:val="14"/>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34" w:lineRule="exact"/>
        <w:rPr>
          <w:sz w:val="20"/>
          <w:szCs w:val="20"/>
          <w:color w:val="auto"/>
        </w:rPr>
      </w:pPr>
    </w:p>
    <w:p>
      <w:pPr>
        <w:jc w:val="both"/>
        <w:ind w:firstLine="497"/>
        <w:spacing w:after="0" w:line="257" w:lineRule="auto"/>
        <w:rPr>
          <w:sz w:val="20"/>
          <w:szCs w:val="20"/>
          <w:color w:val="auto"/>
        </w:rPr>
      </w:pPr>
      <w:r>
        <w:rPr>
          <w:rFonts w:ascii="Arial" w:cs="Arial" w:eastAsia="Arial" w:hAnsi="Arial"/>
          <w:sz w:val="14"/>
          <w:szCs w:val="14"/>
          <w:color w:val="auto"/>
        </w:rPr>
        <w:t>Our success depends on our ability to keep pace with rapid technological changes in the development and implementation of our services and solutions. For example, rapid changes in the use of artificial intelligence and robotics are having a significant impact on some of the industries we serve, and could have significant and unforeseen consequences for the workforce services industry and for our business.</w:t>
      </w:r>
    </w:p>
    <w:p>
      <w:pPr>
        <w:spacing w:after="0" w:line="145" w:lineRule="exact"/>
        <w:rPr>
          <w:sz w:val="20"/>
          <w:szCs w:val="20"/>
          <w:color w:val="auto"/>
        </w:rPr>
      </w:pPr>
    </w:p>
    <w:p>
      <w:pPr>
        <w:jc w:val="both"/>
        <w:ind w:firstLine="497"/>
        <w:spacing w:after="0" w:line="344" w:lineRule="auto"/>
        <w:rPr>
          <w:sz w:val="20"/>
          <w:szCs w:val="20"/>
          <w:color w:val="auto"/>
        </w:rPr>
      </w:pPr>
      <w:r>
        <w:rPr>
          <w:rFonts w:ascii="Arial" w:cs="Arial" w:eastAsia="Arial" w:hAnsi="Arial"/>
          <w:sz w:val="11"/>
          <w:szCs w:val="11"/>
          <w:color w:val="auto"/>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These and similar risks could have a negative effect on our services and solutions, our results of operations, and our ability to develop and maintain a competitive advantage in the marketplace.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477" w:right="219" w:bottom="1440" w:gutter="0" w:footer="0" w:header="0"/>
        </w:sectPr>
      </w:pPr>
    </w:p>
    <w:bookmarkStart w:id="11" w:name="page12"/>
    <w:bookmarkEnd w:id="11"/>
    <w:p>
      <w:pPr>
        <w:ind w:left="500"/>
        <w:spacing w:after="0"/>
        <w:rPr>
          <w:sz w:val="20"/>
          <w:szCs w:val="20"/>
          <w:color w:val="auto"/>
        </w:rPr>
      </w:pPr>
      <w:r>
        <w:rPr>
          <w:rFonts w:ascii="Arial" w:cs="Arial" w:eastAsia="Arial" w:hAnsi="Arial"/>
          <w:sz w:val="14"/>
          <w:szCs w:val="14"/>
          <w:b w:val="1"/>
          <w:bCs w:val="1"/>
          <w:color w:val="auto"/>
        </w:rPr>
        <w:t>Outsourcing certain aspects of our business could result in disruption and increased costs.</w:t>
      </w:r>
    </w:p>
    <w:p>
      <w:pPr>
        <w:spacing w:after="0" w:line="174" w:lineRule="exact"/>
        <w:rPr>
          <w:sz w:val="20"/>
          <w:szCs w:val="20"/>
          <w:color w:val="auto"/>
        </w:rPr>
      </w:pPr>
    </w:p>
    <w:p>
      <w:pPr>
        <w:ind w:right="40" w:firstLine="497"/>
        <w:spacing w:after="0" w:line="272" w:lineRule="auto"/>
        <w:rPr>
          <w:sz w:val="20"/>
          <w:szCs w:val="20"/>
          <w:color w:val="auto"/>
        </w:rPr>
      </w:pPr>
      <w:r>
        <w:rPr>
          <w:rFonts w:ascii="Arial" w:cs="Arial" w:eastAsia="Arial" w:hAnsi="Arial"/>
          <w:sz w:val="13"/>
          <w:szCs w:val="13"/>
          <w:color w:val="auto"/>
        </w:rPr>
        <w:t>We have outsourced certain aspects of our business to third party vendors that subject us to risks, including disruptions in our business and increased costs. For example, we rely on third parties to host and manage certain aspects of our data center information and technology infrastructure, to develop and maintain new technology for attracting, onboarding, managing, and analyzing our workforce, and to provide certain back office support. Accordingly, we are subject to the risks associated with our vendors’ abilities to provide these services to meet our needs. Additionally, we replace these vendors from time to time, and there is a risk that we might suffer interruptions in service as we transition from one third party provider to another.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our outsourced services is more than expected, or if the vendor or we are unable to adequately protect our data and information is lost, or our ability to deliver our services is interrupted, then our business and financial results could be materially adversely affected.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If we lose our key personnel, then our business may suffer.</w:t>
      </w:r>
    </w:p>
    <w:p>
      <w:pPr>
        <w:spacing w:after="0" w:line="174" w:lineRule="exact"/>
        <w:rPr>
          <w:sz w:val="20"/>
          <w:szCs w:val="20"/>
          <w:color w:val="auto"/>
        </w:rPr>
      </w:pPr>
    </w:p>
    <w:p>
      <w:pPr>
        <w:ind w:firstLine="497"/>
        <w:spacing w:after="0" w:line="331" w:lineRule="auto"/>
        <w:rPr>
          <w:sz w:val="20"/>
          <w:szCs w:val="20"/>
          <w:color w:val="auto"/>
        </w:rPr>
      </w:pPr>
      <w:r>
        <w:rPr>
          <w:rFonts w:ascii="Arial" w:cs="Arial" w:eastAsia="Arial" w:hAnsi="Arial"/>
          <w:sz w:val="11"/>
          <w:szCs w:val="11"/>
          <w:color w:val="auto"/>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it could have a significant impact on our operations. Additionally, some of our important client relationships may be dependent on the continued performance of individual managers or field personnel, and there is a risk that loss of those individuals could jeopardize key client relationships. Over time, we have reduced our workforce at the staff and officer level, in both our headquarters and throughout our country operations. There is a risk that these and any future reductions in personnel could materially adversely affect operational performance, and therefore our business and financial results. In addition, it is part of our strategy to maintain a lean corporate structure and small executive team in order to manage our operating margins. There is a risk that we will not have developed sufficient executive talent internally in order to address any key leadership vacancies that might arise.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Intense competition may limit our ability to attract, train and retain the qualified personnel necessary for us to meet our clients’ staffing needs.</w:t>
      </w:r>
    </w:p>
    <w:p>
      <w:pPr>
        <w:spacing w:after="0" w:line="174" w:lineRule="exact"/>
        <w:rPr>
          <w:sz w:val="20"/>
          <w:szCs w:val="20"/>
          <w:color w:val="auto"/>
        </w:rPr>
      </w:pPr>
    </w:p>
    <w:p>
      <w:pPr>
        <w:ind w:right="40" w:firstLine="497"/>
        <w:spacing w:after="0" w:line="272" w:lineRule="auto"/>
        <w:rPr>
          <w:sz w:val="20"/>
          <w:szCs w:val="20"/>
          <w:color w:val="auto"/>
        </w:rPr>
      </w:pPr>
      <w:r>
        <w:rPr>
          <w:rFonts w:ascii="Arial" w:cs="Arial" w:eastAsia="Arial" w:hAnsi="Arial"/>
          <w:sz w:val="13"/>
          <w:szCs w:val="13"/>
          <w:color w:val="auto"/>
        </w:rPr>
        <w:t>Our business depends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134" w:lineRule="exact"/>
        <w:rPr>
          <w:sz w:val="20"/>
          <w:szCs w:val="20"/>
          <w:color w:val="auto"/>
        </w:rPr>
      </w:pPr>
    </w:p>
    <w:p>
      <w:pPr>
        <w:ind w:right="540" w:firstLine="497"/>
        <w:spacing w:after="0" w:line="273" w:lineRule="auto"/>
        <w:rPr>
          <w:sz w:val="20"/>
          <w:szCs w:val="20"/>
          <w:color w:val="auto"/>
        </w:rPr>
      </w:pPr>
      <w:r>
        <w:rPr>
          <w:rFonts w:ascii="Arial" w:cs="Arial" w:eastAsia="Arial" w:hAnsi="Arial"/>
          <w:sz w:val="14"/>
          <w:szCs w:val="14"/>
          <w:b w:val="1"/>
          <w:bCs w:val="1"/>
          <w:color w:val="auto"/>
        </w:rPr>
        <w:t>We could incur liabilities or our reputation could be damaged from improper disclosure or loss of sensitive or confidential company, employee, associate, candidate or client data, including personal data.</w:t>
      </w:r>
    </w:p>
    <w:p>
      <w:pPr>
        <w:spacing w:after="0" w:line="134" w:lineRule="exact"/>
        <w:rPr>
          <w:sz w:val="20"/>
          <w:szCs w:val="20"/>
          <w:color w:val="auto"/>
        </w:rPr>
      </w:pPr>
    </w:p>
    <w:p>
      <w:pPr>
        <w:ind w:right="220" w:firstLine="497"/>
        <w:spacing w:after="0" w:line="253" w:lineRule="auto"/>
        <w:rPr>
          <w:sz w:val="20"/>
          <w:szCs w:val="20"/>
          <w:color w:val="auto"/>
        </w:rPr>
      </w:pPr>
      <w:r>
        <w:rPr>
          <w:rFonts w:ascii="Arial" w:cs="Arial" w:eastAsia="Arial" w:hAnsi="Arial"/>
          <w:sz w:val="14"/>
          <w:szCs w:val="14"/>
          <w:color w:val="auto"/>
        </w:rPr>
        <w:t>In connection with the operation of our business, we store, process and transmit a large amount of data, including personnel and payment information, about our employees, clients, associates and candidates, a portion of which is confidential and/or personally sensitive. We expect our use of data to increase, including through the use of analytics. In engaging in these activities, we rely on our own technology and systems, and those of third party vendors we use for a variety of processes, including cloud-based technology and systems, mobile technologies and social media. We and our third party vendors have established policies and procedures to help protect the security and privacy of this information.</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477" w:right="219" w:bottom="1440" w:gutter="0" w:footer="0" w:header="0"/>
        </w:sectPr>
      </w:pPr>
    </w:p>
    <w:bookmarkStart w:id="12" w:name="page13"/>
    <w:bookmarkEnd w:id="12"/>
    <w:p>
      <w:pPr>
        <w:ind w:right="20" w:firstLine="497"/>
        <w:spacing w:after="0" w:line="257" w:lineRule="auto"/>
        <w:rPr>
          <w:sz w:val="20"/>
          <w:szCs w:val="20"/>
          <w:color w:val="auto"/>
        </w:rPr>
      </w:pPr>
      <w:r>
        <w:rPr>
          <w:rFonts w:ascii="Arial" w:cs="Arial" w:eastAsia="Arial" w:hAnsi="Arial"/>
          <w:sz w:val="14"/>
          <w:szCs w:val="14"/>
          <w:color w:val="auto"/>
        </w:rPr>
        <w:t>Unauthorized disclosure or loss of sensitive or confidential data may occur through a variety of methods. These include, but are not limited to, systems failure, employee negligence, fraud or misappropriation, or unauthorized access to or through our information systems, whether by our employees or third parties, including a cyberattack by computer programmers, hackers, members of organized crime and/or state-sponsored organizations, who may develop and deploy viruses, worms or other malicious software programs.</w:t>
      </w:r>
    </w:p>
    <w:p>
      <w:pPr>
        <w:spacing w:after="0" w:line="145" w:lineRule="exact"/>
        <w:rPr>
          <w:sz w:val="20"/>
          <w:szCs w:val="20"/>
          <w:color w:val="auto"/>
        </w:rPr>
      </w:pPr>
    </w:p>
    <w:p>
      <w:pPr>
        <w:ind w:right="260" w:firstLine="497"/>
        <w:spacing w:after="0" w:line="257" w:lineRule="auto"/>
        <w:rPr>
          <w:sz w:val="20"/>
          <w:szCs w:val="20"/>
          <w:color w:val="auto"/>
        </w:rPr>
      </w:pPr>
      <w:r>
        <w:rPr>
          <w:rFonts w:ascii="Arial" w:cs="Arial" w:eastAsia="Arial" w:hAnsi="Arial"/>
          <w:sz w:val="14"/>
          <w:szCs w:val="14"/>
          <w:color w:val="auto"/>
        </w:rPr>
        <w:t>Such disclosure, loss or breach could harm our reputation and subject us to significant monetary damages, litigation, regulatory enforcement actions, fines, criminal prosecution, or other liability under our contracts and laws that protect sensitive or personal data and confidential information, resulting in increased costs or loss of revenues. Cybersecurity threats are constantly evolving, thereby increasing the difficulty of detecting and defending against them.</w:t>
      </w:r>
    </w:p>
    <w:p>
      <w:pPr>
        <w:spacing w:after="0" w:line="145" w:lineRule="exact"/>
        <w:rPr>
          <w:sz w:val="20"/>
          <w:szCs w:val="20"/>
          <w:color w:val="auto"/>
        </w:rPr>
      </w:pPr>
    </w:p>
    <w:p>
      <w:pPr>
        <w:ind w:firstLine="497"/>
        <w:spacing w:after="0" w:line="359" w:lineRule="auto"/>
        <w:rPr>
          <w:sz w:val="20"/>
          <w:szCs w:val="20"/>
          <w:color w:val="auto"/>
        </w:rPr>
      </w:pPr>
      <w:r>
        <w:rPr>
          <w:rFonts w:ascii="Arial" w:cs="Arial" w:eastAsia="Arial" w:hAnsi="Arial"/>
          <w:sz w:val="11"/>
          <w:szCs w:val="11"/>
          <w:color w:val="auto"/>
        </w:rPr>
        <w:t>It is possible that security controls over sensitive or confidential data and other practices we and our third party vendors follow may not prevent the improper access to, disclosure of, or loss of such information. The potential risk of security breaches and cyberattacks may increase as we continue to introduce services and offerings, such as mobile applications. Further, data privacy is subject to frequently changing rules and regulations which are increasing in complexity and number, and which sometimes conflict among the various jurisdictions and countries in which we provide services.</w:t>
      </w:r>
    </w:p>
    <w:p>
      <w:pPr>
        <w:spacing w:after="0" w:line="94" w:lineRule="exact"/>
        <w:rPr>
          <w:sz w:val="20"/>
          <w:szCs w:val="20"/>
          <w:color w:val="auto"/>
        </w:rPr>
      </w:pPr>
    </w:p>
    <w:p>
      <w:pPr>
        <w:ind w:right="60" w:firstLine="497"/>
        <w:spacing w:after="0" w:line="257" w:lineRule="auto"/>
        <w:rPr>
          <w:sz w:val="20"/>
          <w:szCs w:val="20"/>
          <w:color w:val="auto"/>
        </w:rPr>
      </w:pPr>
      <w:r>
        <w:rPr>
          <w:rFonts w:ascii="Arial" w:cs="Arial" w:eastAsia="Arial" w:hAnsi="Arial"/>
          <w:sz w:val="14"/>
          <w:szCs w:val="14"/>
          <w:color w:val="auto"/>
        </w:rPr>
        <w:t>Any failure or perceived failure to successfully manage the collection, use, disclosure, or security of personal information or other privacy related matters, or any failure to comply with changing regulatory requirements in this area, could result in legal liability or impairment to our reputation in the marketplace. In addition, our liability insurance might not be sufficient in scope or amount to cover us against claims related to security breaches, cyberattacks and other related data disclosure, loss or breach.</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Our global operations subject us to certain risks beyond our control.</w:t>
      </w:r>
    </w:p>
    <w:p>
      <w:pPr>
        <w:spacing w:after="0" w:line="174" w:lineRule="exact"/>
        <w:rPr>
          <w:sz w:val="20"/>
          <w:szCs w:val="20"/>
          <w:color w:val="auto"/>
        </w:rPr>
      </w:pPr>
    </w:p>
    <w:p>
      <w:pPr>
        <w:jc w:val="both"/>
        <w:ind w:right="420" w:firstLine="497"/>
        <w:spacing w:after="0" w:line="253" w:lineRule="auto"/>
        <w:rPr>
          <w:sz w:val="20"/>
          <w:szCs w:val="20"/>
          <w:color w:val="auto"/>
        </w:rPr>
      </w:pPr>
      <w:r>
        <w:rPr>
          <w:rFonts w:ascii="Arial" w:cs="Arial" w:eastAsia="Arial" w:hAnsi="Arial"/>
          <w:sz w:val="14"/>
          <w:szCs w:val="14"/>
          <w:color w:val="auto"/>
        </w:rPr>
        <w:t>With operations in 80 countries and territories around the world, we are subject to numerous risks outside of our control, including risks arising from political unrest and other political events, hostilities, and strikes and other worker unrest, natural disasters, acts of war, terrorism, international conflict, severe weather conditions, pandemics and other global health emergencies, disruptions of infrastructure and utilities, cyberattacks, and other events beyond our control. Although it is not possible to predict such events or their consequences, these events could materially adversely affect our reputation, business and financial results.</w:t>
      </w:r>
    </w:p>
    <w:p>
      <w:pPr>
        <w:spacing w:after="0" w:line="145" w:lineRule="exact"/>
        <w:rPr>
          <w:sz w:val="20"/>
          <w:szCs w:val="20"/>
          <w:color w:val="auto"/>
        </w:rPr>
      </w:pPr>
    </w:p>
    <w:p>
      <w:pPr>
        <w:ind w:right="60" w:firstLine="497"/>
        <w:spacing w:after="0" w:line="273" w:lineRule="auto"/>
        <w:rPr>
          <w:sz w:val="20"/>
          <w:szCs w:val="20"/>
          <w:color w:val="auto"/>
        </w:rPr>
      </w:pPr>
      <w:r>
        <w:rPr>
          <w:rFonts w:ascii="Arial" w:cs="Arial" w:eastAsia="Arial" w:hAnsi="Arial"/>
          <w:sz w:val="14"/>
          <w:szCs w:val="14"/>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34" w:lineRule="exact"/>
        <w:rPr>
          <w:sz w:val="20"/>
          <w:szCs w:val="20"/>
          <w:color w:val="auto"/>
        </w:rPr>
      </w:pPr>
    </w:p>
    <w:p>
      <w:pPr>
        <w:ind w:firstLine="497"/>
        <w:spacing w:after="0" w:line="359" w:lineRule="auto"/>
        <w:rPr>
          <w:sz w:val="20"/>
          <w:szCs w:val="20"/>
          <w:color w:val="auto"/>
        </w:rPr>
      </w:pPr>
      <w:r>
        <w:rPr>
          <w:rFonts w:ascii="Arial" w:cs="Arial" w:eastAsia="Arial" w:hAnsi="Arial"/>
          <w:sz w:val="11"/>
          <w:szCs w:val="11"/>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countries in which we operate may, among other things:</w:t>
      </w:r>
    </w:p>
    <w:p>
      <w:pPr>
        <w:spacing w:after="0" w:line="170" w:lineRule="exact"/>
        <w:rPr>
          <w:sz w:val="20"/>
          <w:szCs w:val="20"/>
          <w:color w:val="auto"/>
        </w:rPr>
      </w:pPr>
    </w:p>
    <w:p>
      <w:pPr>
        <w:ind w:left="460" w:hanging="85"/>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create additional regulations that prohibit or restrict the types of employment services that we currently provide;</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require new or additional benefits be paid to our associates;</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require us to obtain additional licensing to provide employment services; or</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increase taxes, such as sales or value-added taxes.</w:t>
      </w:r>
    </w:p>
    <w:p>
      <w:pPr>
        <w:spacing w:after="0" w:line="170" w:lineRule="exact"/>
        <w:rPr>
          <w:sz w:val="20"/>
          <w:szCs w:val="20"/>
          <w:color w:val="auto"/>
        </w:rPr>
      </w:pPr>
    </w:p>
    <w:p>
      <w:pPr>
        <w:ind w:right="400" w:firstLine="497"/>
        <w:spacing w:after="0" w:line="267" w:lineRule="auto"/>
        <w:rPr>
          <w:sz w:val="20"/>
          <w:szCs w:val="20"/>
          <w:color w:val="auto"/>
        </w:rPr>
      </w:pPr>
      <w:r>
        <w:rPr>
          <w:rFonts w:ascii="Arial" w:cs="Arial" w:eastAsia="Arial" w:hAnsi="Arial"/>
          <w:sz w:val="14"/>
          <w:szCs w:val="14"/>
          <w:color w:val="auto"/>
        </w:rPr>
        <w:t>Any future regulations may have a material adverse effect on our business and financial results because they may make it more difficult or expensive for us to continue to provide employment services, particularly if we cannot pass along increases in costs to our clients.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20" w:top="481" w:right="239" w:bottom="1440" w:gutter="0" w:footer="0" w:header="0"/>
        </w:sectPr>
      </w:pPr>
    </w:p>
    <w:bookmarkStart w:id="13" w:name="page14"/>
    <w:bookmarkEnd w:id="13"/>
    <w:p>
      <w:pPr>
        <w:ind w:left="500"/>
        <w:spacing w:after="0"/>
        <w:rPr>
          <w:sz w:val="20"/>
          <w:szCs w:val="20"/>
          <w:color w:val="auto"/>
        </w:rPr>
      </w:pPr>
      <w:r>
        <w:rPr>
          <w:rFonts w:ascii="Arial" w:cs="Arial" w:eastAsia="Arial" w:hAnsi="Arial"/>
          <w:sz w:val="14"/>
          <w:szCs w:val="14"/>
          <w:b w:val="1"/>
          <w:bCs w:val="1"/>
          <w:color w:val="auto"/>
        </w:rPr>
        <w:t>Failure to comply with antibribery and corruption laws could materially adversely affect our business.</w:t>
      </w:r>
    </w:p>
    <w:p>
      <w:pPr>
        <w:spacing w:after="0" w:line="174" w:lineRule="exact"/>
        <w:rPr>
          <w:sz w:val="20"/>
          <w:szCs w:val="20"/>
          <w:color w:val="auto"/>
        </w:rPr>
      </w:pPr>
    </w:p>
    <w:p>
      <w:pPr>
        <w:ind w:firstLine="497"/>
        <w:spacing w:after="0" w:line="337" w:lineRule="auto"/>
        <w:rPr>
          <w:sz w:val="20"/>
          <w:szCs w:val="20"/>
          <w:color w:val="auto"/>
        </w:rPr>
      </w:pPr>
      <w:r>
        <w:rPr>
          <w:rFonts w:ascii="Arial" w:cs="Arial" w:eastAsia="Arial" w:hAnsi="Arial"/>
          <w:sz w:val="11"/>
          <w:szCs w:val="11"/>
          <w:color w:val="auto"/>
        </w:rPr>
        <w:t>We are additionally subject to numerous legal and regulatory requirements that prohibit bribery and corrupt acts. These include the Foreign Corrupt Practices Act and the UK Bribery Act 2010, as well as similar legislation in many of the countries in which we operate. Our employees (but not our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prohibited by our policies and these laws and regulations. Any such violations could materially adversely affect our business.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auto"/>
        </w:rPr>
        <w:t>We may be exposed to employment-related claims and costs from clients or third parties that could materially adversely affect our business, financial condition and results of operations.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are in the business of employing people and placing them in the workplaces of other businesses. Risks relating to these activities include:</w:t>
      </w:r>
    </w:p>
    <w:p>
      <w:pPr>
        <w:spacing w:after="0" w:line="170" w:lineRule="exact"/>
        <w:rPr>
          <w:sz w:val="20"/>
          <w:szCs w:val="20"/>
          <w:color w:val="auto"/>
        </w:rPr>
      </w:pPr>
    </w:p>
    <w:p>
      <w:pPr>
        <w:ind w:left="460" w:hanging="85"/>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claims arising out of the actions or inactions of our associates, including matters for which we may have indemnified a client;</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claims by our associates of discrimination or harassment directed at them, including claims relating to actions of our clients;</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claims related to the employment of undocumented or illegal workers;</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payment of workers’ compensation claims and other similar claims;</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violations of employee pay and benefits requirements such as violations of wage and hour requirements;</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entitlement to employee benefits, including healthcare coverage;</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errors and omissions of our associates and other individuals working on our behalf in performing their jobs, such as accountants, IT professionals, engineers and other technical workers; and</w:t>
      </w:r>
    </w:p>
    <w:p>
      <w:pPr>
        <w:spacing w:after="0" w:line="181" w:lineRule="exact"/>
        <w:rPr>
          <w:rFonts w:ascii="Arial" w:cs="Arial" w:eastAsia="Arial" w:hAnsi="Arial"/>
          <w:sz w:val="13"/>
          <w:szCs w:val="13"/>
          <w:color w:val="auto"/>
        </w:rPr>
      </w:pPr>
    </w:p>
    <w:p>
      <w:pPr>
        <w:ind w:left="460" w:hanging="85"/>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claims by our clients relating to our associates’ misuse of clients’ proprietary information, misappropriation of funds, other criminal activity or torts or other similar claims.</w:t>
      </w:r>
    </w:p>
    <w:p>
      <w:pPr>
        <w:spacing w:after="0" w:line="170" w:lineRule="exact"/>
        <w:rPr>
          <w:sz w:val="20"/>
          <w:szCs w:val="20"/>
          <w:color w:val="auto"/>
        </w:rPr>
      </w:pPr>
    </w:p>
    <w:p>
      <w:pPr>
        <w:ind w:right="120" w:firstLine="497"/>
        <w:spacing w:after="0" w:line="286" w:lineRule="auto"/>
        <w:rPr>
          <w:sz w:val="20"/>
          <w:szCs w:val="20"/>
          <w:color w:val="auto"/>
        </w:rPr>
      </w:pPr>
      <w:r>
        <w:rPr>
          <w:rFonts w:ascii="Arial" w:cs="Arial" w:eastAsia="Arial" w:hAnsi="Arial"/>
          <w:sz w:val="13"/>
          <w:szCs w:val="13"/>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In the past several years, we devoted considerable time and expense to resolve several California-based “wage and hour” claims that asserted deficiencies in our payroll practices, and we cannot be certain we will not experience similar claims in the future.</w:t>
      </w:r>
    </w:p>
    <w:p>
      <w:pPr>
        <w:spacing w:after="0" w:line="128" w:lineRule="exact"/>
        <w:rPr>
          <w:sz w:val="20"/>
          <w:szCs w:val="20"/>
          <w:color w:val="auto"/>
        </w:rPr>
      </w:pPr>
    </w:p>
    <w:p>
      <w:pPr>
        <w:ind w:firstLine="497"/>
        <w:spacing w:after="0" w:line="359" w:lineRule="auto"/>
        <w:rPr>
          <w:sz w:val="20"/>
          <w:szCs w:val="20"/>
          <w:color w:val="auto"/>
        </w:rPr>
      </w:pPr>
      <w:r>
        <w:rPr>
          <w:rFonts w:ascii="Arial" w:cs="Arial" w:eastAsia="Arial" w:hAnsi="Arial"/>
          <w:sz w:val="11"/>
          <w:szCs w:val="11"/>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60"/>
          </w:cols>
          <w:pgMar w:left="220" w:top="477" w:right="319" w:bottom="1440" w:gutter="0" w:footer="0" w:header="0"/>
        </w:sectPr>
      </w:pPr>
    </w:p>
    <w:bookmarkStart w:id="14" w:name="page15"/>
    <w:bookmarkEnd w:id="14"/>
    <w:p>
      <w:pPr>
        <w:ind w:left="500"/>
        <w:spacing w:after="0"/>
        <w:rPr>
          <w:sz w:val="20"/>
          <w:szCs w:val="20"/>
          <w:color w:val="auto"/>
        </w:rPr>
      </w:pPr>
      <w:r>
        <w:rPr>
          <w:rFonts w:ascii="Arial" w:cs="Arial" w:eastAsia="Arial" w:hAnsi="Arial"/>
          <w:sz w:val="14"/>
          <w:szCs w:val="14"/>
          <w:b w:val="1"/>
          <w:bCs w:val="1"/>
          <w:color w:val="auto"/>
        </w:rPr>
        <w:t>Our business exposes us to competition law risk.</w:t>
      </w:r>
    </w:p>
    <w:p>
      <w:pPr>
        <w:spacing w:after="0" w:line="174" w:lineRule="exact"/>
        <w:rPr>
          <w:sz w:val="20"/>
          <w:szCs w:val="20"/>
          <w:color w:val="auto"/>
        </w:rPr>
      </w:pPr>
    </w:p>
    <w:p>
      <w:pPr>
        <w:ind w:right="100" w:firstLine="434"/>
        <w:spacing w:after="0" w:line="344" w:lineRule="auto"/>
        <w:rPr>
          <w:sz w:val="20"/>
          <w:szCs w:val="20"/>
          <w:color w:val="auto"/>
        </w:rPr>
      </w:pPr>
      <w:r>
        <w:rPr>
          <w:rFonts w:ascii="Arial" w:cs="Arial" w:eastAsia="Arial" w:hAnsi="Arial"/>
          <w:sz w:val="11"/>
          <w:szCs w:val="11"/>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and there is a risk that we will be subject to regulatory investigation by relevant authorities. For example, in 2009, we were fined by the French Competition Council following a 2004 investigation, and in 2013 we were informed that the French competition authority had commenced an investigation, which remains ongoing, into us and a number of our competitors in France.</w:t>
      </w:r>
    </w:p>
    <w:p>
      <w:pPr>
        <w:spacing w:after="0" w:line="102" w:lineRule="exact"/>
        <w:rPr>
          <w:sz w:val="20"/>
          <w:szCs w:val="20"/>
          <w:color w:val="auto"/>
        </w:rPr>
      </w:pPr>
    </w:p>
    <w:p>
      <w:pPr>
        <w:ind w:right="40" w:firstLine="497"/>
        <w:spacing w:after="0" w:line="257" w:lineRule="auto"/>
        <w:rPr>
          <w:sz w:val="20"/>
          <w:szCs w:val="20"/>
          <w:color w:val="auto"/>
        </w:rPr>
      </w:pPr>
      <w:r>
        <w:rPr>
          <w:rFonts w:ascii="Arial" w:cs="Arial" w:eastAsia="Arial" w:hAnsi="Arial"/>
          <w:sz w:val="14"/>
          <w:szCs w:val="14"/>
          <w:color w:val="auto"/>
        </w:rPr>
        <w:t>There is no assurance we will successfully defend against such regulatory inquiries, and they may consume substantial amounts of our financial and managerial resources, and result in adverse publicity, even if successfully resolved. An unfavorable outcome with respect to these matters and any future matters could, individually or in the aggregate, result in substantial liabilities that have a material adverse effect upon our business, financial condition or results of operations.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Our ability to attract and retain business and employees may depend on our reputation in the marketplace.</w:t>
      </w:r>
    </w:p>
    <w:p>
      <w:pPr>
        <w:spacing w:after="0" w:line="174" w:lineRule="exact"/>
        <w:rPr>
          <w:sz w:val="20"/>
          <w:szCs w:val="20"/>
          <w:color w:val="auto"/>
        </w:rPr>
      </w:pPr>
    </w:p>
    <w:p>
      <w:pPr>
        <w:ind w:firstLine="497"/>
        <w:spacing w:after="0" w:line="272" w:lineRule="auto"/>
        <w:rPr>
          <w:sz w:val="20"/>
          <w:szCs w:val="20"/>
          <w:color w:val="auto"/>
        </w:rPr>
      </w:pPr>
      <w:r>
        <w:rPr>
          <w:rFonts w:ascii="Arial" w:cs="Arial" w:eastAsia="Arial" w:hAnsi="Arial"/>
          <w:sz w:val="13"/>
          <w:szCs w:val="13"/>
          <w:color w:val="auto"/>
        </w:rPr>
        <w:t>We believe the ManpowerGroup brand name and our reputation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brand name and could reduce investor confidence in us, materially adversely affecting our share price.</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Changes in sentiment toward the staffing industry could affect the marketplace for our services.</w:t>
      </w:r>
    </w:p>
    <w:p>
      <w:pPr>
        <w:spacing w:after="0" w:line="174" w:lineRule="exact"/>
        <w:rPr>
          <w:sz w:val="20"/>
          <w:szCs w:val="20"/>
          <w:color w:val="auto"/>
        </w:rPr>
      </w:pPr>
    </w:p>
    <w:p>
      <w:pPr>
        <w:ind w:firstLine="497"/>
        <w:spacing w:after="0" w:line="253" w:lineRule="auto"/>
        <w:rPr>
          <w:sz w:val="20"/>
          <w:szCs w:val="20"/>
          <w:color w:val="auto"/>
        </w:rPr>
      </w:pPr>
      <w:r>
        <w:rPr>
          <w:rFonts w:ascii="Arial" w:cs="Arial" w:eastAsia="Arial" w:hAnsi="Arial"/>
          <w:sz w:val="14"/>
          <w:szCs w:val="14"/>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 and financial condition.</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Our results of operations and share price could be materially adversely affected if we are unable to maintain effective internal controls.</w:t>
      </w:r>
    </w:p>
    <w:p>
      <w:pPr>
        <w:spacing w:after="0" w:line="174" w:lineRule="exact"/>
        <w:rPr>
          <w:sz w:val="20"/>
          <w:szCs w:val="20"/>
          <w:color w:val="auto"/>
        </w:rPr>
      </w:pPr>
    </w:p>
    <w:p>
      <w:pPr>
        <w:ind w:right="80" w:firstLine="497"/>
        <w:spacing w:after="0" w:line="272" w:lineRule="auto"/>
        <w:rPr>
          <w:sz w:val="20"/>
          <w:szCs w:val="20"/>
          <w:color w:val="auto"/>
        </w:rPr>
      </w:pPr>
      <w:r>
        <w:rPr>
          <w:rFonts w:ascii="Arial" w:cs="Arial" w:eastAsia="Arial" w:hAnsi="Arial"/>
          <w:sz w:val="13"/>
          <w:szCs w:val="13"/>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on a timely basis, be unable to properly report on our business and our results of operations, or be required to restate our financial statements, and our results of operations. If any of these were to occur, the market price of our securities and our ability to obtain new business could be materially adversely affected.</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477" w:right="239" w:bottom="1440" w:gutter="0" w:footer="0" w:header="0"/>
        </w:sectPr>
      </w:pPr>
    </w:p>
    <w:bookmarkStart w:id="15" w:name="page16"/>
    <w:bookmarkEnd w:id="15"/>
    <w:p>
      <w:pPr>
        <w:ind w:left="500"/>
        <w:spacing w:after="0"/>
        <w:rPr>
          <w:sz w:val="20"/>
          <w:szCs w:val="20"/>
          <w:color w:val="auto"/>
        </w:rPr>
      </w:pPr>
      <w:r>
        <w:rPr>
          <w:rFonts w:ascii="Arial" w:cs="Arial" w:eastAsia="Arial" w:hAnsi="Arial"/>
          <w:sz w:val="14"/>
          <w:szCs w:val="14"/>
          <w:b w:val="1"/>
          <w:bCs w:val="1"/>
          <w:color w:val="auto"/>
        </w:rPr>
        <w:t>Our acquisition strategy may have a material adverse effect on our business due to unexpected or underestimated costs.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From time to time, we make acquisitions of other companies or operating assets or enter into operating joint ventures. These activities involve significant risks, including:</w:t>
      </w:r>
    </w:p>
    <w:p>
      <w:pPr>
        <w:spacing w:after="0" w:line="170" w:lineRule="exact"/>
        <w:rPr>
          <w:sz w:val="20"/>
          <w:szCs w:val="20"/>
          <w:color w:val="auto"/>
        </w:rPr>
      </w:pPr>
    </w:p>
    <w:p>
      <w:pPr>
        <w:ind w:left="460" w:hanging="85"/>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difficulties in the assimilation of the operations, services and corporate culture of acquired companies;</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failure of any companies or assets that we acquire, or joint ventures that we form, to meet performance expectations, which could trigger payment obligations;</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over-valuation by us of any companies or assets that we acquire, or joint ventures that we form;</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failure to effectively monitor compliance with corporate policies as well as regulatory requirements;</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insufficient indemnification from the selling parties for liabilities incurred by the acquired companies prior to the acquisitions; and</w:t>
      </w:r>
    </w:p>
    <w:p>
      <w:pPr>
        <w:spacing w:after="0" w:line="170" w:lineRule="exact"/>
        <w:rPr>
          <w:rFonts w:ascii="Arial" w:cs="Arial" w:eastAsia="Arial" w:hAnsi="Arial"/>
          <w:sz w:val="14"/>
          <w:szCs w:val="14"/>
          <w:color w:val="auto"/>
        </w:rPr>
      </w:pPr>
    </w:p>
    <w:p>
      <w:pPr>
        <w:ind w:left="460" w:hanging="85"/>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diversion of management’s attention from other business concerns.</w:t>
      </w:r>
    </w:p>
    <w:p>
      <w:pPr>
        <w:spacing w:after="0" w:line="170" w:lineRule="exact"/>
        <w:rPr>
          <w:sz w:val="20"/>
          <w:szCs w:val="20"/>
          <w:color w:val="auto"/>
        </w:rPr>
      </w:pPr>
    </w:p>
    <w:p>
      <w:pPr>
        <w:ind w:right="40" w:firstLine="497"/>
        <w:spacing w:after="0" w:line="405" w:lineRule="auto"/>
        <w:rPr>
          <w:sz w:val="20"/>
          <w:szCs w:val="20"/>
          <w:color w:val="auto"/>
        </w:rPr>
      </w:pPr>
      <w:r>
        <w:rPr>
          <w:rFonts w:ascii="Arial" w:cs="Arial" w:eastAsia="Arial" w:hAnsi="Arial"/>
          <w:sz w:val="11"/>
          <w:szCs w:val="11"/>
          <w:color w:val="auto"/>
        </w:rPr>
        <w:t>These risks could have a material adverse effect on our business because they may result in substantial costs to us and disrupt our business. In addition, future acquisitions could materially adversely affect our business, financial condition, results of operations and liquidity. Possible impairment losses on goodwill and intangible assets with an indefinite life, or restructuring charges could also occur.</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We have only a limited ability to protect our thought leadership and other intellectual property, which is important to our success.</w:t>
      </w:r>
    </w:p>
    <w:p>
      <w:pPr>
        <w:spacing w:after="0" w:line="174"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and other contractual agreements, and patent, copyright, and trademark laws to protect our intellectual property rights. Our intellectual property rights may not prevent competitors from independently developing products, services and solutions similar to ours. Further, the steps we take might not be adequate to prevent or deter infringement or other misappropriation of our intellectual property by competitors, former employees or other third parties, which could materially adversely affect our business and financial results.</w:t>
      </w:r>
    </w:p>
    <w:p>
      <w:pPr>
        <w:spacing w:after="0" w:line="151" w:lineRule="exact"/>
        <w:rPr>
          <w:sz w:val="20"/>
          <w:szCs w:val="20"/>
          <w:color w:val="auto"/>
        </w:rPr>
      </w:pPr>
    </w:p>
    <w:p>
      <w:pPr>
        <w:ind w:right="60" w:firstLine="497"/>
        <w:spacing w:after="0" w:line="306" w:lineRule="auto"/>
        <w:rPr>
          <w:sz w:val="20"/>
          <w:szCs w:val="20"/>
          <w:color w:val="auto"/>
        </w:rPr>
      </w:pPr>
      <w:r>
        <w:rPr>
          <w:rFonts w:ascii="Arial" w:cs="Arial" w:eastAsia="Arial" w:hAnsi="Arial"/>
          <w:sz w:val="13"/>
          <w:szCs w:val="13"/>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We maintain debt that could materially adversely affect our operating flexibility and put us at a competitive disadvantage.</w:t>
      </w:r>
    </w:p>
    <w:p>
      <w:pPr>
        <w:spacing w:after="0" w:line="174" w:lineRule="exact"/>
        <w:rPr>
          <w:sz w:val="20"/>
          <w:szCs w:val="20"/>
          <w:color w:val="auto"/>
        </w:rPr>
      </w:pPr>
    </w:p>
    <w:p>
      <w:pPr>
        <w:ind w:right="440" w:firstLine="497"/>
        <w:spacing w:after="0" w:line="267" w:lineRule="auto"/>
        <w:rPr>
          <w:sz w:val="20"/>
          <w:szCs w:val="20"/>
          <w:color w:val="auto"/>
        </w:rPr>
      </w:pPr>
      <w:r>
        <w:rPr>
          <w:rFonts w:ascii="Arial" w:cs="Arial" w:eastAsia="Arial" w:hAnsi="Arial"/>
          <w:sz w:val="14"/>
          <w:szCs w:val="14"/>
          <w:color w:val="auto"/>
        </w:rPr>
        <w:t>As of December 31, 2016, we had $825.4 million of total debt. Our level of debt and the limitations imposed on us by our credit agreements could have important consequences for investors, including the following:</w:t>
      </w:r>
    </w:p>
    <w:p>
      <w:pPr>
        <w:spacing w:after="0" w:line="138" w:lineRule="exact"/>
        <w:rPr>
          <w:sz w:val="20"/>
          <w:szCs w:val="20"/>
          <w:color w:val="auto"/>
        </w:rPr>
      </w:pPr>
    </w:p>
    <w:p>
      <w:pPr>
        <w:ind w:right="60" w:firstLine="417"/>
        <w:spacing w:after="0" w:line="267" w:lineRule="auto"/>
        <w:tabs>
          <w:tab w:leader="none" w:pos="497"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not be able to obtain additional debt financing for future working capital, capital expenditures, significant acquisition opportunities, or other corporate purposes or may have to pay more for such financing;</w:t>
      </w:r>
    </w:p>
    <w:p>
      <w:pPr>
        <w:spacing w:after="0" w:line="138" w:lineRule="exact"/>
        <w:rPr>
          <w:rFonts w:ascii="Arial" w:cs="Arial" w:eastAsia="Arial" w:hAnsi="Arial"/>
          <w:sz w:val="14"/>
          <w:szCs w:val="14"/>
          <w:color w:val="auto"/>
        </w:rPr>
      </w:pPr>
    </w:p>
    <w:p>
      <w:pPr>
        <w:ind w:left="500" w:hanging="8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borrowings under our revolving credit facilities are at a variable interest rate, making us more vulnerable to increases in interest rates; and</w:t>
      </w:r>
    </w:p>
    <w:p>
      <w:pPr>
        <w:spacing w:after="0" w:line="170" w:lineRule="exact"/>
        <w:rPr>
          <w:rFonts w:ascii="Arial" w:cs="Arial" w:eastAsia="Arial" w:hAnsi="Arial"/>
          <w:sz w:val="14"/>
          <w:szCs w:val="14"/>
          <w:color w:val="auto"/>
        </w:rPr>
      </w:pPr>
    </w:p>
    <w:p>
      <w:pPr>
        <w:ind w:left="500" w:hanging="83"/>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could be less able to take advantage of significant business opportunities and to react to changes in market or industry conditions.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40"/>
          </w:cols>
          <w:pgMar w:left="220" w:top="477" w:right="239" w:bottom="1440" w:gutter="0" w:footer="0" w:header="0"/>
        </w:sectPr>
      </w:pPr>
    </w:p>
    <w:bookmarkStart w:id="16" w:name="page17"/>
    <w:bookmarkEnd w:id="16"/>
    <w:p>
      <w:pPr>
        <w:ind w:left="500"/>
        <w:spacing w:after="0"/>
        <w:rPr>
          <w:sz w:val="20"/>
          <w:szCs w:val="20"/>
          <w:color w:val="auto"/>
        </w:rPr>
      </w:pPr>
      <w:r>
        <w:rPr>
          <w:rFonts w:ascii="Arial" w:cs="Arial" w:eastAsia="Arial" w:hAnsi="Arial"/>
          <w:sz w:val="14"/>
          <w:szCs w:val="14"/>
          <w:b w:val="1"/>
          <w:bCs w:val="1"/>
          <w:color w:val="auto"/>
        </w:rPr>
        <w:t>Our failure to comply with restrictive covenants under our revolving credit facilities and other debt instruments could trigger prepayment obligations.</w:t>
      </w:r>
    </w:p>
    <w:p>
      <w:pPr>
        <w:spacing w:after="0" w:line="174" w:lineRule="exact"/>
        <w:rPr>
          <w:sz w:val="20"/>
          <w:szCs w:val="20"/>
          <w:color w:val="auto"/>
        </w:rPr>
      </w:pPr>
    </w:p>
    <w:p>
      <w:pPr>
        <w:ind w:right="20" w:firstLine="497"/>
        <w:spacing w:after="0" w:line="257" w:lineRule="auto"/>
        <w:rPr>
          <w:sz w:val="20"/>
          <w:szCs w:val="20"/>
          <w:color w:val="auto"/>
        </w:rPr>
      </w:pPr>
      <w:r>
        <w:rPr>
          <w:rFonts w:ascii="Arial" w:cs="Arial" w:eastAsia="Arial" w:hAnsi="Arial"/>
          <w:sz w:val="14"/>
          <w:szCs w:val="14"/>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The lenders under our and our subsidiaries’ credit facilities may be unwilling or unable to extend credit to us on acceptable terms or at all.</w:t>
      </w:r>
    </w:p>
    <w:p>
      <w:pPr>
        <w:spacing w:after="0" w:line="174" w:lineRule="exact"/>
        <w:rPr>
          <w:sz w:val="20"/>
          <w:szCs w:val="20"/>
          <w:color w:val="auto"/>
        </w:rPr>
      </w:pPr>
    </w:p>
    <w:p>
      <w:pPr>
        <w:ind w:right="40" w:firstLine="497"/>
        <w:spacing w:after="0" w:line="359" w:lineRule="auto"/>
        <w:rPr>
          <w:sz w:val="20"/>
          <w:szCs w:val="20"/>
          <w:color w:val="auto"/>
        </w:rPr>
      </w:pPr>
      <w:r>
        <w:rPr>
          <w:rFonts w:ascii="Arial" w:cs="Arial" w:eastAsia="Arial" w:hAnsi="Arial"/>
          <w:sz w:val="11"/>
          <w:szCs w:val="11"/>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pacing w:after="0" w:line="94" w:lineRule="exact"/>
        <w:rPr>
          <w:sz w:val="20"/>
          <w:szCs w:val="20"/>
          <w:color w:val="auto"/>
        </w:rPr>
      </w:pPr>
    </w:p>
    <w:p>
      <w:pPr>
        <w:jc w:val="both"/>
        <w:ind w:right="100" w:firstLine="497"/>
        <w:spacing w:after="0" w:line="257" w:lineRule="auto"/>
        <w:rPr>
          <w:sz w:val="20"/>
          <w:szCs w:val="20"/>
          <w:color w:val="auto"/>
        </w:rPr>
      </w:pPr>
      <w:r>
        <w:rPr>
          <w:rFonts w:ascii="Arial" w:cs="Arial" w:eastAsia="Arial" w:hAnsi="Arial"/>
          <w:sz w:val="14"/>
          <w:szCs w:val="14"/>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141" w:lineRule="exact"/>
        <w:rPr>
          <w:sz w:val="20"/>
          <w:szCs w:val="20"/>
          <w:color w:val="auto"/>
        </w:rPr>
      </w:pPr>
    </w:p>
    <w:p>
      <w:pPr>
        <w:ind w:right="160" w:firstLine="497"/>
        <w:spacing w:after="0" w:line="273" w:lineRule="auto"/>
        <w:rPr>
          <w:sz w:val="20"/>
          <w:szCs w:val="20"/>
          <w:color w:val="auto"/>
        </w:rPr>
      </w:pPr>
      <w:r>
        <w:rPr>
          <w:rFonts w:ascii="Arial" w:cs="Arial" w:eastAsia="Arial" w:hAnsi="Arial"/>
          <w:sz w:val="14"/>
          <w:szCs w:val="14"/>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34" w:lineRule="exact"/>
        <w:rPr>
          <w:sz w:val="20"/>
          <w:szCs w:val="20"/>
          <w:color w:val="auto"/>
        </w:rPr>
      </w:pPr>
    </w:p>
    <w:p>
      <w:pPr>
        <w:ind w:firstLine="497"/>
        <w:spacing w:after="0" w:line="344" w:lineRule="auto"/>
        <w:rPr>
          <w:sz w:val="20"/>
          <w:szCs w:val="20"/>
          <w:color w:val="auto"/>
        </w:rPr>
      </w:pPr>
      <w:r>
        <w:rPr>
          <w:rFonts w:ascii="Arial" w:cs="Arial" w:eastAsia="Arial" w:hAnsi="Arial"/>
          <w:sz w:val="11"/>
          <w:szCs w:val="11"/>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 or other costs.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Our inability to secure guarantees or letters of credit on acceptable terms may substantially increase our cost of doing business in various countries.</w:t>
      </w:r>
    </w:p>
    <w:p>
      <w:pPr>
        <w:spacing w:after="0" w:line="174" w:lineRule="exact"/>
        <w:rPr>
          <w:sz w:val="20"/>
          <w:szCs w:val="20"/>
          <w:color w:val="auto"/>
        </w:rPr>
      </w:pPr>
    </w:p>
    <w:p>
      <w:pPr>
        <w:ind w:right="100" w:firstLine="497"/>
        <w:spacing w:after="0" w:line="286" w:lineRule="auto"/>
        <w:rPr>
          <w:sz w:val="20"/>
          <w:szCs w:val="20"/>
          <w:color w:val="auto"/>
        </w:rPr>
      </w:pPr>
      <w:r>
        <w:rPr>
          <w:rFonts w:ascii="Arial" w:cs="Arial" w:eastAsia="Arial" w:hAnsi="Arial"/>
          <w:sz w:val="13"/>
          <w:szCs w:val="13"/>
          <w:color w:val="auto"/>
        </w:rPr>
        <w:t>In a number of countries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We could be subject to changes in tax rates, adoption of new United States or international tax legislation or tax audits that could result in additional income tax liabilities.</w:t>
      </w:r>
    </w:p>
    <w:p>
      <w:pPr>
        <w:spacing w:after="0" w:line="186" w:lineRule="exact"/>
        <w:rPr>
          <w:sz w:val="20"/>
          <w:szCs w:val="20"/>
          <w:color w:val="auto"/>
        </w:rPr>
      </w:pPr>
    </w:p>
    <w:p>
      <w:pPr>
        <w:ind w:right="80" w:firstLine="497"/>
        <w:spacing w:after="0" w:line="337" w:lineRule="auto"/>
        <w:rPr>
          <w:sz w:val="20"/>
          <w:szCs w:val="20"/>
          <w:color w:val="auto"/>
        </w:rPr>
      </w:pPr>
      <w:r>
        <w:rPr>
          <w:rFonts w:ascii="Arial" w:cs="Arial" w:eastAsia="Arial" w:hAnsi="Arial"/>
          <w:sz w:val="11"/>
          <w:szCs w:val="11"/>
          <w:color w:val="auto"/>
        </w:rPr>
        <w:t>We are subject to income taxes in the United States and other jurisdictions where we have operations. The tax bases and rates in these respective tax jurisdictions may significantly change due to economic and political conditions. Our future effective tax rate could be affected by changes in earnings in countries with differing tax rates, changes in the valuation of deferred tax assets and liabilities or changes in the respective tax laws. In addition, tax accounting may involve complex matters and requires our judgment to determine our worldwide provision for income taxes and tax assets and liabilities including matters related to our intercompany transactions. We are routinely subject to income tax examination by the United States Internal Revenue Service and other Tax Authorities, and these audits may result in an additional tax liability. If any of these instances lead to an increase in our effective tax rates, it could have a material adverse effect on our financial results.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477" w:right="219" w:bottom="1440" w:gutter="0" w:footer="0" w:header="0"/>
        </w:sectPr>
      </w:pPr>
    </w:p>
    <w:bookmarkStart w:id="17" w:name="page18"/>
    <w:bookmarkEnd w:id="17"/>
    <w:p>
      <w:pPr>
        <w:ind w:left="500"/>
        <w:spacing w:after="0"/>
        <w:rPr>
          <w:sz w:val="20"/>
          <w:szCs w:val="20"/>
          <w:color w:val="auto"/>
        </w:rPr>
      </w:pPr>
      <w:r>
        <w:rPr>
          <w:rFonts w:ascii="Arial" w:cs="Arial" w:eastAsia="Arial" w:hAnsi="Arial"/>
          <w:sz w:val="14"/>
          <w:szCs w:val="14"/>
          <w:b w:val="1"/>
          <w:bCs w:val="1"/>
          <w:color w:val="auto"/>
        </w:rPr>
        <w:t>The price of our common stock may fluctuate significantly, which may result in losses for investors.</w:t>
      </w:r>
    </w:p>
    <w:p>
      <w:pPr>
        <w:spacing w:after="0" w:line="174" w:lineRule="exact"/>
        <w:rPr>
          <w:sz w:val="20"/>
          <w:szCs w:val="20"/>
          <w:color w:val="auto"/>
        </w:rPr>
      </w:pPr>
    </w:p>
    <w:p>
      <w:pPr>
        <w:jc w:val="both"/>
        <w:ind w:right="200" w:firstLine="497"/>
        <w:spacing w:after="0" w:line="257" w:lineRule="auto"/>
        <w:rPr>
          <w:sz w:val="20"/>
          <w:szCs w:val="20"/>
          <w:color w:val="auto"/>
        </w:rPr>
      </w:pPr>
      <w:r>
        <w:rPr>
          <w:rFonts w:ascii="Arial" w:cs="Arial" w:eastAsia="Arial" w:hAnsi="Arial"/>
          <w:sz w:val="14"/>
          <w:szCs w:val="14"/>
          <w:color w:val="auto"/>
        </w:rPr>
        <w:t>The market price for our common stock has been and may continue to be volatile. For example, during 2016, the price of our common stock as reported on the New York Stock Exchange ranged from a high of $92.83 to a low of $59.90. Our stock price can fluctuate as a result of a variety of factors, including factors listed in these “Risk Factors” and others, many of which are beyond our control. These factors include:</w:t>
      </w:r>
    </w:p>
    <w:p>
      <w:pPr>
        <w:spacing w:after="0" w:line="145" w:lineRule="exact"/>
        <w:rPr>
          <w:sz w:val="20"/>
          <w:szCs w:val="20"/>
          <w:color w:val="auto"/>
        </w:rPr>
      </w:pPr>
    </w:p>
    <w:p>
      <w:pPr>
        <w:ind w:left="500" w:hanging="12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actual or anticipated variations in our quarterly operating results;</w:t>
      </w:r>
    </w:p>
    <w:p>
      <w:pPr>
        <w:spacing w:after="0" w:line="170" w:lineRule="exact"/>
        <w:rPr>
          <w:rFonts w:ascii="Arial" w:cs="Arial" w:eastAsia="Arial" w:hAnsi="Arial"/>
          <w:sz w:val="14"/>
          <w:szCs w:val="14"/>
          <w:color w:val="auto"/>
        </w:rPr>
      </w:pPr>
    </w:p>
    <w:p>
      <w:pPr>
        <w:ind w:left="500" w:hanging="12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announcement of new services by us or our competitors;</w:t>
      </w:r>
    </w:p>
    <w:p>
      <w:pPr>
        <w:spacing w:after="0" w:line="170" w:lineRule="exact"/>
        <w:rPr>
          <w:rFonts w:ascii="Arial" w:cs="Arial" w:eastAsia="Arial" w:hAnsi="Arial"/>
          <w:sz w:val="14"/>
          <w:szCs w:val="14"/>
          <w:color w:val="auto"/>
        </w:rPr>
      </w:pPr>
    </w:p>
    <w:p>
      <w:pPr>
        <w:ind w:left="500" w:hanging="12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announcements relating to strategic relationships or acquisitions;</w:t>
      </w:r>
    </w:p>
    <w:p>
      <w:pPr>
        <w:spacing w:after="0" w:line="170" w:lineRule="exact"/>
        <w:rPr>
          <w:rFonts w:ascii="Arial" w:cs="Arial" w:eastAsia="Arial" w:hAnsi="Arial"/>
          <w:sz w:val="14"/>
          <w:szCs w:val="14"/>
          <w:color w:val="auto"/>
        </w:rPr>
      </w:pPr>
    </w:p>
    <w:p>
      <w:pPr>
        <w:ind w:left="500" w:hanging="12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financial estimates or other statements by securities analysts;</w:t>
      </w:r>
    </w:p>
    <w:p>
      <w:pPr>
        <w:spacing w:after="0" w:line="170" w:lineRule="exact"/>
        <w:rPr>
          <w:rFonts w:ascii="Arial" w:cs="Arial" w:eastAsia="Arial" w:hAnsi="Arial"/>
          <w:sz w:val="14"/>
          <w:szCs w:val="14"/>
          <w:color w:val="auto"/>
        </w:rPr>
      </w:pPr>
    </w:p>
    <w:p>
      <w:pPr>
        <w:ind w:left="500" w:hanging="12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general economic conditions; and</w:t>
      </w:r>
    </w:p>
    <w:p>
      <w:pPr>
        <w:spacing w:after="0" w:line="170" w:lineRule="exact"/>
        <w:rPr>
          <w:rFonts w:ascii="Arial" w:cs="Arial" w:eastAsia="Arial" w:hAnsi="Arial"/>
          <w:sz w:val="14"/>
          <w:szCs w:val="14"/>
          <w:color w:val="auto"/>
        </w:rPr>
      </w:pPr>
    </w:p>
    <w:p>
      <w:pPr>
        <w:ind w:left="500" w:hanging="12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investor sentiment regarding the company or the economy in general.</w:t>
      </w:r>
    </w:p>
    <w:p>
      <w:pPr>
        <w:spacing w:after="0" w:line="166"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b w:val="1"/>
          <w:bCs w:val="1"/>
          <w:color w:val="auto"/>
        </w:rPr>
        <w:t>Wisconsin law and our articles of incorporation and bylaws contain provisions that could make the takeover of our company more difficult.</w:t>
      </w:r>
    </w:p>
    <w:p>
      <w:pPr>
        <w:spacing w:after="0" w:line="174" w:lineRule="exact"/>
        <w:rPr>
          <w:sz w:val="20"/>
          <w:szCs w:val="20"/>
          <w:color w:val="auto"/>
        </w:rPr>
      </w:pPr>
    </w:p>
    <w:p>
      <w:pPr>
        <w:ind w:firstLine="497"/>
        <w:spacing w:after="0" w:line="267" w:lineRule="auto"/>
        <w:rPr>
          <w:sz w:val="20"/>
          <w:szCs w:val="20"/>
          <w:color w:val="auto"/>
        </w:rPr>
      </w:pPr>
      <w:r>
        <w:rPr>
          <w:rFonts w:ascii="Arial" w:cs="Arial" w:eastAsia="Arial" w:hAnsi="Arial"/>
          <w:sz w:val="14"/>
          <w:szCs w:val="14"/>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38" w:lineRule="exact"/>
        <w:rPr>
          <w:sz w:val="20"/>
          <w:szCs w:val="20"/>
          <w:color w:val="auto"/>
        </w:rPr>
      </w:pPr>
    </w:p>
    <w:p>
      <w:pPr>
        <w:ind w:left="500" w:hanging="12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permitting removal of directors only for cause;</w:t>
      </w:r>
    </w:p>
    <w:p>
      <w:pPr>
        <w:spacing w:after="0" w:line="170" w:lineRule="exact"/>
        <w:rPr>
          <w:rFonts w:ascii="Arial" w:cs="Arial" w:eastAsia="Arial" w:hAnsi="Arial"/>
          <w:sz w:val="14"/>
          <w:szCs w:val="14"/>
          <w:color w:val="auto"/>
        </w:rPr>
      </w:pPr>
    </w:p>
    <w:p>
      <w:pPr>
        <w:ind w:left="500" w:hanging="12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providing that vacancies on the board of directors will be filled by the remaining directors then in office; and</w:t>
      </w:r>
    </w:p>
    <w:p>
      <w:pPr>
        <w:spacing w:after="0" w:line="170" w:lineRule="exact"/>
        <w:rPr>
          <w:rFonts w:ascii="Arial" w:cs="Arial" w:eastAsia="Arial" w:hAnsi="Arial"/>
          <w:sz w:val="14"/>
          <w:szCs w:val="14"/>
          <w:color w:val="auto"/>
        </w:rPr>
      </w:pPr>
    </w:p>
    <w:p>
      <w:pPr>
        <w:ind w:left="500" w:hanging="12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requiring advance notice for shareholder proposals and director nominees.</w:t>
      </w:r>
    </w:p>
    <w:p>
      <w:pPr>
        <w:spacing w:after="0" w:line="170" w:lineRule="exact"/>
        <w:rPr>
          <w:sz w:val="20"/>
          <w:szCs w:val="20"/>
          <w:color w:val="auto"/>
        </w:rPr>
      </w:pPr>
    </w:p>
    <w:p>
      <w:pPr>
        <w:ind w:firstLine="497"/>
        <w:spacing w:after="0" w:line="286" w:lineRule="auto"/>
        <w:rPr>
          <w:sz w:val="20"/>
          <w:szCs w:val="20"/>
          <w:color w:val="auto"/>
        </w:rPr>
      </w:pPr>
      <w:r>
        <w:rPr>
          <w:rFonts w:ascii="Arial" w:cs="Arial" w:eastAsia="Arial" w:hAnsi="Arial"/>
          <w:sz w:val="13"/>
          <w:szCs w:val="13"/>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12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174" w:lineRule="exact"/>
        <w:rPr>
          <w:sz w:val="20"/>
          <w:szCs w:val="20"/>
          <w:color w:val="auto"/>
        </w:rPr>
      </w:pPr>
    </w:p>
    <w:p>
      <w:pPr>
        <w:ind w:right="200" w:firstLine="372"/>
        <w:spacing w:after="0" w:line="267" w:lineRule="auto"/>
        <w:rPr>
          <w:sz w:val="20"/>
          <w:szCs w:val="20"/>
          <w:color w:val="auto"/>
        </w:rPr>
      </w:pPr>
      <w:r>
        <w:rPr>
          <w:rFonts w:ascii="Arial" w:cs="Arial" w:eastAsia="Arial" w:hAnsi="Arial"/>
          <w:sz w:val="14"/>
          <w:szCs w:val="14"/>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are involved in litigation of a routine nature and various legal matters, which are being defended and handled in the ordinary course of business.</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20" w:top="477"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6"/>
        </w:trPr>
        <w:tc>
          <w:tcPr>
            <w:tcW w:w="2320" w:type="dxa"/>
            <w:vAlign w:val="bottom"/>
          </w:tcPr>
          <w:p>
            <w:pPr>
              <w:spacing w:after="0"/>
              <w:rPr>
                <w:sz w:val="14"/>
                <w:szCs w:val="14"/>
                <w:color w:val="auto"/>
              </w:rPr>
            </w:pPr>
          </w:p>
        </w:tc>
        <w:tc>
          <w:tcPr>
            <w:tcW w:w="9140" w:type="dxa"/>
            <w:vAlign w:val="bottom"/>
          </w:tcPr>
          <w:p>
            <w:pPr>
              <w:jc w:val="center"/>
              <w:ind w:right="2231"/>
              <w:spacing w:after="0"/>
              <w:rPr>
                <w:sz w:val="20"/>
                <w:szCs w:val="20"/>
                <w:color w:val="auto"/>
              </w:rPr>
            </w:pPr>
            <w:r>
              <w:rPr>
                <w:rFonts w:ascii="Arial" w:cs="Arial" w:eastAsia="Arial" w:hAnsi="Arial"/>
                <w:sz w:val="14"/>
                <w:szCs w:val="14"/>
                <w:b w:val="1"/>
                <w:bCs w:val="1"/>
                <w:color w:val="auto"/>
                <w:w w:val="99"/>
              </w:rPr>
              <w:t>EXECUTIVE OFFICERS OF MANPOWERGROUP</w:t>
            </w:r>
          </w:p>
        </w:tc>
      </w:tr>
      <w:tr>
        <w:trPr>
          <w:trHeight w:val="179"/>
        </w:trPr>
        <w:tc>
          <w:tcPr>
            <w:tcW w:w="2320" w:type="dxa"/>
            <w:vAlign w:val="bottom"/>
          </w:tcPr>
          <w:p>
            <w:pPr>
              <w:spacing w:after="0"/>
              <w:rPr>
                <w:sz w:val="15"/>
                <w:szCs w:val="15"/>
                <w:color w:val="auto"/>
              </w:rPr>
            </w:pPr>
          </w:p>
        </w:tc>
        <w:tc>
          <w:tcPr>
            <w:tcW w:w="9140" w:type="dxa"/>
            <w:vAlign w:val="bottom"/>
          </w:tcPr>
          <w:p>
            <w:pPr>
              <w:jc w:val="center"/>
              <w:ind w:right="2231"/>
              <w:spacing w:after="0"/>
              <w:rPr>
                <w:sz w:val="20"/>
                <w:szCs w:val="20"/>
                <w:color w:val="auto"/>
              </w:rPr>
            </w:pPr>
            <w:r>
              <w:rPr>
                <w:rFonts w:ascii="Arial" w:cs="Arial" w:eastAsia="Arial" w:hAnsi="Arial"/>
                <w:sz w:val="14"/>
                <w:szCs w:val="14"/>
                <w:b w:val="1"/>
                <w:bCs w:val="1"/>
                <w:color w:val="auto"/>
                <w:w w:val="90"/>
              </w:rPr>
              <w:t>(as of February 17, 2017)</w:t>
            </w:r>
          </w:p>
        </w:tc>
      </w:tr>
      <w:tr>
        <w:trPr>
          <w:trHeight w:val="621"/>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Name of Officer</w:t>
            </w:r>
          </w:p>
        </w:tc>
        <w:tc>
          <w:tcPr>
            <w:tcW w:w="9140" w:type="dxa"/>
            <w:vAlign w:val="bottom"/>
          </w:tcPr>
          <w:p>
            <w:pPr>
              <w:ind w:left="700"/>
              <w:spacing w:after="0"/>
              <w:rPr>
                <w:sz w:val="20"/>
                <w:szCs w:val="20"/>
                <w:color w:val="auto"/>
              </w:rPr>
            </w:pPr>
            <w:r>
              <w:rPr>
                <w:rFonts w:ascii="Arial" w:cs="Arial" w:eastAsia="Arial" w:hAnsi="Arial"/>
                <w:sz w:val="14"/>
                <w:szCs w:val="14"/>
                <w:b w:val="1"/>
                <w:bCs w:val="1"/>
                <w:color w:val="auto"/>
              </w:rPr>
              <w:t>Office</w:t>
            </w:r>
          </w:p>
        </w:tc>
      </w:tr>
      <w:tr>
        <w:trPr>
          <w:trHeight w:val="23"/>
        </w:trPr>
        <w:tc>
          <w:tcPr>
            <w:tcW w:w="2320" w:type="dxa"/>
            <w:vAlign w:val="bottom"/>
            <w:tcBorders>
              <w:bottom w:val="single" w:sz="8" w:color="auto"/>
            </w:tcBorders>
          </w:tcPr>
          <w:p>
            <w:pPr>
              <w:spacing w:after="0" w:line="20" w:lineRule="exact"/>
              <w:rPr>
                <w:sz w:val="1"/>
                <w:szCs w:val="1"/>
                <w:color w:val="auto"/>
              </w:rPr>
            </w:pPr>
          </w:p>
        </w:tc>
        <w:tc>
          <w:tcPr>
            <w:tcW w:w="9140" w:type="dxa"/>
            <w:vAlign w:val="bottom"/>
            <w:tcBorders>
              <w:bottom w:val="single" w:sz="8" w:color="auto"/>
            </w:tcBorders>
          </w:tcPr>
          <w:p>
            <w:pPr>
              <w:spacing w:after="0" w:line="20" w:lineRule="exact"/>
              <w:rPr>
                <w:sz w:val="1"/>
                <w:szCs w:val="1"/>
                <w:color w:val="auto"/>
              </w:rPr>
            </w:pPr>
          </w:p>
        </w:tc>
      </w:tr>
      <w:tr>
        <w:trPr>
          <w:trHeight w:val="382"/>
        </w:trPr>
        <w:tc>
          <w:tcPr>
            <w:tcW w:w="2320" w:type="dxa"/>
            <w:vAlign w:val="bottom"/>
          </w:tcPr>
          <w:p>
            <w:pPr>
              <w:ind w:left="20"/>
              <w:spacing w:after="0"/>
              <w:rPr>
                <w:sz w:val="20"/>
                <w:szCs w:val="20"/>
                <w:color w:val="auto"/>
              </w:rPr>
            </w:pPr>
            <w:r>
              <w:rPr>
                <w:rFonts w:ascii="Arial" w:cs="Arial" w:eastAsia="Arial" w:hAnsi="Arial"/>
                <w:sz w:val="14"/>
                <w:szCs w:val="14"/>
                <w:color w:val="auto"/>
              </w:rPr>
              <w:t>Jonas Prising</w:t>
            </w:r>
          </w:p>
        </w:tc>
        <w:tc>
          <w:tcPr>
            <w:tcW w:w="9140" w:type="dxa"/>
            <w:vAlign w:val="bottom"/>
          </w:tcPr>
          <w:p>
            <w:pPr>
              <w:ind w:left="680"/>
              <w:spacing w:after="0"/>
              <w:rPr>
                <w:sz w:val="20"/>
                <w:szCs w:val="20"/>
                <w:color w:val="auto"/>
              </w:rPr>
            </w:pPr>
            <w:r>
              <w:rPr>
                <w:rFonts w:ascii="Arial" w:cs="Arial" w:eastAsia="Arial" w:hAnsi="Arial"/>
                <w:sz w:val="14"/>
                <w:szCs w:val="14"/>
                <w:color w:val="auto"/>
                <w:w w:val="90"/>
              </w:rPr>
              <w:t>Chairman of ManpowerGroup as of December 31, 2015. Chief Executive Officer of ManpowerGroup since May 2014. ManpowerGroup President from</w:t>
            </w:r>
          </w:p>
        </w:tc>
      </w:tr>
      <w:tr>
        <w:trPr>
          <w:trHeight w:val="166"/>
        </w:trPr>
        <w:tc>
          <w:tcPr>
            <w:tcW w:w="2320" w:type="dxa"/>
            <w:vAlign w:val="bottom"/>
          </w:tcPr>
          <w:p>
            <w:pPr>
              <w:ind w:left="20"/>
              <w:spacing w:after="0"/>
              <w:rPr>
                <w:sz w:val="20"/>
                <w:szCs w:val="20"/>
                <w:color w:val="auto"/>
              </w:rPr>
            </w:pPr>
            <w:r>
              <w:rPr>
                <w:rFonts w:ascii="Arial" w:cs="Arial" w:eastAsia="Arial" w:hAnsi="Arial"/>
                <w:sz w:val="14"/>
                <w:szCs w:val="14"/>
                <w:color w:val="auto"/>
              </w:rPr>
              <w:t>Age 52</w:t>
            </w:r>
          </w:p>
        </w:tc>
        <w:tc>
          <w:tcPr>
            <w:tcW w:w="9140" w:type="dxa"/>
            <w:vAlign w:val="bottom"/>
          </w:tcPr>
          <w:p>
            <w:pPr>
              <w:ind w:left="680"/>
              <w:spacing w:after="0"/>
              <w:rPr>
                <w:sz w:val="20"/>
                <w:szCs w:val="20"/>
                <w:color w:val="auto"/>
              </w:rPr>
            </w:pPr>
            <w:r>
              <w:rPr>
                <w:rFonts w:ascii="Arial" w:cs="Arial" w:eastAsia="Arial" w:hAnsi="Arial"/>
                <w:sz w:val="14"/>
                <w:szCs w:val="14"/>
                <w:color w:val="auto"/>
                <w:w w:val="91"/>
              </w:rPr>
              <w:t>November 2012 to May 2014. Executive Vice President, President of ManpowerGroup - the Americas from January 2009 to October 2012. Executive</w:t>
            </w:r>
          </w:p>
        </w:tc>
      </w:tr>
      <w:tr>
        <w:trPr>
          <w:trHeight w:val="166"/>
        </w:trPr>
        <w:tc>
          <w:tcPr>
            <w:tcW w:w="2320" w:type="dxa"/>
            <w:vAlign w:val="bottom"/>
          </w:tcPr>
          <w:p>
            <w:pPr>
              <w:spacing w:after="0"/>
              <w:rPr>
                <w:sz w:val="14"/>
                <w:szCs w:val="14"/>
                <w:color w:val="auto"/>
              </w:rPr>
            </w:pPr>
          </w:p>
        </w:tc>
        <w:tc>
          <w:tcPr>
            <w:tcW w:w="9140" w:type="dxa"/>
            <w:vAlign w:val="bottom"/>
          </w:tcPr>
          <w:p>
            <w:pPr>
              <w:ind w:left="680"/>
              <w:spacing w:after="0"/>
              <w:rPr>
                <w:sz w:val="20"/>
                <w:szCs w:val="20"/>
                <w:color w:val="auto"/>
              </w:rPr>
            </w:pPr>
            <w:r>
              <w:rPr>
                <w:rFonts w:ascii="Arial" w:cs="Arial" w:eastAsia="Arial" w:hAnsi="Arial"/>
                <w:sz w:val="14"/>
                <w:szCs w:val="14"/>
                <w:color w:val="auto"/>
                <w:w w:val="91"/>
              </w:rPr>
              <w:t>Vice President, President – United States and Canadian Operations from January 2006 to December 2008. A director of ManpowerGroup since May</w:t>
            </w:r>
          </w:p>
        </w:tc>
      </w:tr>
      <w:tr>
        <w:trPr>
          <w:trHeight w:val="175"/>
        </w:trPr>
        <w:tc>
          <w:tcPr>
            <w:tcW w:w="2320" w:type="dxa"/>
            <w:vAlign w:val="bottom"/>
          </w:tcPr>
          <w:p>
            <w:pPr>
              <w:spacing w:after="0"/>
              <w:rPr>
                <w:sz w:val="15"/>
                <w:szCs w:val="15"/>
                <w:color w:val="auto"/>
              </w:rPr>
            </w:pPr>
          </w:p>
        </w:tc>
        <w:tc>
          <w:tcPr>
            <w:tcW w:w="9140" w:type="dxa"/>
            <w:vAlign w:val="bottom"/>
          </w:tcPr>
          <w:p>
            <w:pPr>
              <w:ind w:left="680"/>
              <w:spacing w:after="0"/>
              <w:rPr>
                <w:sz w:val="20"/>
                <w:szCs w:val="20"/>
                <w:color w:val="auto"/>
              </w:rPr>
            </w:pPr>
            <w:r>
              <w:rPr>
                <w:rFonts w:ascii="Arial" w:cs="Arial" w:eastAsia="Arial" w:hAnsi="Arial"/>
                <w:sz w:val="14"/>
                <w:szCs w:val="14"/>
                <w:color w:val="auto"/>
              </w:rPr>
              <w:t>2014. An employee of ManpowerGroup since May 1999. A director of Kohl's Corporation since August 2015.</w:t>
            </w:r>
          </w:p>
        </w:tc>
      </w:tr>
      <w:tr>
        <w:trPr>
          <w:trHeight w:val="404"/>
        </w:trPr>
        <w:tc>
          <w:tcPr>
            <w:tcW w:w="2320" w:type="dxa"/>
            <w:vAlign w:val="bottom"/>
          </w:tcPr>
          <w:p>
            <w:pPr>
              <w:ind w:left="20"/>
              <w:spacing w:after="0"/>
              <w:rPr>
                <w:sz w:val="20"/>
                <w:szCs w:val="20"/>
                <w:color w:val="auto"/>
              </w:rPr>
            </w:pPr>
            <w:r>
              <w:rPr>
                <w:rFonts w:ascii="Arial" w:cs="Arial" w:eastAsia="Arial" w:hAnsi="Arial"/>
                <w:sz w:val="14"/>
                <w:szCs w:val="14"/>
                <w:color w:val="auto"/>
              </w:rPr>
              <w:t>Darryl Green</w:t>
            </w:r>
          </w:p>
        </w:tc>
        <w:tc>
          <w:tcPr>
            <w:tcW w:w="9140" w:type="dxa"/>
            <w:vAlign w:val="bottom"/>
          </w:tcPr>
          <w:p>
            <w:pPr>
              <w:ind w:left="680"/>
              <w:spacing w:after="0"/>
              <w:rPr>
                <w:sz w:val="20"/>
                <w:szCs w:val="20"/>
                <w:color w:val="auto"/>
              </w:rPr>
            </w:pPr>
            <w:r>
              <w:rPr>
                <w:rFonts w:ascii="Arial" w:cs="Arial" w:eastAsia="Arial" w:hAnsi="Arial"/>
                <w:sz w:val="14"/>
                <w:szCs w:val="14"/>
                <w:color w:val="auto"/>
                <w:w w:val="91"/>
              </w:rPr>
              <w:t>President and Chief Operating Officer of ManpowerGroup since May 2014. ManpowerGroup President from November 2012 to May 2014. Executive</w:t>
            </w:r>
          </w:p>
        </w:tc>
      </w:tr>
      <w:tr>
        <w:trPr>
          <w:trHeight w:val="166"/>
        </w:trPr>
        <w:tc>
          <w:tcPr>
            <w:tcW w:w="2320" w:type="dxa"/>
            <w:vAlign w:val="bottom"/>
          </w:tcPr>
          <w:p>
            <w:pPr>
              <w:ind w:left="20"/>
              <w:spacing w:after="0"/>
              <w:rPr>
                <w:sz w:val="20"/>
                <w:szCs w:val="20"/>
                <w:color w:val="auto"/>
              </w:rPr>
            </w:pPr>
            <w:r>
              <w:rPr>
                <w:rFonts w:ascii="Arial" w:cs="Arial" w:eastAsia="Arial" w:hAnsi="Arial"/>
                <w:sz w:val="14"/>
                <w:szCs w:val="14"/>
                <w:color w:val="auto"/>
              </w:rPr>
              <w:t>Age 56</w:t>
            </w:r>
          </w:p>
        </w:tc>
        <w:tc>
          <w:tcPr>
            <w:tcW w:w="9140" w:type="dxa"/>
            <w:vAlign w:val="bottom"/>
          </w:tcPr>
          <w:p>
            <w:pPr>
              <w:ind w:left="680"/>
              <w:spacing w:after="0"/>
              <w:rPr>
                <w:sz w:val="20"/>
                <w:szCs w:val="20"/>
                <w:color w:val="auto"/>
              </w:rPr>
            </w:pPr>
            <w:r>
              <w:rPr>
                <w:rFonts w:ascii="Arial" w:cs="Arial" w:eastAsia="Arial" w:hAnsi="Arial"/>
                <w:sz w:val="14"/>
                <w:szCs w:val="14"/>
                <w:color w:val="auto"/>
                <w:w w:val="90"/>
              </w:rPr>
              <w:t>Vice President, President of Asia Pacific and Middle East Operations from January 2009 to October 2012. Executive Vice President, President – Asia-</w:t>
            </w:r>
          </w:p>
        </w:tc>
      </w:tr>
      <w:tr>
        <w:trPr>
          <w:trHeight w:val="175"/>
        </w:trPr>
        <w:tc>
          <w:tcPr>
            <w:tcW w:w="2320" w:type="dxa"/>
            <w:vAlign w:val="bottom"/>
          </w:tcPr>
          <w:p>
            <w:pPr>
              <w:spacing w:after="0"/>
              <w:rPr>
                <w:sz w:val="15"/>
                <w:szCs w:val="15"/>
                <w:color w:val="auto"/>
              </w:rPr>
            </w:pPr>
          </w:p>
        </w:tc>
        <w:tc>
          <w:tcPr>
            <w:tcW w:w="9140" w:type="dxa"/>
            <w:vAlign w:val="bottom"/>
          </w:tcPr>
          <w:p>
            <w:pPr>
              <w:ind w:left="680"/>
              <w:spacing w:after="0"/>
              <w:rPr>
                <w:sz w:val="20"/>
                <w:szCs w:val="20"/>
                <w:color w:val="auto"/>
              </w:rPr>
            </w:pPr>
            <w:r>
              <w:rPr>
                <w:rFonts w:ascii="Arial" w:cs="Arial" w:eastAsia="Arial" w:hAnsi="Arial"/>
                <w:sz w:val="14"/>
                <w:szCs w:val="14"/>
                <w:color w:val="auto"/>
              </w:rPr>
              <w:t>Pacific Operations from May 2007 to December 2008. An employee of ManpowerGroup since May 2007.</w:t>
            </w:r>
          </w:p>
        </w:tc>
      </w:tr>
      <w:tr>
        <w:trPr>
          <w:trHeight w:val="446"/>
        </w:trPr>
        <w:tc>
          <w:tcPr>
            <w:tcW w:w="2320" w:type="dxa"/>
            <w:vAlign w:val="bottom"/>
          </w:tcPr>
          <w:p>
            <w:pPr>
              <w:ind w:left="20"/>
              <w:spacing w:after="0"/>
              <w:rPr>
                <w:sz w:val="20"/>
                <w:szCs w:val="20"/>
                <w:color w:val="auto"/>
              </w:rPr>
            </w:pPr>
            <w:r>
              <w:rPr>
                <w:rFonts w:ascii="Arial" w:cs="Arial" w:eastAsia="Arial" w:hAnsi="Arial"/>
                <w:sz w:val="14"/>
                <w:szCs w:val="14"/>
                <w:color w:val="auto"/>
              </w:rPr>
              <w:t>John T. McGinnis</w:t>
            </w:r>
          </w:p>
        </w:tc>
        <w:tc>
          <w:tcPr>
            <w:tcW w:w="9140" w:type="dxa"/>
            <w:vAlign w:val="bottom"/>
          </w:tcPr>
          <w:p>
            <w:pPr>
              <w:ind w:left="680"/>
              <w:spacing w:after="0"/>
              <w:rPr>
                <w:sz w:val="20"/>
                <w:szCs w:val="20"/>
                <w:color w:val="auto"/>
              </w:rPr>
            </w:pPr>
            <w:r>
              <w:rPr>
                <w:rFonts w:ascii="Arial" w:cs="Arial" w:eastAsia="Arial" w:hAnsi="Arial"/>
                <w:sz w:val="14"/>
                <w:szCs w:val="14"/>
                <w:color w:val="auto"/>
                <w:w w:val="91"/>
              </w:rPr>
              <w:t>Executive Vice President, Chief Financial Officer of ManpowerGroup since February 2016. Global Controller of Morgan Stanley from January 2014 to</w:t>
            </w:r>
          </w:p>
        </w:tc>
      </w:tr>
      <w:tr>
        <w:trPr>
          <w:trHeight w:val="166"/>
        </w:trPr>
        <w:tc>
          <w:tcPr>
            <w:tcW w:w="2320" w:type="dxa"/>
            <w:vAlign w:val="bottom"/>
          </w:tcPr>
          <w:p>
            <w:pPr>
              <w:ind w:left="20"/>
              <w:spacing w:after="0"/>
              <w:rPr>
                <w:sz w:val="20"/>
                <w:szCs w:val="20"/>
                <w:color w:val="auto"/>
              </w:rPr>
            </w:pPr>
            <w:r>
              <w:rPr>
                <w:rFonts w:ascii="Arial" w:cs="Arial" w:eastAsia="Arial" w:hAnsi="Arial"/>
                <w:sz w:val="14"/>
                <w:szCs w:val="14"/>
                <w:color w:val="auto"/>
              </w:rPr>
              <w:t>Age 50</w:t>
            </w:r>
          </w:p>
        </w:tc>
        <w:tc>
          <w:tcPr>
            <w:tcW w:w="9140" w:type="dxa"/>
            <w:vAlign w:val="bottom"/>
          </w:tcPr>
          <w:p>
            <w:pPr>
              <w:ind w:left="680"/>
              <w:spacing w:after="0"/>
              <w:rPr>
                <w:sz w:val="20"/>
                <w:szCs w:val="20"/>
                <w:color w:val="auto"/>
              </w:rPr>
            </w:pPr>
            <w:r>
              <w:rPr>
                <w:rFonts w:ascii="Arial" w:cs="Arial" w:eastAsia="Arial" w:hAnsi="Arial"/>
                <w:sz w:val="14"/>
                <w:szCs w:val="14"/>
                <w:color w:val="auto"/>
                <w:w w:val="93"/>
              </w:rPr>
              <w:t>February 2016. Chief Financial Officer, HSBC North America from July 2012 to January 2014. Chief Financial Officer, HSBC Bank USA from July</w:t>
            </w:r>
          </w:p>
        </w:tc>
      </w:tr>
      <w:tr>
        <w:trPr>
          <w:trHeight w:val="175"/>
        </w:trPr>
        <w:tc>
          <w:tcPr>
            <w:tcW w:w="2320" w:type="dxa"/>
            <w:vAlign w:val="bottom"/>
          </w:tcPr>
          <w:p>
            <w:pPr>
              <w:spacing w:after="0"/>
              <w:rPr>
                <w:sz w:val="15"/>
                <w:szCs w:val="15"/>
                <w:color w:val="auto"/>
              </w:rPr>
            </w:pPr>
          </w:p>
        </w:tc>
        <w:tc>
          <w:tcPr>
            <w:tcW w:w="9140" w:type="dxa"/>
            <w:vAlign w:val="bottom"/>
          </w:tcPr>
          <w:p>
            <w:pPr>
              <w:ind w:left="680"/>
              <w:spacing w:after="0"/>
              <w:rPr>
                <w:sz w:val="20"/>
                <w:szCs w:val="20"/>
                <w:color w:val="auto"/>
              </w:rPr>
            </w:pPr>
            <w:r>
              <w:rPr>
                <w:rFonts w:ascii="Arial" w:cs="Arial" w:eastAsia="Arial" w:hAnsi="Arial"/>
                <w:sz w:val="14"/>
                <w:szCs w:val="14"/>
                <w:color w:val="auto"/>
              </w:rPr>
              <w:t>2010 to January 2014. An employee of ManpowerGroup since February 2016.</w:t>
            </w:r>
          </w:p>
        </w:tc>
      </w:tr>
      <w:tr>
        <w:trPr>
          <w:trHeight w:val="404"/>
        </w:trPr>
        <w:tc>
          <w:tcPr>
            <w:tcW w:w="2320" w:type="dxa"/>
            <w:vAlign w:val="bottom"/>
          </w:tcPr>
          <w:p>
            <w:pPr>
              <w:ind w:left="20"/>
              <w:spacing w:after="0"/>
              <w:rPr>
                <w:sz w:val="20"/>
                <w:szCs w:val="20"/>
                <w:color w:val="auto"/>
              </w:rPr>
            </w:pPr>
            <w:r>
              <w:rPr>
                <w:rFonts w:ascii="Arial" w:cs="Arial" w:eastAsia="Arial" w:hAnsi="Arial"/>
                <w:sz w:val="14"/>
                <w:szCs w:val="14"/>
                <w:color w:val="auto"/>
              </w:rPr>
              <w:t>Mara E. Swan</w:t>
            </w:r>
          </w:p>
        </w:tc>
        <w:tc>
          <w:tcPr>
            <w:tcW w:w="9140" w:type="dxa"/>
            <w:vAlign w:val="bottom"/>
          </w:tcPr>
          <w:p>
            <w:pPr>
              <w:ind w:left="680"/>
              <w:spacing w:after="0"/>
              <w:rPr>
                <w:sz w:val="20"/>
                <w:szCs w:val="20"/>
                <w:color w:val="auto"/>
              </w:rPr>
            </w:pPr>
            <w:r>
              <w:rPr>
                <w:rFonts w:ascii="Arial" w:cs="Arial" w:eastAsia="Arial" w:hAnsi="Arial"/>
                <w:sz w:val="14"/>
                <w:szCs w:val="14"/>
                <w:color w:val="auto"/>
                <w:w w:val="92"/>
              </w:rPr>
              <w:t>Executive Vice President - Global Strategy and Talent since January 2009. Senior Vice President of Global Human Resources from August 2005 to</w:t>
            </w:r>
          </w:p>
        </w:tc>
      </w:tr>
      <w:tr>
        <w:trPr>
          <w:trHeight w:val="175"/>
        </w:trPr>
        <w:tc>
          <w:tcPr>
            <w:tcW w:w="2320" w:type="dxa"/>
            <w:vAlign w:val="bottom"/>
          </w:tcPr>
          <w:p>
            <w:pPr>
              <w:ind w:left="20"/>
              <w:spacing w:after="0"/>
              <w:rPr>
                <w:sz w:val="20"/>
                <w:szCs w:val="20"/>
                <w:color w:val="auto"/>
              </w:rPr>
            </w:pPr>
            <w:r>
              <w:rPr>
                <w:rFonts w:ascii="Arial" w:cs="Arial" w:eastAsia="Arial" w:hAnsi="Arial"/>
                <w:sz w:val="14"/>
                <w:szCs w:val="14"/>
                <w:color w:val="auto"/>
              </w:rPr>
              <w:t>Age 57</w:t>
            </w:r>
          </w:p>
        </w:tc>
        <w:tc>
          <w:tcPr>
            <w:tcW w:w="9140" w:type="dxa"/>
            <w:vAlign w:val="bottom"/>
          </w:tcPr>
          <w:p>
            <w:pPr>
              <w:ind w:left="680"/>
              <w:spacing w:after="0"/>
              <w:rPr>
                <w:sz w:val="20"/>
                <w:szCs w:val="20"/>
                <w:color w:val="auto"/>
              </w:rPr>
            </w:pPr>
            <w:r>
              <w:rPr>
                <w:rFonts w:ascii="Arial" w:cs="Arial" w:eastAsia="Arial" w:hAnsi="Arial"/>
                <w:sz w:val="14"/>
                <w:szCs w:val="14"/>
                <w:color w:val="auto"/>
              </w:rPr>
              <w:t>December 2008. An employee of ManpowerGroup since August 2005. A director of GOJO Industries since November 2012.</w:t>
            </w:r>
          </w:p>
        </w:tc>
      </w:tr>
      <w:tr>
        <w:trPr>
          <w:trHeight w:val="404"/>
        </w:trPr>
        <w:tc>
          <w:tcPr>
            <w:tcW w:w="2320" w:type="dxa"/>
            <w:vAlign w:val="bottom"/>
          </w:tcPr>
          <w:p>
            <w:pPr>
              <w:ind w:left="20"/>
              <w:spacing w:after="0"/>
              <w:rPr>
                <w:sz w:val="20"/>
                <w:szCs w:val="20"/>
                <w:color w:val="auto"/>
              </w:rPr>
            </w:pPr>
            <w:r>
              <w:rPr>
                <w:rFonts w:ascii="Arial" w:cs="Arial" w:eastAsia="Arial" w:hAnsi="Arial"/>
                <w:sz w:val="14"/>
                <w:szCs w:val="14"/>
                <w:color w:val="auto"/>
              </w:rPr>
              <w:t>Siram “Ram” Chandrashekar</w:t>
            </w:r>
          </w:p>
        </w:tc>
        <w:tc>
          <w:tcPr>
            <w:tcW w:w="9140" w:type="dxa"/>
            <w:vAlign w:val="bottom"/>
          </w:tcPr>
          <w:p>
            <w:pPr>
              <w:ind w:left="680"/>
              <w:spacing w:after="0"/>
              <w:rPr>
                <w:sz w:val="20"/>
                <w:szCs w:val="20"/>
                <w:color w:val="auto"/>
              </w:rPr>
            </w:pPr>
            <w:r>
              <w:rPr>
                <w:rFonts w:ascii="Arial" w:cs="Arial" w:eastAsia="Arial" w:hAnsi="Arial"/>
                <w:sz w:val="14"/>
                <w:szCs w:val="14"/>
                <w:color w:val="auto"/>
                <w:w w:val="90"/>
              </w:rPr>
              <w:t>Executive Vice President, Operational Excellence and IT, and President of Asia Pacific Middle East Region since February 2014. Senior Vice President</w:t>
            </w:r>
          </w:p>
        </w:tc>
      </w:tr>
      <w:tr>
        <w:trPr>
          <w:trHeight w:val="166"/>
        </w:trPr>
        <w:tc>
          <w:tcPr>
            <w:tcW w:w="2320" w:type="dxa"/>
            <w:vAlign w:val="bottom"/>
          </w:tcPr>
          <w:p>
            <w:pPr>
              <w:ind w:left="20"/>
              <w:spacing w:after="0"/>
              <w:rPr>
                <w:sz w:val="20"/>
                <w:szCs w:val="20"/>
                <w:color w:val="auto"/>
              </w:rPr>
            </w:pPr>
            <w:r>
              <w:rPr>
                <w:rFonts w:ascii="Arial" w:cs="Arial" w:eastAsia="Arial" w:hAnsi="Arial"/>
                <w:sz w:val="14"/>
                <w:szCs w:val="14"/>
                <w:color w:val="auto"/>
              </w:rPr>
              <w:t>Age 50</w:t>
            </w:r>
          </w:p>
        </w:tc>
        <w:tc>
          <w:tcPr>
            <w:tcW w:w="9140" w:type="dxa"/>
            <w:vAlign w:val="bottom"/>
          </w:tcPr>
          <w:p>
            <w:pPr>
              <w:ind w:left="680"/>
              <w:spacing w:after="0"/>
              <w:rPr>
                <w:sz w:val="20"/>
                <w:szCs w:val="20"/>
                <w:color w:val="auto"/>
              </w:rPr>
            </w:pPr>
            <w:r>
              <w:rPr>
                <w:rFonts w:ascii="Arial" w:cs="Arial" w:eastAsia="Arial" w:hAnsi="Arial"/>
                <w:sz w:val="14"/>
                <w:szCs w:val="14"/>
                <w:color w:val="auto"/>
                <w:w w:val="92"/>
              </w:rPr>
              <w:t>of Operational Excellence and IT from October 2012 to February 2014. Chief Operating Officer of Asia Pacific Middle East Region from April 2008 to</w:t>
            </w:r>
          </w:p>
        </w:tc>
      </w:tr>
      <w:tr>
        <w:trPr>
          <w:trHeight w:val="175"/>
        </w:trPr>
        <w:tc>
          <w:tcPr>
            <w:tcW w:w="2320" w:type="dxa"/>
            <w:vAlign w:val="bottom"/>
          </w:tcPr>
          <w:p>
            <w:pPr>
              <w:spacing w:after="0"/>
              <w:rPr>
                <w:sz w:val="15"/>
                <w:szCs w:val="15"/>
                <w:color w:val="auto"/>
              </w:rPr>
            </w:pPr>
          </w:p>
        </w:tc>
        <w:tc>
          <w:tcPr>
            <w:tcW w:w="9140" w:type="dxa"/>
            <w:vAlign w:val="bottom"/>
          </w:tcPr>
          <w:p>
            <w:pPr>
              <w:ind w:left="680"/>
              <w:spacing w:after="0"/>
              <w:rPr>
                <w:sz w:val="20"/>
                <w:szCs w:val="20"/>
                <w:color w:val="auto"/>
              </w:rPr>
            </w:pPr>
            <w:r>
              <w:rPr>
                <w:rFonts w:ascii="Arial" w:cs="Arial" w:eastAsia="Arial" w:hAnsi="Arial"/>
                <w:sz w:val="14"/>
                <w:szCs w:val="14"/>
                <w:color w:val="auto"/>
              </w:rPr>
              <w:t>October 2012. An employee of ManpowerGroup since April 2008.</w:t>
            </w:r>
          </w:p>
        </w:tc>
      </w:tr>
      <w:tr>
        <w:trPr>
          <w:trHeight w:val="404"/>
        </w:trPr>
        <w:tc>
          <w:tcPr>
            <w:tcW w:w="2320" w:type="dxa"/>
            <w:vAlign w:val="bottom"/>
          </w:tcPr>
          <w:p>
            <w:pPr>
              <w:ind w:left="20"/>
              <w:spacing w:after="0"/>
              <w:rPr>
                <w:sz w:val="20"/>
                <w:szCs w:val="20"/>
                <w:color w:val="auto"/>
              </w:rPr>
            </w:pPr>
            <w:r>
              <w:rPr>
                <w:rFonts w:ascii="Arial" w:cs="Arial" w:eastAsia="Arial" w:hAnsi="Arial"/>
                <w:sz w:val="14"/>
                <w:szCs w:val="14"/>
                <w:color w:val="auto"/>
              </w:rPr>
              <w:t>Richard D. Buchband</w:t>
            </w:r>
          </w:p>
        </w:tc>
        <w:tc>
          <w:tcPr>
            <w:tcW w:w="9140" w:type="dxa"/>
            <w:vAlign w:val="bottom"/>
          </w:tcPr>
          <w:p>
            <w:pPr>
              <w:ind w:left="680"/>
              <w:spacing w:after="0"/>
              <w:rPr>
                <w:sz w:val="20"/>
                <w:szCs w:val="20"/>
                <w:color w:val="auto"/>
              </w:rPr>
            </w:pPr>
            <w:r>
              <w:rPr>
                <w:rFonts w:ascii="Arial" w:cs="Arial" w:eastAsia="Arial" w:hAnsi="Arial"/>
                <w:sz w:val="14"/>
                <w:szCs w:val="14"/>
                <w:color w:val="auto"/>
                <w:w w:val="95"/>
              </w:rPr>
              <w:t>Senior Vice President, General Counsel and Secretary of ManpowerGroup since January 2013. Prior to joining ManpowerGroup, a partner and</w:t>
            </w:r>
          </w:p>
        </w:tc>
      </w:tr>
      <w:tr>
        <w:trPr>
          <w:trHeight w:val="175"/>
        </w:trPr>
        <w:tc>
          <w:tcPr>
            <w:tcW w:w="2320" w:type="dxa"/>
            <w:vAlign w:val="bottom"/>
          </w:tcPr>
          <w:p>
            <w:pPr>
              <w:ind w:left="20"/>
              <w:spacing w:after="0"/>
              <w:rPr>
                <w:sz w:val="20"/>
                <w:szCs w:val="20"/>
                <w:color w:val="auto"/>
              </w:rPr>
            </w:pPr>
            <w:r>
              <w:rPr>
                <w:rFonts w:ascii="Arial" w:cs="Arial" w:eastAsia="Arial" w:hAnsi="Arial"/>
                <w:sz w:val="14"/>
                <w:szCs w:val="14"/>
                <w:color w:val="auto"/>
              </w:rPr>
              <w:t>Age 53</w:t>
            </w:r>
          </w:p>
        </w:tc>
        <w:tc>
          <w:tcPr>
            <w:tcW w:w="9140" w:type="dxa"/>
            <w:vAlign w:val="bottom"/>
          </w:tcPr>
          <w:p>
            <w:pPr>
              <w:ind w:left="680"/>
              <w:spacing w:after="0"/>
              <w:rPr>
                <w:sz w:val="20"/>
                <w:szCs w:val="20"/>
                <w:color w:val="auto"/>
              </w:rPr>
            </w:pPr>
            <w:r>
              <w:rPr>
                <w:rFonts w:ascii="Arial" w:cs="Arial" w:eastAsia="Arial" w:hAnsi="Arial"/>
                <w:sz w:val="14"/>
                <w:szCs w:val="14"/>
                <w:color w:val="auto"/>
              </w:rPr>
              <w:t>Associate General Counsel for Accenture plc from 2006 to 2011. An employee of ManpowerGroup since January 2013.</w:t>
            </w:r>
          </w:p>
        </w:tc>
      </w:tr>
      <w:tr>
        <w:trPr>
          <w:trHeight w:val="372"/>
        </w:trPr>
        <w:tc>
          <w:tcPr>
            <w:tcW w:w="2320" w:type="dxa"/>
            <w:vAlign w:val="bottom"/>
          </w:tcPr>
          <w:p>
            <w:pPr>
              <w:spacing w:after="0"/>
              <w:rPr>
                <w:sz w:val="24"/>
                <w:szCs w:val="24"/>
                <w:color w:val="auto"/>
              </w:rPr>
            </w:pPr>
          </w:p>
        </w:tc>
        <w:tc>
          <w:tcPr>
            <w:tcW w:w="9140" w:type="dxa"/>
            <w:vAlign w:val="bottom"/>
          </w:tcPr>
          <w:p>
            <w:pPr>
              <w:jc w:val="center"/>
              <w:ind w:right="2251"/>
              <w:spacing w:after="0"/>
              <w:rPr>
                <w:sz w:val="20"/>
                <w:szCs w:val="20"/>
                <w:color w:val="auto"/>
              </w:rPr>
            </w:pPr>
            <w:r>
              <w:rPr>
                <w:rFonts w:ascii="Arial" w:cs="Arial" w:eastAsia="Arial" w:hAnsi="Arial"/>
                <w:sz w:val="14"/>
                <w:szCs w:val="14"/>
                <w:color w:val="auto"/>
                <w:w w:val="89"/>
              </w:rPr>
              <w:t>19</w:t>
            </w:r>
          </w:p>
        </w:tc>
      </w:tr>
    </w:tbl>
    <w:p>
      <w:pPr>
        <w:sectPr>
          <w:pgSz w:w="11900" w:h="16838" w:orient="portrait"/>
          <w:cols w:equalWidth="0" w:num="1">
            <w:col w:w="11460"/>
          </w:cols>
          <w:pgMar w:left="220" w:top="476" w:right="219" w:bottom="1440" w:gutter="0" w:footer="0" w:header="0"/>
        </w:sectPr>
      </w:pPr>
    </w:p>
    <w:bookmarkStart w:id="19" w:name="page20"/>
    <w:bookmarkEnd w:id="19"/>
    <w:p>
      <w:pPr>
        <w:jc w:val="center"/>
        <w:ind w:right="-259"/>
        <w:spacing w:after="0"/>
        <w:rPr>
          <w:sz w:val="20"/>
          <w:szCs w:val="20"/>
          <w:color w:val="auto"/>
        </w:rPr>
      </w:pPr>
      <w:r>
        <w:rPr>
          <w:rFonts w:ascii="Arial" w:cs="Arial" w:eastAsia="Arial" w:hAnsi="Arial"/>
          <w:sz w:val="14"/>
          <w:szCs w:val="14"/>
          <w:b w:val="1"/>
          <w:bCs w:val="1"/>
          <w:color w:val="auto"/>
        </w:rPr>
        <w:t>OTHER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Audit Committee Approval of Audit-Related and Non-Audit Services</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The Audit Committee of our Board of Directors has approved the following audit-related and non-audit services performed or to be performed for us by our independent registered public accounting firm,</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Deloitte &amp; Touche LLP and Affiliates, in 2016:</w:t>
      </w:r>
    </w:p>
    <w:p>
      <w:pPr>
        <w:spacing w:after="0" w:line="161" w:lineRule="exact"/>
        <w:rPr>
          <w:sz w:val="20"/>
          <w:szCs w:val="20"/>
          <w:color w:val="auto"/>
        </w:rPr>
      </w:pPr>
    </w:p>
    <w:p>
      <w:pPr>
        <w:ind w:left="260" w:hanging="257"/>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preparation and/or review of tax returns, including sales and use tax, excise tax, income tax, local tax, property tax, and value-added tax;</w:t>
      </w:r>
    </w:p>
    <w:p>
      <w:pPr>
        <w:spacing w:after="0" w:line="170" w:lineRule="exact"/>
        <w:rPr>
          <w:rFonts w:ascii="Arial" w:cs="Arial" w:eastAsia="Arial" w:hAnsi="Arial"/>
          <w:sz w:val="14"/>
          <w:szCs w:val="14"/>
          <w:color w:val="auto"/>
        </w:rPr>
      </w:pPr>
    </w:p>
    <w:p>
      <w:pPr>
        <w:ind w:left="260" w:hanging="257"/>
        <w:spacing w:after="0" w:line="267"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38" w:lineRule="exact"/>
        <w:rPr>
          <w:rFonts w:ascii="Arial" w:cs="Arial" w:eastAsia="Arial" w:hAnsi="Arial"/>
          <w:sz w:val="14"/>
          <w:szCs w:val="14"/>
          <w:color w:val="auto"/>
        </w:rPr>
      </w:pPr>
    </w:p>
    <w:p>
      <w:pPr>
        <w:ind w:left="260" w:hanging="257"/>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audit services with respect to certain procedures and certifications where required.</w:t>
      </w: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220" w:top="477" w:right="4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PART II</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1"/>
          <w:szCs w:val="11"/>
          <w:b w:val="1"/>
          <w:bCs w:val="1"/>
          <w:color w:val="auto"/>
        </w:rPr>
        <w:t>Market for Registrant’s Common Equity, Related Shareholder Matters and Issuer Purchases of Equity Securities</w:t>
      </w:r>
    </w:p>
    <w:p>
      <w:pPr>
        <w:spacing w:after="0" w:line="174" w:lineRule="exact"/>
        <w:rPr>
          <w:sz w:val="20"/>
          <w:szCs w:val="20"/>
          <w:color w:val="auto"/>
        </w:rPr>
      </w:pPr>
    </w:p>
    <w:p>
      <w:pPr>
        <w:ind w:right="180" w:firstLine="497"/>
        <w:spacing w:after="0" w:line="286" w:lineRule="auto"/>
        <w:rPr>
          <w:sz w:val="20"/>
          <w:szCs w:val="20"/>
          <w:color w:val="auto"/>
        </w:rPr>
      </w:pPr>
      <w:r>
        <w:rPr>
          <w:rFonts w:ascii="Arial" w:cs="Arial" w:eastAsia="Arial" w:hAnsi="Arial"/>
          <w:sz w:val="13"/>
          <w:szCs w:val="13"/>
          <w:color w:val="auto"/>
        </w:rPr>
        <w:t>In July 2016, the Board of Directors authorized the repurchase of 6.0 million shares of our common stock. We conduct share repurchases from time to time through a variety of methods, including open market purchases, block transactions, privately negotiated transactions or similar facilities. As of December 31, 2016, there were 4.8 million shares remaining authorized for repurchase under this authorization. The following table shows the total amount of shares repurchased under this authorization during the fourth quarter of 2016.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27837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1333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 of</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r>
      <w:tr>
        <w:trPr>
          <w:trHeight w:val="166"/>
        </w:trPr>
        <w:tc>
          <w:tcPr>
            <w:tcW w:w="2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Average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5"/>
              </w:rPr>
              <w:t>shares purchased</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r>
      <w:tr>
        <w:trPr>
          <w:trHeight w:val="166"/>
        </w:trPr>
        <w:tc>
          <w:tcPr>
            <w:tcW w:w="2660" w:type="dxa"/>
            <w:vAlign w:val="bottom"/>
          </w:tcPr>
          <w:p>
            <w:pPr>
              <w:spacing w:after="0"/>
              <w:rPr>
                <w:sz w:val="14"/>
                <w:szCs w:val="14"/>
                <w:color w:val="auto"/>
              </w:rPr>
            </w:pPr>
          </w:p>
        </w:tc>
        <w:tc>
          <w:tcPr>
            <w:tcW w:w="184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 number of</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price paid</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as part of publicly</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8"/>
              </w:rPr>
              <w:t>that may yet be</w:t>
            </w:r>
          </w:p>
        </w:tc>
      </w:tr>
      <w:tr>
        <w:trPr>
          <w:trHeight w:val="179"/>
        </w:trPr>
        <w:tc>
          <w:tcPr>
            <w:tcW w:w="2660" w:type="dxa"/>
            <w:vAlign w:val="bottom"/>
          </w:tcPr>
          <w:p>
            <w:pPr>
              <w:spacing w:after="0"/>
              <w:rPr>
                <w:sz w:val="15"/>
                <w:szCs w:val="15"/>
                <w:color w:val="auto"/>
              </w:rPr>
            </w:pPr>
          </w:p>
        </w:tc>
        <w:tc>
          <w:tcPr>
            <w:tcW w:w="1840" w:type="dxa"/>
            <w:vAlign w:val="bottom"/>
          </w:tcPr>
          <w:p>
            <w:pPr>
              <w:jc w:val="right"/>
              <w:ind w:right="351"/>
              <w:spacing w:after="0"/>
              <w:rPr>
                <w:sz w:val="20"/>
                <w:szCs w:val="20"/>
                <w:color w:val="auto"/>
              </w:rPr>
            </w:pPr>
            <w:r>
              <w:rPr>
                <w:rFonts w:ascii="Arial" w:cs="Arial" w:eastAsia="Arial" w:hAnsi="Arial"/>
                <w:sz w:val="14"/>
                <w:szCs w:val="14"/>
                <w:b w:val="1"/>
                <w:bCs w:val="1"/>
                <w:color w:val="auto"/>
              </w:rPr>
              <w:t>shares purchased</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per share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announced plan or programs</w:t>
            </w:r>
          </w:p>
        </w:tc>
        <w:tc>
          <w:tcPr>
            <w:tcW w:w="120" w:type="dxa"/>
            <w:vAlign w:val="bottom"/>
          </w:tcPr>
          <w:p>
            <w:pPr>
              <w:spacing w:after="0"/>
              <w:rPr>
                <w:sz w:val="15"/>
                <w:szCs w:val="15"/>
                <w:color w:val="auto"/>
              </w:rPr>
            </w:pPr>
          </w:p>
        </w:tc>
        <w:tc>
          <w:tcPr>
            <w:tcW w:w="250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purchased under the plan or programs</w:t>
            </w:r>
          </w:p>
        </w:tc>
      </w:tr>
      <w:tr>
        <w:trPr>
          <w:trHeight w:val="23"/>
        </w:trPr>
        <w:tc>
          <w:tcPr>
            <w:tcW w:w="26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18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October 1 - 31, 2016</w:t>
            </w:r>
          </w:p>
        </w:tc>
        <w:tc>
          <w:tcPr>
            <w:tcW w:w="1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1,069</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0"/>
                <w:szCs w:val="10"/>
                <w:color w:val="auto"/>
                <w:w w:val="97"/>
              </w:rPr>
              <w:t>(1)</w:t>
            </w:r>
          </w:p>
        </w:tc>
        <w:tc>
          <w:tcPr>
            <w:tcW w:w="3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262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4,987,244</w:t>
            </w:r>
          </w:p>
        </w:tc>
      </w:tr>
      <w:tr>
        <w:trPr>
          <w:trHeight w:val="185"/>
        </w:trPr>
        <w:tc>
          <w:tcPr>
            <w:tcW w:w="2660" w:type="dxa"/>
            <w:vAlign w:val="bottom"/>
          </w:tcPr>
          <w:p>
            <w:pPr>
              <w:ind w:left="20"/>
              <w:spacing w:after="0"/>
              <w:rPr>
                <w:sz w:val="20"/>
                <w:szCs w:val="20"/>
                <w:color w:val="auto"/>
              </w:rPr>
            </w:pPr>
            <w:r>
              <w:rPr>
                <w:rFonts w:ascii="Arial" w:cs="Arial" w:eastAsia="Arial" w:hAnsi="Arial"/>
                <w:sz w:val="14"/>
                <w:szCs w:val="14"/>
                <w:color w:val="auto"/>
              </w:rPr>
              <w:t>November 1 - 30, 2016</w:t>
            </w:r>
          </w:p>
        </w:tc>
        <w:tc>
          <w:tcPr>
            <w:tcW w:w="1840" w:type="dxa"/>
            <w:vAlign w:val="bottom"/>
          </w:tcPr>
          <w:p>
            <w:pPr>
              <w:jc w:val="right"/>
              <w:ind w:right="51"/>
              <w:spacing w:after="0"/>
              <w:rPr>
                <w:sz w:val="20"/>
                <w:szCs w:val="20"/>
                <w:color w:val="auto"/>
              </w:rPr>
            </w:pPr>
            <w:r>
              <w:rPr>
                <w:rFonts w:ascii="Arial" w:cs="Arial" w:eastAsia="Arial" w:hAnsi="Arial"/>
                <w:sz w:val="14"/>
                <w:szCs w:val="14"/>
                <w:color w:val="auto"/>
              </w:rPr>
              <w:t>155,317</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81.10</w:t>
            </w:r>
          </w:p>
        </w:tc>
        <w:tc>
          <w:tcPr>
            <w:tcW w:w="100" w:type="dxa"/>
            <w:vAlign w:val="bottom"/>
          </w:tcPr>
          <w:p>
            <w:pPr>
              <w:spacing w:after="0"/>
              <w:rPr>
                <w:sz w:val="16"/>
                <w:szCs w:val="16"/>
                <w:color w:val="auto"/>
              </w:rPr>
            </w:pPr>
          </w:p>
        </w:tc>
        <w:tc>
          <w:tcPr>
            <w:tcW w:w="2180" w:type="dxa"/>
            <w:vAlign w:val="bottom"/>
          </w:tcPr>
          <w:p>
            <w:pPr>
              <w:jc w:val="right"/>
              <w:ind w:right="51"/>
              <w:spacing w:after="0"/>
              <w:rPr>
                <w:sz w:val="20"/>
                <w:szCs w:val="20"/>
                <w:color w:val="auto"/>
              </w:rPr>
            </w:pPr>
            <w:r>
              <w:rPr>
                <w:rFonts w:ascii="Arial" w:cs="Arial" w:eastAsia="Arial" w:hAnsi="Arial"/>
                <w:sz w:val="14"/>
                <w:szCs w:val="14"/>
                <w:color w:val="auto"/>
              </w:rPr>
              <w:t>155,317</w:t>
            </w:r>
          </w:p>
        </w:tc>
        <w:tc>
          <w:tcPr>
            <w:tcW w:w="2620" w:type="dxa"/>
            <w:vAlign w:val="bottom"/>
            <w:gridSpan w:val="2"/>
          </w:tcPr>
          <w:p>
            <w:pPr>
              <w:jc w:val="right"/>
              <w:ind w:right="31"/>
              <w:spacing w:after="0"/>
              <w:rPr>
                <w:sz w:val="20"/>
                <w:szCs w:val="20"/>
                <w:color w:val="auto"/>
              </w:rPr>
            </w:pPr>
            <w:r>
              <w:rPr>
                <w:rFonts w:ascii="Arial" w:cs="Arial" w:eastAsia="Arial" w:hAnsi="Arial"/>
                <w:sz w:val="14"/>
                <w:szCs w:val="14"/>
                <w:color w:val="auto"/>
              </w:rPr>
              <w:t>4,831,927</w:t>
            </w:r>
          </w:p>
        </w:tc>
      </w:tr>
      <w:tr>
        <w:trPr>
          <w:trHeight w:val="22"/>
        </w:trPr>
        <w:tc>
          <w:tcPr>
            <w:tcW w:w="2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0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1 - 31, 2016</w:t>
            </w:r>
          </w:p>
        </w:tc>
        <w:tc>
          <w:tcPr>
            <w:tcW w:w="1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81,207</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86.28</w:t>
            </w: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81,207</w:t>
            </w:r>
          </w:p>
        </w:tc>
        <w:tc>
          <w:tcPr>
            <w:tcW w:w="262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4,750,720</w:t>
            </w:r>
          </w:p>
        </w:tc>
      </w:tr>
      <w:tr>
        <w:trPr>
          <w:trHeight w:val="191"/>
        </w:trPr>
        <w:tc>
          <w:tcPr>
            <w:tcW w:w="2660" w:type="dxa"/>
            <w:vAlign w:val="bottom"/>
          </w:tcPr>
          <w:p>
            <w:pPr>
              <w:ind w:left="260"/>
              <w:spacing w:after="0"/>
              <w:rPr>
                <w:sz w:val="20"/>
                <w:szCs w:val="20"/>
                <w:color w:val="auto"/>
              </w:rPr>
            </w:pPr>
            <w:r>
              <w:rPr>
                <w:rFonts w:ascii="Arial" w:cs="Arial" w:eastAsia="Arial" w:hAnsi="Arial"/>
                <w:sz w:val="14"/>
                <w:szCs w:val="14"/>
                <w:color w:val="auto"/>
              </w:rPr>
              <w:t>Total</w:t>
            </w:r>
          </w:p>
        </w:tc>
        <w:tc>
          <w:tcPr>
            <w:tcW w:w="18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237,593</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82.88</w:t>
            </w:r>
          </w:p>
        </w:tc>
        <w:tc>
          <w:tcPr>
            <w:tcW w:w="100" w:type="dxa"/>
            <w:vAlign w:val="bottom"/>
          </w:tcPr>
          <w:p>
            <w:pPr>
              <w:spacing w:after="0"/>
              <w:rPr>
                <w:sz w:val="16"/>
                <w:szCs w:val="16"/>
                <w:color w:val="auto"/>
              </w:rPr>
            </w:pPr>
          </w:p>
        </w:tc>
        <w:tc>
          <w:tcPr>
            <w:tcW w:w="2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236,524</w:t>
            </w:r>
          </w:p>
        </w:tc>
        <w:tc>
          <w:tcPr>
            <w:tcW w:w="2620" w:type="dxa"/>
            <w:vAlign w:val="bottom"/>
            <w:gridSpan w:val="2"/>
          </w:tcPr>
          <w:p>
            <w:pPr>
              <w:jc w:val="right"/>
              <w:ind w:right="31"/>
              <w:spacing w:after="0"/>
              <w:rPr>
                <w:sz w:val="20"/>
                <w:szCs w:val="20"/>
                <w:color w:val="auto"/>
              </w:rPr>
            </w:pPr>
            <w:r>
              <w:rPr>
                <w:rFonts w:ascii="Arial" w:cs="Arial" w:eastAsia="Arial" w:hAnsi="Arial"/>
                <w:sz w:val="14"/>
                <w:szCs w:val="14"/>
                <w:color w:val="auto"/>
              </w:rPr>
              <w:t>4,750,720</w:t>
            </w:r>
          </w:p>
        </w:tc>
      </w:tr>
      <w:tr>
        <w:trPr>
          <w:trHeight w:val="20"/>
        </w:trPr>
        <w:tc>
          <w:tcPr>
            <w:tcW w:w="2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 1,069 shares of common stock withheld by ManpowerGroup to satisfy tax withholding obligations on shares acquired by an officer in settlement of restricted stock.</w:t>
      </w:r>
    </w:p>
    <w:p>
      <w:pPr>
        <w:spacing w:after="0" w:line="170" w:lineRule="exact"/>
        <w:rPr>
          <w:sz w:val="20"/>
          <w:szCs w:val="20"/>
          <w:color w:val="auto"/>
        </w:rPr>
      </w:pPr>
    </w:p>
    <w:p>
      <w:pPr>
        <w:jc w:val="both"/>
        <w:ind w:right="20" w:firstLine="372"/>
        <w:spacing w:after="0" w:line="267" w:lineRule="auto"/>
        <w:rPr>
          <w:sz w:val="20"/>
          <w:szCs w:val="20"/>
          <w:color w:val="auto"/>
        </w:rPr>
      </w:pPr>
      <w:r>
        <w:rPr>
          <w:rFonts w:ascii="Arial" w:cs="Arial" w:eastAsia="Arial" w:hAnsi="Arial"/>
          <w:sz w:val="14"/>
          <w:szCs w:val="14"/>
          <w:color w:val="auto"/>
        </w:rPr>
        <w:t>The remaining information required by this Item is set forth in our Annual Report to Shareholders for the fiscal year ended December 31, 2016, under the heading “Note 15—Quarterly Data” (page 83) and “Corporate Information” (pages 87 to 88), which information is hereby incorporated herein by reference.</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174" w:lineRule="exact"/>
        <w:rPr>
          <w:sz w:val="20"/>
          <w:szCs w:val="20"/>
          <w:color w:val="auto"/>
        </w:rPr>
      </w:pPr>
    </w:p>
    <w:p>
      <w:pPr>
        <w:ind w:right="300" w:firstLine="372"/>
        <w:spacing w:after="0" w:line="267" w:lineRule="auto"/>
        <w:rPr>
          <w:sz w:val="20"/>
          <w:szCs w:val="20"/>
          <w:color w:val="auto"/>
        </w:rPr>
      </w:pPr>
      <w:r>
        <w:rPr>
          <w:rFonts w:ascii="Arial" w:cs="Arial" w:eastAsia="Arial" w:hAnsi="Arial"/>
          <w:sz w:val="14"/>
          <w:szCs w:val="14"/>
          <w:color w:val="auto"/>
        </w:rPr>
        <w:t>The information required by this Item is set forth in our Annual Report to Shareholders for the fiscal year ended December 31, 2016, under the heading “Selected Financial Data” (page 84), which information is hereby incorporated herein by reference.</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74" w:lineRule="exact"/>
        <w:rPr>
          <w:sz w:val="20"/>
          <w:szCs w:val="20"/>
          <w:color w:val="auto"/>
        </w:rPr>
      </w:pPr>
    </w:p>
    <w:p>
      <w:pPr>
        <w:ind w:right="280" w:firstLine="372"/>
        <w:spacing w:after="0" w:line="267" w:lineRule="auto"/>
        <w:rPr>
          <w:sz w:val="20"/>
          <w:szCs w:val="20"/>
          <w:color w:val="auto"/>
        </w:rPr>
      </w:pPr>
      <w:r>
        <w:rPr>
          <w:rFonts w:ascii="Arial" w:cs="Arial" w:eastAsia="Arial" w:hAnsi="Arial"/>
          <w:sz w:val="14"/>
          <w:szCs w:val="14"/>
          <w:color w:val="auto"/>
        </w:rPr>
        <w:t>The information required by this Item is set forth in our Annual Report to Shareholders for the fiscal year ended December 31, 2016, under the heading “Management’s Discussion and Analysis of Financial Condition and Results of Operations” (pages 15 to 43), which information is hereby incorporated herein by reference.</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74" w:lineRule="exact"/>
        <w:rPr>
          <w:sz w:val="20"/>
          <w:szCs w:val="20"/>
          <w:color w:val="auto"/>
        </w:rPr>
      </w:pPr>
    </w:p>
    <w:p>
      <w:pPr>
        <w:ind w:right="420" w:firstLine="372"/>
        <w:spacing w:after="0" w:line="267" w:lineRule="auto"/>
        <w:rPr>
          <w:sz w:val="20"/>
          <w:szCs w:val="20"/>
          <w:color w:val="auto"/>
        </w:rPr>
      </w:pPr>
      <w:r>
        <w:rPr>
          <w:rFonts w:ascii="Arial" w:cs="Arial" w:eastAsia="Arial" w:hAnsi="Arial"/>
          <w:sz w:val="14"/>
          <w:szCs w:val="14"/>
          <w:color w:val="auto"/>
        </w:rPr>
        <w:t>The information required by this Item is set forth in our Annual Report to Shareholders for the fiscal year ended December 31, 2016, under the heading “Significant Matters Affecting Results of Operations” (pages 39 to 43), which information is hereby incorporated herein by reference.</w:t>
      </w:r>
    </w:p>
    <w:p>
      <w:pPr>
        <w:spacing w:after="0" w:line="30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74" w:lineRule="exact"/>
        <w:rPr>
          <w:sz w:val="20"/>
          <w:szCs w:val="20"/>
          <w:color w:val="auto"/>
        </w:rPr>
      </w:pPr>
    </w:p>
    <w:p>
      <w:pPr>
        <w:ind w:right="760" w:firstLine="372"/>
        <w:spacing w:after="0" w:line="267" w:lineRule="auto"/>
        <w:rPr>
          <w:sz w:val="20"/>
          <w:szCs w:val="20"/>
          <w:color w:val="auto"/>
        </w:rPr>
      </w:pPr>
      <w:r>
        <w:rPr>
          <w:rFonts w:ascii="Arial" w:cs="Arial" w:eastAsia="Arial" w:hAnsi="Arial"/>
          <w:sz w:val="14"/>
          <w:szCs w:val="14"/>
          <w:color w:val="auto"/>
        </w:rPr>
        <w:t>The information required by this Item is set forth in the financial statements and the notes thereto (pages 47 to 83) contained in our Annual Report to Shareholders for the fiscal year ended December 31, 2016, which information is hereby incorporated herein by reference.</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477" w:right="219" w:bottom="1440" w:gutter="0" w:footer="0" w:header="0"/>
        </w:sectPr>
      </w:pPr>
    </w:p>
    <w:bookmarkStart w:id="21" w:name="page22"/>
    <w:bookmarkEnd w:id="21"/>
    <w:p>
      <w:pPr>
        <w:spacing w:after="0"/>
        <w:tabs>
          <w:tab w:leader="none" w:pos="90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74" w:lineRule="exact"/>
        <w:rPr>
          <w:sz w:val="20"/>
          <w:szCs w:val="20"/>
          <w:color w:val="auto"/>
        </w:rPr>
      </w:pPr>
    </w:p>
    <w:p>
      <w:pPr>
        <w:ind w:right="20" w:firstLine="372"/>
        <w:spacing w:after="0" w:line="272" w:lineRule="auto"/>
        <w:rPr>
          <w:sz w:val="20"/>
          <w:szCs w:val="20"/>
          <w:color w:val="auto"/>
        </w:rPr>
      </w:pPr>
      <w:r>
        <w:rPr>
          <w:rFonts w:ascii="Arial" w:cs="Arial" w:eastAsia="Arial" w:hAnsi="Arial"/>
          <w:sz w:val="13"/>
          <w:szCs w:val="13"/>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were effective as of the end of the period covered by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74" w:lineRule="exact"/>
        <w:rPr>
          <w:sz w:val="20"/>
          <w:szCs w:val="20"/>
          <w:color w:val="auto"/>
        </w:rPr>
      </w:pPr>
    </w:p>
    <w:p>
      <w:pPr>
        <w:ind w:firstLine="372"/>
        <w:spacing w:after="0" w:line="257" w:lineRule="auto"/>
        <w:rPr>
          <w:sz w:val="20"/>
          <w:szCs w:val="20"/>
          <w:color w:val="auto"/>
        </w:rPr>
      </w:pPr>
      <w:r>
        <w:rPr>
          <w:rFonts w:ascii="Arial" w:cs="Arial" w:eastAsia="Arial" w:hAnsi="Arial"/>
          <w:sz w:val="14"/>
          <w:szCs w:val="14"/>
          <w:color w:val="auto"/>
        </w:rPr>
        <w:t>The Management Report on Internal Control Over Financial Reporting is set forth on page 44 in our Annual Report to Shareholders for the fiscal year ended December 31, 2016, which information is hereby incorporated herein by reference. The Independent Registered Public Accounting Firm’s report with respect to the effectiveness of internal control over financial reporting is included on page 46 of our Annual Report to Shareholders for the year ended December 31, 2016, which information is hereby incorporated herein by reference.</w:t>
      </w:r>
    </w:p>
    <w:p>
      <w:pPr>
        <w:spacing w:after="0" w:line="145" w:lineRule="exact"/>
        <w:rPr>
          <w:sz w:val="20"/>
          <w:szCs w:val="20"/>
          <w:color w:val="auto"/>
        </w:rPr>
      </w:pPr>
    </w:p>
    <w:p>
      <w:pPr>
        <w:ind w:right="280" w:firstLine="372"/>
        <w:spacing w:after="0" w:line="267" w:lineRule="auto"/>
        <w:rPr>
          <w:sz w:val="20"/>
          <w:szCs w:val="20"/>
          <w:color w:val="auto"/>
        </w:rPr>
      </w:pPr>
      <w:r>
        <w:rPr>
          <w:rFonts w:ascii="Arial" w:cs="Arial" w:eastAsia="Arial" w:hAnsi="Arial"/>
          <w:sz w:val="14"/>
          <w:szCs w:val="14"/>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808" w:right="2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7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174" w:lineRule="exact"/>
        <w:rPr>
          <w:sz w:val="20"/>
          <w:szCs w:val="20"/>
          <w:color w:val="auto"/>
        </w:rPr>
      </w:pPr>
    </w:p>
    <w:p>
      <w:pPr>
        <w:ind w:left="560" w:hanging="247"/>
        <w:spacing w:after="0"/>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Executive Officers. Reference is made to “Executive Officers of ManpowerGroup” in Part I after Item 4.</w:t>
      </w:r>
    </w:p>
    <w:p>
      <w:pPr>
        <w:spacing w:after="0" w:line="170" w:lineRule="exact"/>
        <w:rPr>
          <w:rFonts w:ascii="Arial" w:cs="Arial" w:eastAsia="Arial" w:hAnsi="Arial"/>
          <w:sz w:val="14"/>
          <w:szCs w:val="14"/>
          <w:color w:val="auto"/>
        </w:rPr>
      </w:pPr>
    </w:p>
    <w:p>
      <w:pPr>
        <w:ind w:left="560" w:right="220" w:hanging="247"/>
        <w:spacing w:after="0" w:line="267" w:lineRule="auto"/>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Directors. The information required by this Item is set forth in our Proxy Statement for the Annual Meeting of Shareholders to be held on May 2, 2017 under the caption “Election of Directors,” which information is hereby incorporated herein by reference.</w:t>
      </w:r>
    </w:p>
    <w:p>
      <w:pPr>
        <w:spacing w:after="0" w:line="138" w:lineRule="exact"/>
        <w:rPr>
          <w:rFonts w:ascii="Arial" w:cs="Arial" w:eastAsia="Arial" w:hAnsi="Arial"/>
          <w:sz w:val="14"/>
          <w:szCs w:val="14"/>
          <w:color w:val="auto"/>
        </w:rPr>
      </w:pPr>
    </w:p>
    <w:p>
      <w:pPr>
        <w:ind w:left="560" w:right="220" w:hanging="247"/>
        <w:spacing w:after="0" w:line="306" w:lineRule="auto"/>
        <w:tabs>
          <w:tab w:leader="none" w:pos="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board of directors has determined that each of Gina R. Boswell, chairman of the audit committee, John F. Ferraro, Roberto Mendoza and Paul Read is an “audit committee financial expert.” Ms. Boswell, Mr. Ferraro, Mr. Mendoza and Mr. Read are all “independent” as that term is used in Item 7(d)(3)(iv) of Schedule 14A under the Securities Exchange Act of 1934.</w:t>
      </w:r>
    </w:p>
    <w:p>
      <w:pPr>
        <w:spacing w:after="0" w:line="115" w:lineRule="exact"/>
        <w:rPr>
          <w:rFonts w:ascii="Arial" w:cs="Arial" w:eastAsia="Arial" w:hAnsi="Arial"/>
          <w:sz w:val="13"/>
          <w:szCs w:val="13"/>
          <w:color w:val="auto"/>
        </w:rPr>
      </w:pPr>
    </w:p>
    <w:p>
      <w:pPr>
        <w:ind w:left="560" w:right="280" w:hanging="247"/>
        <w:spacing w:after="0" w:line="267" w:lineRule="auto"/>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Audit Committee. The information required by this Item is set forth in our Proxy Statement for the Annual Meeting of Shareholders to be held on May 2, 2017 under the caption “Meetings and Committees of the Board,” which information is hereby incorporated herein by reference.</w:t>
      </w:r>
    </w:p>
    <w:p>
      <w:pPr>
        <w:spacing w:after="0" w:line="138" w:lineRule="exact"/>
        <w:rPr>
          <w:rFonts w:ascii="Arial" w:cs="Arial" w:eastAsia="Arial" w:hAnsi="Arial"/>
          <w:sz w:val="14"/>
          <w:szCs w:val="14"/>
          <w:color w:val="auto"/>
        </w:rPr>
      </w:pPr>
    </w:p>
    <w:p>
      <w:pPr>
        <w:ind w:left="560" w:right="140" w:hanging="247"/>
        <w:spacing w:after="0" w:line="267" w:lineRule="auto"/>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Section 16 Compliance. The information required by this Item is set forth in our Proxy Statement for the Annual Meeting of Shareholders to be held May 2, 2017 under the caption “Section 16(a) Beneficial Ownership Reporting Compliance,” which information is hereby incorporated herein by reference.</w:t>
      </w:r>
    </w:p>
    <w:p>
      <w:pPr>
        <w:spacing w:after="0" w:line="138" w:lineRule="exact"/>
        <w:rPr>
          <w:rFonts w:ascii="Arial" w:cs="Arial" w:eastAsia="Arial" w:hAnsi="Arial"/>
          <w:sz w:val="14"/>
          <w:szCs w:val="14"/>
          <w:color w:val="auto"/>
        </w:rPr>
      </w:pPr>
    </w:p>
    <w:p>
      <w:pPr>
        <w:ind w:left="560" w:right="160" w:hanging="247"/>
        <w:spacing w:after="0" w:line="253" w:lineRule="auto"/>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174" w:lineRule="exact"/>
        <w:rPr>
          <w:sz w:val="20"/>
          <w:szCs w:val="20"/>
          <w:color w:val="auto"/>
        </w:rPr>
      </w:pPr>
    </w:p>
    <w:p>
      <w:pPr>
        <w:ind w:firstLine="372"/>
        <w:spacing w:after="0" w:line="257" w:lineRule="auto"/>
        <w:rPr>
          <w:sz w:val="20"/>
          <w:szCs w:val="20"/>
          <w:color w:val="auto"/>
        </w:rPr>
      </w:pPr>
      <w:r>
        <w:rPr>
          <w:rFonts w:ascii="Arial" w:cs="Arial" w:eastAsia="Arial" w:hAnsi="Arial"/>
          <w:sz w:val="14"/>
          <w:szCs w:val="14"/>
          <w:color w:val="auto"/>
        </w:rPr>
        <w:t>The information required by this Item is set forth in our Proxy Statement for the Annual Meeting of Shareholders to be held on May 2, 2017, under the caption “Executive and Director Compensation”; under the caption “Executive Compensation and Human Resources Committee Interlocks and Insider Participation”; and under the caption “Report of the Executive Compensation and Human Resources Committee of the Board of Directors,” which information is hereby incorporated herein by reference.</w:t>
      </w:r>
    </w:p>
    <w:p>
      <w:pPr>
        <w:spacing w:after="0" w:line="306"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Shareholder Matters</w:t>
      </w:r>
    </w:p>
    <w:p>
      <w:pPr>
        <w:spacing w:after="0" w:line="174" w:lineRule="exact"/>
        <w:rPr>
          <w:sz w:val="20"/>
          <w:szCs w:val="20"/>
          <w:color w:val="auto"/>
        </w:rPr>
      </w:pPr>
    </w:p>
    <w:p>
      <w:pPr>
        <w:ind w:right="520" w:firstLine="372"/>
        <w:spacing w:after="0" w:line="306" w:lineRule="auto"/>
        <w:rPr>
          <w:sz w:val="20"/>
          <w:szCs w:val="20"/>
          <w:color w:val="auto"/>
        </w:rPr>
      </w:pPr>
      <w:r>
        <w:rPr>
          <w:rFonts w:ascii="Arial" w:cs="Arial" w:eastAsia="Arial" w:hAnsi="Arial"/>
          <w:sz w:val="13"/>
          <w:szCs w:val="13"/>
          <w:color w:val="auto"/>
        </w:rPr>
        <w:t>The information required by this Item is set forth in our Proxy Statement for the Annual Meeting of Shareholders to be held on May 2, 2017, under the caption “Security Ownership of Certain Beneficial Owners,” under the caption “Beneficial Ownership of Directors and Executive Officers,” which information is hereby incorporated herein by reference.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40"/>
          </w:cols>
          <w:pgMar w:left="220" w:top="476" w:right="239" w:bottom="1440" w:gutter="0" w:footer="0" w:header="0"/>
        </w:sectPr>
      </w:pPr>
    </w:p>
    <w:bookmarkStart w:id="23" w:name="page24"/>
    <w:bookmarkEnd w:id="23"/>
    <w:p>
      <w:pPr>
        <w:ind w:left="380"/>
        <w:spacing w:after="0"/>
        <w:rPr>
          <w:sz w:val="20"/>
          <w:szCs w:val="20"/>
          <w:color w:val="auto"/>
        </w:rPr>
      </w:pPr>
      <w:r>
        <w:rPr>
          <w:rFonts w:ascii="Arial" w:cs="Arial" w:eastAsia="Arial" w:hAnsi="Arial"/>
          <w:sz w:val="13"/>
          <w:szCs w:val="13"/>
          <w:color w:val="auto"/>
        </w:rPr>
        <w:t>The following table sets forth information as of December 31, 2016 about shares of our common stock outstanding and available for issuance under our existing equity compensation plans.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Weighted-average contractual</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 remaining</w:t>
            </w:r>
          </w:p>
        </w:tc>
      </w:tr>
      <w:tr>
        <w:trPr>
          <w:trHeight w:val="166"/>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Number of securities</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Weighted-average exercise price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term of outstanding options,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8"/>
              </w:rPr>
              <w:t>available for future issuance under</w:t>
            </w:r>
          </w:p>
        </w:tc>
      </w:tr>
      <w:tr>
        <w:trPr>
          <w:trHeight w:val="166"/>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to be issued upon exercise of</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5"/>
              </w:rPr>
              <w:t>of</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warrants and rights as of</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6"/>
              </w:rPr>
              <w:t>equity compensation plans as</w:t>
            </w:r>
          </w:p>
        </w:tc>
      </w:tr>
      <w:tr>
        <w:trPr>
          <w:trHeight w:val="166"/>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outstanding options, warrants</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outstanding options, warrants and</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of December 31, 2016</w:t>
            </w:r>
          </w:p>
        </w:tc>
      </w:tr>
      <w:tr>
        <w:trPr>
          <w:trHeight w:val="166"/>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and rights as</w:t>
            </w:r>
          </w:p>
        </w:tc>
        <w:tc>
          <w:tcPr>
            <w:tcW w:w="2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rights as of December 31, 2016</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(excluding securities reflected in the</w:t>
            </w:r>
          </w:p>
        </w:tc>
      </w:tr>
      <w:tr>
        <w:trPr>
          <w:trHeight w:val="202"/>
        </w:trPr>
        <w:tc>
          <w:tcPr>
            <w:tcW w:w="27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December 31, 2016</w:t>
            </w:r>
          </w:p>
        </w:tc>
        <w:tc>
          <w:tcPr>
            <w:tcW w:w="12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87"/>
              </w:rPr>
              <w:t>first column)</w:t>
            </w:r>
            <w:r>
              <w:rPr>
                <w:rFonts w:ascii="Arial" w:cs="Arial" w:eastAsia="Arial" w:hAnsi="Arial"/>
                <w:sz w:val="19"/>
                <w:szCs w:val="19"/>
                <w:b w:val="1"/>
                <w:bCs w:val="1"/>
                <w:color w:val="auto"/>
                <w:w w:val="87"/>
                <w:vertAlign w:val="superscript"/>
              </w:rPr>
              <w:t>(1)</w:t>
            </w:r>
          </w:p>
        </w:tc>
      </w:tr>
      <w:tr>
        <w:trPr>
          <w:trHeight w:val="175"/>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Equity compensation plans approved by security</w:t>
            </w: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r>
      <w:tr>
        <w:trPr>
          <w:trHeight w:val="177"/>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holders</w:t>
            </w:r>
          </w:p>
        </w:tc>
        <w:tc>
          <w:tcPr>
            <w:tcW w:w="1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2,543,476</w:t>
            </w:r>
          </w:p>
        </w:tc>
        <w:tc>
          <w:tcPr>
            <w:tcW w:w="12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70.11</w:t>
            </w: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3,860,582</w:t>
            </w:r>
          </w:p>
        </w:tc>
      </w:tr>
      <w:tr>
        <w:trPr>
          <w:trHeight w:val="175"/>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not approved by</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security holders</w:t>
            </w:r>
          </w:p>
        </w:tc>
        <w:tc>
          <w:tcPr>
            <w:tcW w:w="2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2"/>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5"/>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2,543,476</w:t>
            </w: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70.11</w:t>
            </w: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3,860,582</w:t>
            </w:r>
          </w:p>
        </w:tc>
      </w:tr>
      <w:tr>
        <w:trPr>
          <w:trHeight w:val="22"/>
        </w:trPr>
        <w:tc>
          <w:tcPr>
            <w:tcW w:w="2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right="120" w:firstLine="3"/>
        <w:spacing w:after="0" w:line="267" w:lineRule="auto"/>
        <w:tabs>
          <w:tab w:leader="none" w:pos="195"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number of shares remaining available for future issuance under the following plans: 1990 Employee Stock Purchase Plan – 140,213 shares; Savings Related Share Option Scheme – 676,793 shares; and 2011 Equity Incentive Plan – 3,043,576 shares.</w:t>
      </w:r>
    </w:p>
    <w:p>
      <w:pPr>
        <w:spacing w:after="0" w:line="30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174" w:lineRule="exact"/>
        <w:rPr>
          <w:sz w:val="20"/>
          <w:szCs w:val="20"/>
          <w:color w:val="auto"/>
        </w:rPr>
      </w:pPr>
    </w:p>
    <w:p>
      <w:pPr>
        <w:ind w:right="80" w:firstLine="372"/>
        <w:spacing w:after="0" w:line="267" w:lineRule="auto"/>
        <w:rPr>
          <w:sz w:val="20"/>
          <w:szCs w:val="20"/>
          <w:color w:val="auto"/>
        </w:rPr>
      </w:pPr>
      <w:r>
        <w:rPr>
          <w:rFonts w:ascii="Arial" w:cs="Arial" w:eastAsia="Arial" w:hAnsi="Arial"/>
          <w:sz w:val="14"/>
          <w:szCs w:val="14"/>
          <w:color w:val="auto"/>
        </w:rPr>
        <w:t>The information required by this Item is set forth in our Proxy Statement for the Annual Meeting of Shareholders to be held on May 2, 2017, under the caption “Board Independence and Related Party Transactions” and “Meetings and Committees of the Board,” which information is hereby incorporated herein by reference.</w:t>
      </w:r>
    </w:p>
    <w:p>
      <w:pPr>
        <w:spacing w:after="0" w:line="30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174" w:lineRule="exact"/>
        <w:rPr>
          <w:sz w:val="20"/>
          <w:szCs w:val="20"/>
          <w:color w:val="auto"/>
        </w:rPr>
      </w:pPr>
    </w:p>
    <w:p>
      <w:pPr>
        <w:ind w:right="220" w:firstLine="372"/>
        <w:spacing w:after="0" w:line="267" w:lineRule="auto"/>
        <w:rPr>
          <w:sz w:val="20"/>
          <w:szCs w:val="20"/>
          <w:color w:val="auto"/>
        </w:rPr>
      </w:pPr>
      <w:r>
        <w:rPr>
          <w:rFonts w:ascii="Arial" w:cs="Arial" w:eastAsia="Arial" w:hAnsi="Arial"/>
          <w:sz w:val="14"/>
          <w:szCs w:val="14"/>
          <w:color w:val="auto"/>
        </w:rPr>
        <w:t>The information required by this Item is set forth in our Proxy Statement for the Annual Meeting of Shareholders to be held on May 2, 2017, under the captions “Audit Fees,” “Audit-Related Fees,” “Tax Fees,” “All Other Fees” and “Approval Procedures” in the Audit Committee Report, which information is hereby incorporated herein by 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480"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9"/>
        </w:trPr>
        <w:tc>
          <w:tcPr>
            <w:tcW w:w="880" w:type="dxa"/>
            <w:vAlign w:val="bottom"/>
          </w:tcPr>
          <w:p>
            <w:pPr>
              <w:spacing w:after="0"/>
              <w:rPr>
                <w:sz w:val="15"/>
                <w:szCs w:val="15"/>
                <w:color w:val="auto"/>
              </w:rPr>
            </w:pPr>
          </w:p>
        </w:tc>
        <w:tc>
          <w:tcPr>
            <w:tcW w:w="7400" w:type="dxa"/>
            <w:vAlign w:val="bottom"/>
          </w:tcPr>
          <w:p>
            <w:pPr>
              <w:ind w:left="4580"/>
              <w:spacing w:after="0"/>
              <w:rPr>
                <w:sz w:val="20"/>
                <w:szCs w:val="20"/>
                <w:color w:val="auto"/>
              </w:rPr>
            </w:pPr>
            <w:r>
              <w:rPr>
                <w:rFonts w:ascii="Arial" w:cs="Arial" w:eastAsia="Arial" w:hAnsi="Arial"/>
                <w:sz w:val="14"/>
                <w:szCs w:val="14"/>
                <w:b w:val="1"/>
                <w:bCs w:val="1"/>
                <w:color w:val="auto"/>
              </w:rPr>
              <w:t>PART IV</w:t>
            </w:r>
          </w:p>
        </w:tc>
        <w:tc>
          <w:tcPr>
            <w:tcW w:w="2780" w:type="dxa"/>
            <w:vAlign w:val="bottom"/>
          </w:tcPr>
          <w:p>
            <w:pPr>
              <w:spacing w:after="0"/>
              <w:rPr>
                <w:sz w:val="15"/>
                <w:szCs w:val="15"/>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7400" w:type="dxa"/>
            <w:vAlign w:val="bottom"/>
          </w:tcPr>
          <w:p>
            <w:pPr>
              <w:ind w:left="60"/>
              <w:spacing w:after="0"/>
              <w:rPr>
                <w:sz w:val="20"/>
                <w:szCs w:val="20"/>
                <w:color w:val="auto"/>
              </w:rPr>
            </w:pPr>
            <w:r>
              <w:rPr>
                <w:rFonts w:ascii="Arial" w:cs="Arial" w:eastAsia="Arial" w:hAnsi="Arial"/>
                <w:sz w:val="14"/>
                <w:szCs w:val="14"/>
                <w:b w:val="1"/>
                <w:bCs w:val="1"/>
                <w:color w:val="auto"/>
              </w:rPr>
              <w:t>Exhibits and Financial Statement Schedules.</w:t>
            </w:r>
          </w:p>
        </w:tc>
        <w:tc>
          <w:tcPr>
            <w:tcW w:w="2780" w:type="dxa"/>
            <w:vAlign w:val="bottom"/>
          </w:tcPr>
          <w:p>
            <w:pPr>
              <w:spacing w:after="0"/>
              <w:rPr>
                <w:sz w:val="24"/>
                <w:szCs w:val="24"/>
                <w:color w:val="auto"/>
              </w:rPr>
            </w:pPr>
          </w:p>
        </w:tc>
      </w:tr>
      <w:tr>
        <w:trPr>
          <w:trHeight w:val="331"/>
        </w:trPr>
        <w:tc>
          <w:tcPr>
            <w:tcW w:w="8280" w:type="dxa"/>
            <w:vAlign w:val="bottom"/>
            <w:gridSpan w:val="2"/>
          </w:tcPr>
          <w:p>
            <w:pPr>
              <w:spacing w:after="0"/>
              <w:rPr>
                <w:sz w:val="20"/>
                <w:szCs w:val="20"/>
                <w:color w:val="auto"/>
              </w:rPr>
            </w:pPr>
            <w:r>
              <w:rPr>
                <w:rFonts w:ascii="Arial" w:cs="Arial" w:eastAsia="Arial" w:hAnsi="Arial"/>
                <w:sz w:val="14"/>
                <w:szCs w:val="14"/>
                <w:color w:val="auto"/>
              </w:rPr>
              <w:t>(a)(1) Financial Statements.</w:t>
            </w:r>
          </w:p>
        </w:tc>
        <w:tc>
          <w:tcPr>
            <w:tcW w:w="2780" w:type="dxa"/>
            <w:vAlign w:val="bottom"/>
          </w:tcPr>
          <w:p>
            <w:pPr>
              <w:spacing w:after="0"/>
              <w:rPr>
                <w:sz w:val="24"/>
                <w:szCs w:val="24"/>
                <w:color w:val="auto"/>
              </w:rPr>
            </w:pPr>
          </w:p>
        </w:tc>
      </w:tr>
      <w:tr>
        <w:trPr>
          <w:trHeight w:val="276"/>
        </w:trPr>
        <w:tc>
          <w:tcPr>
            <w:tcW w:w="8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780" w:type="dxa"/>
            <w:vAlign w:val="bottom"/>
          </w:tcPr>
          <w:p>
            <w:pPr>
              <w:ind w:left="1820"/>
              <w:spacing w:after="0"/>
              <w:rPr>
                <w:sz w:val="20"/>
                <w:szCs w:val="20"/>
                <w:color w:val="auto"/>
              </w:rPr>
            </w:pPr>
            <w:r>
              <w:rPr>
                <w:rFonts w:ascii="Arial" w:cs="Arial" w:eastAsia="Arial" w:hAnsi="Arial"/>
                <w:sz w:val="14"/>
                <w:szCs w:val="14"/>
                <w:b w:val="1"/>
                <w:bCs w:val="1"/>
                <w:color w:val="auto"/>
                <w:w w:val="87"/>
              </w:rPr>
              <w:t>Page Number(s)</w:t>
            </w:r>
          </w:p>
        </w:tc>
      </w:tr>
      <w:tr>
        <w:trPr>
          <w:trHeight w:val="166"/>
        </w:trPr>
        <w:tc>
          <w:tcPr>
            <w:tcW w:w="8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780" w:type="dxa"/>
            <w:vAlign w:val="bottom"/>
          </w:tcPr>
          <w:p>
            <w:pPr>
              <w:ind w:left="1760"/>
              <w:spacing w:after="0"/>
              <w:rPr>
                <w:sz w:val="20"/>
                <w:szCs w:val="20"/>
                <w:color w:val="auto"/>
              </w:rPr>
            </w:pPr>
            <w:r>
              <w:rPr>
                <w:rFonts w:ascii="Arial" w:cs="Arial" w:eastAsia="Arial" w:hAnsi="Arial"/>
                <w:sz w:val="14"/>
                <w:szCs w:val="14"/>
                <w:b w:val="1"/>
                <w:bCs w:val="1"/>
                <w:color w:val="auto"/>
                <w:w w:val="88"/>
              </w:rPr>
              <w:t>in Annual Report</w:t>
            </w:r>
          </w:p>
        </w:tc>
      </w:tr>
      <w:tr>
        <w:trPr>
          <w:trHeight w:val="179"/>
        </w:trPr>
        <w:tc>
          <w:tcPr>
            <w:tcW w:w="88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780" w:type="dxa"/>
            <w:vAlign w:val="bottom"/>
          </w:tcPr>
          <w:p>
            <w:pPr>
              <w:ind w:left="1800"/>
              <w:spacing w:after="0"/>
              <w:rPr>
                <w:sz w:val="20"/>
                <w:szCs w:val="20"/>
                <w:color w:val="auto"/>
              </w:rPr>
            </w:pPr>
            <w:r>
              <w:rPr>
                <w:rFonts w:ascii="Arial" w:cs="Arial" w:eastAsia="Arial" w:hAnsi="Arial"/>
                <w:sz w:val="14"/>
                <w:szCs w:val="14"/>
                <w:b w:val="1"/>
                <w:bCs w:val="1"/>
                <w:color w:val="auto"/>
                <w:w w:val="90"/>
              </w:rPr>
              <w:t>to Shareholders</w:t>
            </w:r>
          </w:p>
        </w:tc>
      </w:tr>
      <w:tr>
        <w:trPr>
          <w:trHeight w:val="207"/>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Consolidated Financial Statements (data incorporated by reference from the attached Annual Report to Shareholders):</w:t>
            </w:r>
          </w:p>
        </w:tc>
        <w:tc>
          <w:tcPr>
            <w:tcW w:w="2780" w:type="dxa"/>
            <w:vAlign w:val="bottom"/>
          </w:tcPr>
          <w:p>
            <w:pPr>
              <w:spacing w:after="0"/>
              <w:rPr>
                <w:sz w:val="17"/>
                <w:szCs w:val="17"/>
                <w:color w:val="auto"/>
              </w:rPr>
            </w:pPr>
          </w:p>
        </w:tc>
      </w:tr>
      <w:tr>
        <w:trPr>
          <w:trHeight w:val="414"/>
        </w:trPr>
        <w:tc>
          <w:tcPr>
            <w:tcW w:w="8280" w:type="dxa"/>
            <w:vAlign w:val="bottom"/>
            <w:gridSpan w:val="2"/>
          </w:tcPr>
          <w:p>
            <w:pPr>
              <w:ind w:left="460"/>
              <w:spacing w:after="0"/>
              <w:rPr>
                <w:sz w:val="20"/>
                <w:szCs w:val="20"/>
                <w:color w:val="auto"/>
              </w:rPr>
            </w:pPr>
            <w:r>
              <w:rPr>
                <w:rFonts w:ascii="Arial" w:cs="Arial" w:eastAsia="Arial" w:hAnsi="Arial"/>
                <w:sz w:val="14"/>
                <w:szCs w:val="14"/>
                <w:color w:val="auto"/>
              </w:rPr>
              <w:t>Reports of Independent Registered Public Accounting Firm</w:t>
            </w:r>
          </w:p>
        </w:tc>
        <w:tc>
          <w:tcPr>
            <w:tcW w:w="2780" w:type="dxa"/>
            <w:vAlign w:val="bottom"/>
          </w:tcPr>
          <w:p>
            <w:pPr>
              <w:jc w:val="center"/>
              <w:ind w:left="1691"/>
              <w:spacing w:after="0"/>
              <w:rPr>
                <w:sz w:val="20"/>
                <w:szCs w:val="20"/>
                <w:color w:val="auto"/>
              </w:rPr>
            </w:pPr>
            <w:r>
              <w:rPr>
                <w:rFonts w:ascii="Arial" w:cs="Arial" w:eastAsia="Arial" w:hAnsi="Arial"/>
                <w:sz w:val="14"/>
                <w:szCs w:val="14"/>
                <w:color w:val="auto"/>
                <w:w w:val="94"/>
              </w:rPr>
              <w:t>45-46</w:t>
            </w:r>
          </w:p>
        </w:tc>
      </w:tr>
      <w:tr>
        <w:trPr>
          <w:trHeight w:val="414"/>
        </w:trPr>
        <w:tc>
          <w:tcPr>
            <w:tcW w:w="8280" w:type="dxa"/>
            <w:vAlign w:val="bottom"/>
            <w:gridSpan w:val="2"/>
          </w:tcPr>
          <w:p>
            <w:pPr>
              <w:ind w:left="460"/>
              <w:spacing w:after="0"/>
              <w:rPr>
                <w:sz w:val="20"/>
                <w:szCs w:val="20"/>
                <w:color w:val="auto"/>
              </w:rPr>
            </w:pPr>
            <w:r>
              <w:rPr>
                <w:rFonts w:ascii="Arial" w:cs="Arial" w:eastAsia="Arial" w:hAnsi="Arial"/>
                <w:sz w:val="14"/>
                <w:szCs w:val="14"/>
                <w:color w:val="auto"/>
              </w:rPr>
              <w:t>Consolidated Statements of Operations for the years ended December 31, 2016, 2015 and 2014</w:t>
            </w:r>
          </w:p>
        </w:tc>
        <w:tc>
          <w:tcPr>
            <w:tcW w:w="2780" w:type="dxa"/>
            <w:vAlign w:val="bottom"/>
          </w:tcPr>
          <w:p>
            <w:pPr>
              <w:jc w:val="center"/>
              <w:ind w:left="1691"/>
              <w:spacing w:after="0"/>
              <w:rPr>
                <w:sz w:val="20"/>
                <w:szCs w:val="20"/>
                <w:color w:val="auto"/>
              </w:rPr>
            </w:pPr>
            <w:r>
              <w:rPr>
                <w:rFonts w:ascii="Arial" w:cs="Arial" w:eastAsia="Arial" w:hAnsi="Arial"/>
                <w:sz w:val="14"/>
                <w:szCs w:val="14"/>
                <w:color w:val="auto"/>
                <w:w w:val="89"/>
              </w:rPr>
              <w:t>47</w:t>
            </w:r>
          </w:p>
        </w:tc>
      </w:tr>
      <w:tr>
        <w:trPr>
          <w:trHeight w:val="414"/>
        </w:trPr>
        <w:tc>
          <w:tcPr>
            <w:tcW w:w="8280" w:type="dxa"/>
            <w:vAlign w:val="bottom"/>
            <w:gridSpan w:val="2"/>
          </w:tcPr>
          <w:p>
            <w:pPr>
              <w:ind w:left="460"/>
              <w:spacing w:after="0"/>
              <w:rPr>
                <w:sz w:val="20"/>
                <w:szCs w:val="20"/>
                <w:color w:val="auto"/>
              </w:rPr>
            </w:pPr>
            <w:r>
              <w:rPr>
                <w:rFonts w:ascii="Arial" w:cs="Arial" w:eastAsia="Arial" w:hAnsi="Arial"/>
                <w:sz w:val="14"/>
                <w:szCs w:val="14"/>
                <w:color w:val="auto"/>
              </w:rPr>
              <w:t>Consolidated Statements of Comprehensive Income for the years ended December 31, 2016, 2015 and 2014</w:t>
            </w:r>
          </w:p>
        </w:tc>
        <w:tc>
          <w:tcPr>
            <w:tcW w:w="2780" w:type="dxa"/>
            <w:vAlign w:val="bottom"/>
          </w:tcPr>
          <w:p>
            <w:pPr>
              <w:jc w:val="center"/>
              <w:ind w:left="1691"/>
              <w:spacing w:after="0"/>
              <w:rPr>
                <w:sz w:val="20"/>
                <w:szCs w:val="20"/>
                <w:color w:val="auto"/>
              </w:rPr>
            </w:pPr>
            <w:r>
              <w:rPr>
                <w:rFonts w:ascii="Arial" w:cs="Arial" w:eastAsia="Arial" w:hAnsi="Arial"/>
                <w:sz w:val="14"/>
                <w:szCs w:val="14"/>
                <w:color w:val="auto"/>
                <w:w w:val="89"/>
              </w:rPr>
              <w:t>47</w:t>
            </w:r>
          </w:p>
        </w:tc>
      </w:tr>
      <w:tr>
        <w:trPr>
          <w:trHeight w:val="414"/>
        </w:trPr>
        <w:tc>
          <w:tcPr>
            <w:tcW w:w="8280" w:type="dxa"/>
            <w:vAlign w:val="bottom"/>
            <w:gridSpan w:val="2"/>
          </w:tcPr>
          <w:p>
            <w:pPr>
              <w:ind w:left="460"/>
              <w:spacing w:after="0"/>
              <w:rPr>
                <w:sz w:val="20"/>
                <w:szCs w:val="20"/>
                <w:color w:val="auto"/>
              </w:rPr>
            </w:pPr>
            <w:r>
              <w:rPr>
                <w:rFonts w:ascii="Arial" w:cs="Arial" w:eastAsia="Arial" w:hAnsi="Arial"/>
                <w:sz w:val="14"/>
                <w:szCs w:val="14"/>
                <w:color w:val="auto"/>
              </w:rPr>
              <w:t>Consolidated Balance Sheets as of December 31, 2016 and 2015</w:t>
            </w:r>
          </w:p>
        </w:tc>
        <w:tc>
          <w:tcPr>
            <w:tcW w:w="2780" w:type="dxa"/>
            <w:vAlign w:val="bottom"/>
          </w:tcPr>
          <w:p>
            <w:pPr>
              <w:jc w:val="center"/>
              <w:ind w:left="1691"/>
              <w:spacing w:after="0"/>
              <w:rPr>
                <w:sz w:val="20"/>
                <w:szCs w:val="20"/>
                <w:color w:val="auto"/>
              </w:rPr>
            </w:pPr>
            <w:r>
              <w:rPr>
                <w:rFonts w:ascii="Arial" w:cs="Arial" w:eastAsia="Arial" w:hAnsi="Arial"/>
                <w:sz w:val="14"/>
                <w:szCs w:val="14"/>
                <w:color w:val="auto"/>
                <w:w w:val="89"/>
              </w:rPr>
              <w:t>48</w:t>
            </w:r>
          </w:p>
        </w:tc>
      </w:tr>
      <w:tr>
        <w:trPr>
          <w:trHeight w:val="414"/>
        </w:trPr>
        <w:tc>
          <w:tcPr>
            <w:tcW w:w="8280" w:type="dxa"/>
            <w:vAlign w:val="bottom"/>
            <w:gridSpan w:val="2"/>
          </w:tcPr>
          <w:p>
            <w:pPr>
              <w:ind w:left="460"/>
              <w:spacing w:after="0"/>
              <w:rPr>
                <w:sz w:val="20"/>
                <w:szCs w:val="20"/>
                <w:color w:val="auto"/>
              </w:rPr>
            </w:pPr>
            <w:r>
              <w:rPr>
                <w:rFonts w:ascii="Arial" w:cs="Arial" w:eastAsia="Arial" w:hAnsi="Arial"/>
                <w:sz w:val="14"/>
                <w:szCs w:val="14"/>
                <w:color w:val="auto"/>
              </w:rPr>
              <w:t>Consolidated Statements of Cash Flows for the years ended December 31, 2016, 2015 and 2014</w:t>
            </w:r>
          </w:p>
        </w:tc>
        <w:tc>
          <w:tcPr>
            <w:tcW w:w="2780" w:type="dxa"/>
            <w:vAlign w:val="bottom"/>
          </w:tcPr>
          <w:p>
            <w:pPr>
              <w:jc w:val="center"/>
              <w:ind w:left="1691"/>
              <w:spacing w:after="0"/>
              <w:rPr>
                <w:sz w:val="20"/>
                <w:szCs w:val="20"/>
                <w:color w:val="auto"/>
              </w:rPr>
            </w:pPr>
            <w:r>
              <w:rPr>
                <w:rFonts w:ascii="Arial" w:cs="Arial" w:eastAsia="Arial" w:hAnsi="Arial"/>
                <w:sz w:val="14"/>
                <w:szCs w:val="14"/>
                <w:color w:val="auto"/>
                <w:w w:val="89"/>
              </w:rPr>
              <w:t>49</w:t>
            </w:r>
          </w:p>
        </w:tc>
      </w:tr>
      <w:tr>
        <w:trPr>
          <w:trHeight w:val="414"/>
        </w:trPr>
        <w:tc>
          <w:tcPr>
            <w:tcW w:w="8280" w:type="dxa"/>
            <w:vAlign w:val="bottom"/>
            <w:gridSpan w:val="2"/>
          </w:tcPr>
          <w:p>
            <w:pPr>
              <w:ind w:left="460"/>
              <w:spacing w:after="0"/>
              <w:rPr>
                <w:sz w:val="20"/>
                <w:szCs w:val="20"/>
                <w:color w:val="auto"/>
              </w:rPr>
            </w:pPr>
            <w:r>
              <w:rPr>
                <w:rFonts w:ascii="Arial" w:cs="Arial" w:eastAsia="Arial" w:hAnsi="Arial"/>
                <w:sz w:val="14"/>
                <w:szCs w:val="14"/>
                <w:color w:val="auto"/>
              </w:rPr>
              <w:t>Consolidated Statements of Shareholders’ Equity for the years ended December 31, 2016, 2015 and 2014</w:t>
            </w:r>
          </w:p>
        </w:tc>
        <w:tc>
          <w:tcPr>
            <w:tcW w:w="2780" w:type="dxa"/>
            <w:vAlign w:val="bottom"/>
          </w:tcPr>
          <w:p>
            <w:pPr>
              <w:jc w:val="center"/>
              <w:ind w:left="1691"/>
              <w:spacing w:after="0"/>
              <w:rPr>
                <w:sz w:val="20"/>
                <w:szCs w:val="20"/>
                <w:color w:val="auto"/>
              </w:rPr>
            </w:pPr>
            <w:r>
              <w:rPr>
                <w:rFonts w:ascii="Arial" w:cs="Arial" w:eastAsia="Arial" w:hAnsi="Arial"/>
                <w:sz w:val="14"/>
                <w:szCs w:val="14"/>
                <w:color w:val="auto"/>
                <w:w w:val="89"/>
              </w:rPr>
              <w:t>50</w:t>
            </w:r>
          </w:p>
        </w:tc>
      </w:tr>
      <w:tr>
        <w:trPr>
          <w:trHeight w:val="414"/>
        </w:trPr>
        <w:tc>
          <w:tcPr>
            <w:tcW w:w="8280" w:type="dxa"/>
            <w:vAlign w:val="bottom"/>
            <w:gridSpan w:val="2"/>
          </w:tcPr>
          <w:p>
            <w:pPr>
              <w:ind w:left="460"/>
              <w:spacing w:after="0"/>
              <w:rPr>
                <w:sz w:val="20"/>
                <w:szCs w:val="20"/>
                <w:color w:val="auto"/>
              </w:rPr>
            </w:pPr>
            <w:r>
              <w:rPr>
                <w:rFonts w:ascii="Arial" w:cs="Arial" w:eastAsia="Arial" w:hAnsi="Arial"/>
                <w:sz w:val="14"/>
                <w:szCs w:val="14"/>
                <w:color w:val="auto"/>
              </w:rPr>
              <w:t>Notes to Consolidated Financial Statements</w:t>
            </w:r>
          </w:p>
        </w:tc>
        <w:tc>
          <w:tcPr>
            <w:tcW w:w="2780" w:type="dxa"/>
            <w:vAlign w:val="bottom"/>
          </w:tcPr>
          <w:p>
            <w:pPr>
              <w:jc w:val="center"/>
              <w:ind w:left="1691"/>
              <w:spacing w:after="0"/>
              <w:rPr>
                <w:sz w:val="20"/>
                <w:szCs w:val="20"/>
                <w:color w:val="auto"/>
              </w:rPr>
            </w:pPr>
            <w:r>
              <w:rPr>
                <w:rFonts w:ascii="Arial" w:cs="Arial" w:eastAsia="Arial" w:hAnsi="Arial"/>
                <w:sz w:val="14"/>
                <w:szCs w:val="14"/>
                <w:color w:val="auto"/>
                <w:w w:val="94"/>
              </w:rPr>
              <w:t>51-83</w:t>
            </w:r>
          </w:p>
        </w:tc>
      </w:tr>
      <w:tr>
        <w:trPr>
          <w:trHeight w:val="352"/>
        </w:trPr>
        <w:tc>
          <w:tcPr>
            <w:tcW w:w="8280" w:type="dxa"/>
            <w:vAlign w:val="bottom"/>
            <w:gridSpan w:val="2"/>
          </w:tcPr>
          <w:p>
            <w:pPr>
              <w:spacing w:after="0"/>
              <w:rPr>
                <w:sz w:val="20"/>
                <w:szCs w:val="20"/>
                <w:color w:val="auto"/>
              </w:rPr>
            </w:pPr>
            <w:r>
              <w:rPr>
                <w:rFonts w:ascii="Arial" w:cs="Arial" w:eastAsia="Arial" w:hAnsi="Arial"/>
                <w:sz w:val="14"/>
                <w:szCs w:val="14"/>
                <w:color w:val="auto"/>
              </w:rPr>
              <w:t>(a)(2) Financial Statement Schedule.</w:t>
            </w:r>
          </w:p>
        </w:tc>
        <w:tc>
          <w:tcPr>
            <w:tcW w:w="2780" w:type="dxa"/>
            <w:vAlign w:val="bottom"/>
          </w:tcPr>
          <w:p>
            <w:pPr>
              <w:spacing w:after="0"/>
              <w:rPr>
                <w:sz w:val="24"/>
                <w:szCs w:val="24"/>
                <w:color w:val="auto"/>
              </w:rPr>
            </w:pPr>
          </w:p>
        </w:tc>
      </w:tr>
      <w:tr>
        <w:trPr>
          <w:trHeight w:val="331"/>
        </w:trPr>
        <w:tc>
          <w:tcPr>
            <w:tcW w:w="8280" w:type="dxa"/>
            <w:vAlign w:val="bottom"/>
            <w:gridSpan w:val="2"/>
          </w:tcPr>
          <w:p>
            <w:pPr>
              <w:ind w:left="40"/>
              <w:spacing w:after="0"/>
              <w:rPr>
                <w:sz w:val="20"/>
                <w:szCs w:val="20"/>
                <w:color w:val="auto"/>
              </w:rPr>
            </w:pPr>
            <w:r>
              <w:rPr>
                <w:rFonts w:ascii="Arial" w:cs="Arial" w:eastAsia="Arial" w:hAnsi="Arial"/>
                <w:sz w:val="14"/>
                <w:szCs w:val="14"/>
                <w:color w:val="auto"/>
              </w:rPr>
              <w:t>Report of Independent Registered Public Accounting Firm on Financial Statement Schedule</w:t>
            </w:r>
          </w:p>
        </w:tc>
        <w:tc>
          <w:tcPr>
            <w:tcW w:w="2780" w:type="dxa"/>
            <w:vAlign w:val="bottom"/>
          </w:tcPr>
          <w:p>
            <w:pPr>
              <w:spacing w:after="0"/>
              <w:rPr>
                <w:sz w:val="24"/>
                <w:szCs w:val="24"/>
                <w:color w:val="auto"/>
              </w:rPr>
            </w:pPr>
          </w:p>
        </w:tc>
      </w:tr>
      <w:tr>
        <w:trPr>
          <w:trHeight w:val="331"/>
        </w:trPr>
        <w:tc>
          <w:tcPr>
            <w:tcW w:w="8280" w:type="dxa"/>
            <w:vAlign w:val="bottom"/>
            <w:gridSpan w:val="2"/>
          </w:tcPr>
          <w:p>
            <w:pPr>
              <w:ind w:left="40"/>
              <w:spacing w:after="0"/>
              <w:rPr>
                <w:sz w:val="20"/>
                <w:szCs w:val="20"/>
                <w:color w:val="auto"/>
              </w:rPr>
            </w:pPr>
            <w:r>
              <w:rPr>
                <w:rFonts w:ascii="Arial" w:cs="Arial" w:eastAsia="Arial" w:hAnsi="Arial"/>
                <w:sz w:val="14"/>
                <w:szCs w:val="14"/>
                <w:color w:val="auto"/>
              </w:rPr>
              <w:t>SCHEDULE II—Valuation and Qualifying Accounts</w:t>
            </w:r>
          </w:p>
        </w:tc>
        <w:tc>
          <w:tcPr>
            <w:tcW w:w="2780" w:type="dxa"/>
            <w:vAlign w:val="bottom"/>
          </w:tcPr>
          <w:p>
            <w:pPr>
              <w:spacing w:after="0"/>
              <w:rPr>
                <w:sz w:val="24"/>
                <w:szCs w:val="24"/>
                <w:color w:val="auto"/>
              </w:rPr>
            </w:pPr>
          </w:p>
        </w:tc>
      </w:tr>
      <w:tr>
        <w:trPr>
          <w:trHeight w:val="331"/>
        </w:trPr>
        <w:tc>
          <w:tcPr>
            <w:tcW w:w="880" w:type="dxa"/>
            <w:vAlign w:val="bottom"/>
          </w:tcPr>
          <w:p>
            <w:pPr>
              <w:spacing w:after="0"/>
              <w:rPr>
                <w:sz w:val="20"/>
                <w:szCs w:val="20"/>
                <w:color w:val="auto"/>
              </w:rPr>
            </w:pPr>
            <w:r>
              <w:rPr>
                <w:rFonts w:ascii="Arial" w:cs="Arial" w:eastAsia="Arial" w:hAnsi="Arial"/>
                <w:sz w:val="14"/>
                <w:szCs w:val="14"/>
                <w:color w:val="auto"/>
                <w:w w:val="94"/>
              </w:rPr>
              <w:t>(a)(3) Exhibits.</w:t>
            </w:r>
          </w:p>
        </w:tc>
        <w:tc>
          <w:tcPr>
            <w:tcW w:w="740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15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(c) below.</w:t>
      </w:r>
    </w:p>
    <w:p>
      <w:pPr>
        <w:spacing w:after="0" w:line="170" w:lineRule="exact"/>
        <w:rPr>
          <w:sz w:val="20"/>
          <w:szCs w:val="20"/>
          <w:color w:val="auto"/>
        </w:rPr>
      </w:pPr>
    </w:p>
    <w:p>
      <w:pPr>
        <w:ind w:firstLine="414"/>
        <w:spacing w:after="0" w:line="306" w:lineRule="auto"/>
        <w:rPr>
          <w:sz w:val="20"/>
          <w:szCs w:val="20"/>
          <w:color w:val="auto"/>
        </w:rPr>
      </w:pPr>
      <w:r>
        <w:rPr>
          <w:rFonts w:ascii="Arial" w:cs="Arial" w:eastAsia="Arial" w:hAnsi="Arial"/>
          <w:sz w:val="13"/>
          <w:szCs w:val="13"/>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60"/>
          </w:cols>
          <w:pgMar w:left="220" w:top="476" w:right="4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20"/>
                <w:szCs w:val="20"/>
                <w:color w:val="auto"/>
              </w:rPr>
            </w:pPr>
            <w:r>
              <w:rPr>
                <w:rFonts w:ascii="Arial" w:cs="Arial" w:eastAsia="Arial" w:hAnsi="Arial"/>
                <w:sz w:val="14"/>
                <w:szCs w:val="14"/>
                <w:color w:val="auto"/>
              </w:rPr>
              <w:t>(c) Exhibits.</w:t>
            </w:r>
          </w:p>
        </w:tc>
        <w:tc>
          <w:tcPr>
            <w:tcW w:w="10620" w:type="dxa"/>
            <w:vAlign w:val="bottom"/>
          </w:tcPr>
          <w:p>
            <w:pPr>
              <w:spacing w:after="0"/>
              <w:rPr>
                <w:sz w:val="15"/>
                <w:szCs w:val="15"/>
                <w:color w:val="auto"/>
              </w:rPr>
            </w:pPr>
          </w:p>
        </w:tc>
      </w:tr>
      <w:tr>
        <w:trPr>
          <w:trHeight w:val="290"/>
        </w:trPr>
        <w:tc>
          <w:tcPr>
            <w:tcW w:w="820" w:type="dxa"/>
            <w:vAlign w:val="bottom"/>
          </w:tcPr>
          <w:p>
            <w:pPr>
              <w:ind w:left="20"/>
              <w:spacing w:after="0"/>
              <w:rPr>
                <w:sz w:val="20"/>
                <w:szCs w:val="20"/>
                <w:color w:val="auto"/>
              </w:rPr>
            </w:pPr>
            <w:r>
              <w:rPr>
                <w:rFonts w:ascii="Arial" w:cs="Arial" w:eastAsia="Arial" w:hAnsi="Arial"/>
                <w:sz w:val="14"/>
                <w:szCs w:val="14"/>
                <w:color w:val="auto"/>
              </w:rPr>
              <w:t>3.1</w:t>
            </w:r>
          </w:p>
        </w:tc>
        <w:tc>
          <w:tcPr>
            <w:tcW w:w="10620" w:type="dxa"/>
            <w:vAlign w:val="bottom"/>
          </w:tcPr>
          <w:p>
            <w:pPr>
              <w:ind w:left="120"/>
              <w:spacing w:after="0"/>
              <w:rPr>
                <w:sz w:val="20"/>
                <w:szCs w:val="20"/>
                <w:color w:val="auto"/>
              </w:rPr>
            </w:pPr>
            <w:r>
              <w:rPr>
                <w:rFonts w:ascii="Arial" w:cs="Arial" w:eastAsia="Arial" w:hAnsi="Arial"/>
                <w:sz w:val="14"/>
                <w:szCs w:val="14"/>
                <w:color w:val="auto"/>
                <w:w w:val="90"/>
              </w:rPr>
              <w:t>Amended and Restated Articles of Incorporation of ManpowerGroup Inc., incorporated by reference to the Company’s Quarterly Report on Form 10-Q for the quarter ended June 30, 2013.</w:t>
            </w:r>
          </w:p>
        </w:tc>
      </w:tr>
      <w:tr>
        <w:trPr>
          <w:trHeight w:val="414"/>
        </w:trPr>
        <w:tc>
          <w:tcPr>
            <w:tcW w:w="820" w:type="dxa"/>
            <w:vAlign w:val="bottom"/>
          </w:tcPr>
          <w:p>
            <w:pPr>
              <w:ind w:left="20"/>
              <w:spacing w:after="0"/>
              <w:rPr>
                <w:sz w:val="20"/>
                <w:szCs w:val="20"/>
                <w:color w:val="auto"/>
              </w:rPr>
            </w:pPr>
            <w:r>
              <w:rPr>
                <w:rFonts w:ascii="Arial" w:cs="Arial" w:eastAsia="Arial" w:hAnsi="Arial"/>
                <w:sz w:val="14"/>
                <w:szCs w:val="14"/>
                <w:color w:val="auto"/>
              </w:rPr>
              <w:t>3.2</w:t>
            </w:r>
          </w:p>
        </w:tc>
        <w:tc>
          <w:tcPr>
            <w:tcW w:w="10620" w:type="dxa"/>
            <w:vAlign w:val="bottom"/>
          </w:tcPr>
          <w:p>
            <w:pPr>
              <w:ind w:left="120"/>
              <w:spacing w:after="0"/>
              <w:rPr>
                <w:sz w:val="20"/>
                <w:szCs w:val="20"/>
                <w:color w:val="auto"/>
              </w:rPr>
            </w:pPr>
            <w:r>
              <w:rPr>
                <w:rFonts w:ascii="Arial" w:cs="Arial" w:eastAsia="Arial" w:hAnsi="Arial"/>
                <w:sz w:val="14"/>
                <w:szCs w:val="14"/>
                <w:color w:val="auto"/>
                <w:w w:val="98"/>
              </w:rPr>
              <w:t>Amended and Restated By-laws of ManpowerGroup Inc., incorporated by reference to the Company’s Quarterly Report on Form 10-Q for the quarter ended March 31, 2014.</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4.1</w:t>
            </w:r>
          </w:p>
        </w:tc>
        <w:tc>
          <w:tcPr>
            <w:tcW w:w="10620" w:type="dxa"/>
            <w:vAlign w:val="bottom"/>
          </w:tcPr>
          <w:p>
            <w:pPr>
              <w:ind w:left="120"/>
              <w:spacing w:after="0"/>
              <w:rPr>
                <w:sz w:val="20"/>
                <w:szCs w:val="20"/>
                <w:color w:val="auto"/>
              </w:rPr>
            </w:pPr>
            <w:r>
              <w:rPr>
                <w:rFonts w:ascii="Arial" w:cs="Arial" w:eastAsia="Arial" w:hAnsi="Arial"/>
                <w:sz w:val="14"/>
                <w:szCs w:val="14"/>
                <w:color w:val="auto"/>
                <w:w w:val="92"/>
              </w:rPr>
              <w:t>Fiscal and Paying Agency Agreement between the Company and Citibank, N.A., as Fiscal Agent, Principal Paying Agent and Registrar and Transfer Agent, dated as of June 22, 2012</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w w:val="97"/>
              </w:rPr>
              <w:t>(including the form of Note attached thereto as Schedule I), incorporated by reference to the Company’s Quarterly Report on Form 10-Q for the quarter ended June 30, 2012.</w:t>
            </w:r>
          </w:p>
        </w:tc>
      </w:tr>
      <w:tr>
        <w:trPr>
          <w:trHeight w:val="415"/>
        </w:trPr>
        <w:tc>
          <w:tcPr>
            <w:tcW w:w="820" w:type="dxa"/>
            <w:vAlign w:val="bottom"/>
          </w:tcPr>
          <w:p>
            <w:pPr>
              <w:ind w:left="20"/>
              <w:spacing w:after="0"/>
              <w:rPr>
                <w:sz w:val="20"/>
                <w:szCs w:val="20"/>
                <w:color w:val="auto"/>
              </w:rPr>
            </w:pPr>
            <w:r>
              <w:rPr>
                <w:rFonts w:ascii="Arial" w:cs="Arial" w:eastAsia="Arial" w:hAnsi="Arial"/>
                <w:sz w:val="14"/>
                <w:szCs w:val="14"/>
                <w:color w:val="auto"/>
              </w:rPr>
              <w:t>4.2</w:t>
            </w:r>
          </w:p>
        </w:tc>
        <w:tc>
          <w:tcPr>
            <w:tcW w:w="10620" w:type="dxa"/>
            <w:vAlign w:val="bottom"/>
          </w:tcPr>
          <w:p>
            <w:pPr>
              <w:ind w:left="120"/>
              <w:spacing w:after="0"/>
              <w:rPr>
                <w:sz w:val="20"/>
                <w:szCs w:val="20"/>
                <w:color w:val="auto"/>
              </w:rPr>
            </w:pPr>
            <w:r>
              <w:rPr>
                <w:rFonts w:ascii="Arial" w:cs="Arial" w:eastAsia="Arial" w:hAnsi="Arial"/>
                <w:sz w:val="14"/>
                <w:szCs w:val="14"/>
                <w:color w:val="auto"/>
                <w:w w:val="89"/>
              </w:rPr>
              <w:t>Fiscal and Paying Agency Agreement between the Company and Citibank, N.A., as Fiscal Agent, Principal Paying Agent and Registrar and Transfer Agent, dated as of September 11, 2015</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(including the form of Note attached thereto as Schedule I), incorporated by reference to the Company’s Current Report on Form 8-K dated September 11, 2015.</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10.1</w:t>
            </w:r>
          </w:p>
        </w:tc>
        <w:tc>
          <w:tcPr>
            <w:tcW w:w="10620" w:type="dxa"/>
            <w:vAlign w:val="bottom"/>
          </w:tcPr>
          <w:p>
            <w:pPr>
              <w:ind w:left="120"/>
              <w:spacing w:after="0"/>
              <w:rPr>
                <w:sz w:val="20"/>
                <w:szCs w:val="20"/>
                <w:color w:val="auto"/>
              </w:rPr>
            </w:pPr>
            <w:r>
              <w:rPr>
                <w:rFonts w:ascii="Arial" w:cs="Arial" w:eastAsia="Arial" w:hAnsi="Arial"/>
                <w:sz w:val="14"/>
                <w:szCs w:val="14"/>
                <w:color w:val="auto"/>
                <w:w w:val="89"/>
              </w:rPr>
              <w:t>Amended and Restated Manpower Inc. Senior Management Performance-Based Deferred Compensation Plan, incorporated by reference to the Company’s Annual Report on Form 10-K for</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the year ended December 31, 2005. **</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10.2</w:t>
            </w:r>
          </w:p>
        </w:tc>
        <w:tc>
          <w:tcPr>
            <w:tcW w:w="10620" w:type="dxa"/>
            <w:vAlign w:val="bottom"/>
          </w:tcPr>
          <w:p>
            <w:pPr>
              <w:ind w:left="120"/>
              <w:spacing w:after="0"/>
              <w:rPr>
                <w:sz w:val="20"/>
                <w:szCs w:val="20"/>
                <w:color w:val="auto"/>
              </w:rPr>
            </w:pPr>
            <w:r>
              <w:rPr>
                <w:rFonts w:ascii="Arial" w:cs="Arial" w:eastAsia="Arial" w:hAnsi="Arial"/>
                <w:sz w:val="14"/>
                <w:szCs w:val="14"/>
                <w:color w:val="auto"/>
                <w:w w:val="90"/>
              </w:rPr>
              <w:t>Amended and Restated Five-Year Credit Agreement dated as of September 11, 2015 among the Company, a syndicate of lenders and Citibank, N.A., as Administrative Agent, incorporated</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by reference to the Company’s Current Report on Form 8-K dated September 11, 2015.</w:t>
            </w:r>
          </w:p>
        </w:tc>
      </w:tr>
      <w:tr>
        <w:trPr>
          <w:trHeight w:val="414"/>
        </w:trPr>
        <w:tc>
          <w:tcPr>
            <w:tcW w:w="820" w:type="dxa"/>
            <w:vAlign w:val="bottom"/>
          </w:tcPr>
          <w:p>
            <w:pPr>
              <w:ind w:left="20"/>
              <w:spacing w:after="0"/>
              <w:rPr>
                <w:sz w:val="20"/>
                <w:szCs w:val="20"/>
                <w:color w:val="auto"/>
              </w:rPr>
            </w:pPr>
            <w:r>
              <w:rPr>
                <w:rFonts w:ascii="Arial" w:cs="Arial" w:eastAsia="Arial" w:hAnsi="Arial"/>
                <w:sz w:val="14"/>
                <w:szCs w:val="14"/>
                <w:color w:val="auto"/>
              </w:rPr>
              <w:t>10.3</w:t>
            </w:r>
          </w:p>
        </w:tc>
        <w:tc>
          <w:tcPr>
            <w:tcW w:w="10620" w:type="dxa"/>
            <w:vAlign w:val="bottom"/>
          </w:tcPr>
          <w:p>
            <w:pPr>
              <w:ind w:left="120"/>
              <w:spacing w:after="0"/>
              <w:rPr>
                <w:sz w:val="20"/>
                <w:szCs w:val="20"/>
                <w:color w:val="auto"/>
              </w:rPr>
            </w:pPr>
            <w:r>
              <w:rPr>
                <w:rFonts w:ascii="Arial" w:cs="Arial" w:eastAsia="Arial" w:hAnsi="Arial"/>
                <w:sz w:val="14"/>
                <w:szCs w:val="14"/>
                <w:color w:val="auto"/>
              </w:rPr>
              <w:t>Manpower Savings Related Share Option Scheme incorporated by reference to the Company’s Annual Report on Form 10-K for the year ended December 31, 2010. **</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10.4</w:t>
            </w:r>
          </w:p>
        </w:tc>
        <w:tc>
          <w:tcPr>
            <w:tcW w:w="10620" w:type="dxa"/>
            <w:vAlign w:val="bottom"/>
          </w:tcPr>
          <w:p>
            <w:pPr>
              <w:ind w:left="120"/>
              <w:spacing w:after="0"/>
              <w:rPr>
                <w:sz w:val="20"/>
                <w:szCs w:val="20"/>
                <w:color w:val="auto"/>
              </w:rPr>
            </w:pPr>
            <w:r>
              <w:rPr>
                <w:rFonts w:ascii="Arial" w:cs="Arial" w:eastAsia="Arial" w:hAnsi="Arial"/>
                <w:sz w:val="14"/>
                <w:szCs w:val="14"/>
                <w:color w:val="auto"/>
                <w:w w:val="92"/>
              </w:rPr>
              <w:t>Manpower 1990 Employee Stock Purchase Plan (Amended and Restated effective April 26, 2005), incorporated by reference to the Company’s Quarterly Report on Form 10-Q for the</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quarter ended March 31, 2005. **</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10.5</w:t>
            </w:r>
          </w:p>
        </w:tc>
        <w:tc>
          <w:tcPr>
            <w:tcW w:w="10620" w:type="dxa"/>
            <w:vAlign w:val="bottom"/>
          </w:tcPr>
          <w:p>
            <w:pPr>
              <w:ind w:left="120"/>
              <w:spacing w:after="0"/>
              <w:rPr>
                <w:sz w:val="20"/>
                <w:szCs w:val="20"/>
                <w:color w:val="auto"/>
              </w:rPr>
            </w:pPr>
            <w:r>
              <w:rPr>
                <w:rFonts w:ascii="Arial" w:cs="Arial" w:eastAsia="Arial" w:hAnsi="Arial"/>
                <w:sz w:val="14"/>
                <w:szCs w:val="14"/>
                <w:color w:val="auto"/>
                <w:w w:val="89"/>
              </w:rPr>
              <w:t>Manpower Retirement Plan, as amended and restated effective as of March 1, 1989, incorporated by reference to Form 10-K of Manpower PLC, SEC File No. 0-9890, filed for the fiscal year</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ended October 31, 1989. **</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10.6</w:t>
            </w:r>
          </w:p>
        </w:tc>
        <w:tc>
          <w:tcPr>
            <w:tcW w:w="10620" w:type="dxa"/>
            <w:vAlign w:val="bottom"/>
          </w:tcPr>
          <w:p>
            <w:pPr>
              <w:ind w:left="120"/>
              <w:spacing w:after="0"/>
              <w:rPr>
                <w:sz w:val="20"/>
                <w:szCs w:val="20"/>
                <w:color w:val="auto"/>
              </w:rPr>
            </w:pPr>
            <w:r>
              <w:rPr>
                <w:rFonts w:ascii="Arial" w:cs="Arial" w:eastAsia="Arial" w:hAnsi="Arial"/>
                <w:sz w:val="14"/>
                <w:szCs w:val="14"/>
                <w:color w:val="auto"/>
                <w:w w:val="91"/>
              </w:rPr>
              <w:t>Amended and Restated ManpowerGroup Inc. Senior Management Annual Incentive Pool Plan, incorporated by reference to Appendix A to the Proxy Statement on Schedule 14A filed on</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March 4, 2016 in connection with the 2016 Annual Meeting of the Shareholders of the Company.**</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10.7(a)</w:t>
            </w:r>
          </w:p>
        </w:tc>
        <w:tc>
          <w:tcPr>
            <w:tcW w:w="10620" w:type="dxa"/>
            <w:vAlign w:val="bottom"/>
          </w:tcPr>
          <w:p>
            <w:pPr>
              <w:ind w:left="120"/>
              <w:spacing w:after="0"/>
              <w:rPr>
                <w:sz w:val="20"/>
                <w:szCs w:val="20"/>
                <w:color w:val="auto"/>
              </w:rPr>
            </w:pPr>
            <w:r>
              <w:rPr>
                <w:rFonts w:ascii="Arial" w:cs="Arial" w:eastAsia="Arial" w:hAnsi="Arial"/>
                <w:sz w:val="14"/>
                <w:szCs w:val="14"/>
                <w:color w:val="auto"/>
                <w:w w:val="89"/>
              </w:rPr>
              <w:t>Compensation Agreement between Michael J. Van Handel and the Company dated as of February 20, 2014, incorporated by reference to the Company’s Annual Report on Form 10-K for the</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year ended December 31, 2013. **</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10.7(b)</w:t>
            </w:r>
          </w:p>
        </w:tc>
        <w:tc>
          <w:tcPr>
            <w:tcW w:w="10620" w:type="dxa"/>
            <w:vAlign w:val="bottom"/>
          </w:tcPr>
          <w:p>
            <w:pPr>
              <w:ind w:left="120"/>
              <w:spacing w:after="0"/>
              <w:rPr>
                <w:sz w:val="20"/>
                <w:szCs w:val="20"/>
                <w:color w:val="auto"/>
              </w:rPr>
            </w:pPr>
            <w:r>
              <w:rPr>
                <w:rFonts w:ascii="Arial" w:cs="Arial" w:eastAsia="Arial" w:hAnsi="Arial"/>
                <w:sz w:val="14"/>
                <w:szCs w:val="14"/>
                <w:color w:val="auto"/>
                <w:w w:val="90"/>
              </w:rPr>
              <w:t>Severance Agreement between Michael J. Van Handel and the Company dated as of February 20, 2014, incorporated by reference to the Company’s Annual Report on Form 10-K for the</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year ended December 31, 2013. **</w:t>
            </w:r>
          </w:p>
        </w:tc>
      </w:tr>
      <w:tr>
        <w:trPr>
          <w:trHeight w:val="404"/>
        </w:trPr>
        <w:tc>
          <w:tcPr>
            <w:tcW w:w="820" w:type="dxa"/>
            <w:vAlign w:val="bottom"/>
          </w:tcPr>
          <w:p>
            <w:pPr>
              <w:ind w:left="20"/>
              <w:spacing w:after="0"/>
              <w:rPr>
                <w:sz w:val="20"/>
                <w:szCs w:val="20"/>
                <w:color w:val="auto"/>
              </w:rPr>
            </w:pPr>
            <w:r>
              <w:rPr>
                <w:rFonts w:ascii="Arial" w:cs="Arial" w:eastAsia="Arial" w:hAnsi="Arial"/>
                <w:sz w:val="14"/>
                <w:szCs w:val="14"/>
                <w:color w:val="auto"/>
              </w:rPr>
              <w:t>10.8</w:t>
            </w:r>
          </w:p>
        </w:tc>
        <w:tc>
          <w:tcPr>
            <w:tcW w:w="10620" w:type="dxa"/>
            <w:vAlign w:val="bottom"/>
          </w:tcPr>
          <w:p>
            <w:pPr>
              <w:ind w:left="120"/>
              <w:spacing w:after="0"/>
              <w:rPr>
                <w:sz w:val="20"/>
                <w:szCs w:val="20"/>
                <w:color w:val="auto"/>
              </w:rPr>
            </w:pPr>
            <w:r>
              <w:rPr>
                <w:rFonts w:ascii="Arial" w:cs="Arial" w:eastAsia="Arial" w:hAnsi="Arial"/>
                <w:sz w:val="14"/>
                <w:szCs w:val="14"/>
                <w:color w:val="auto"/>
                <w:w w:val="92"/>
              </w:rPr>
              <w:t>Letter Agreement between Darryl Green and the Company dated as of April 4, 2007, incorporated by reference to the Company’s Annual Report on Form 10-K for the fiscal year ended</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December 31, 2007. **</w:t>
            </w:r>
          </w:p>
        </w:tc>
      </w:tr>
      <w:tr>
        <w:trPr>
          <w:trHeight w:val="415"/>
        </w:trPr>
        <w:tc>
          <w:tcPr>
            <w:tcW w:w="820" w:type="dxa"/>
            <w:vAlign w:val="bottom"/>
          </w:tcPr>
          <w:p>
            <w:pPr>
              <w:ind w:left="20"/>
              <w:spacing w:after="0"/>
              <w:rPr>
                <w:sz w:val="20"/>
                <w:szCs w:val="20"/>
                <w:color w:val="auto"/>
              </w:rPr>
            </w:pPr>
            <w:r>
              <w:rPr>
                <w:rFonts w:ascii="Arial" w:cs="Arial" w:eastAsia="Arial" w:hAnsi="Arial"/>
                <w:sz w:val="14"/>
                <w:szCs w:val="14"/>
                <w:color w:val="auto"/>
              </w:rPr>
              <w:t>10.9(a)</w:t>
            </w:r>
          </w:p>
        </w:tc>
        <w:tc>
          <w:tcPr>
            <w:tcW w:w="10620" w:type="dxa"/>
            <w:vAlign w:val="bottom"/>
          </w:tcPr>
          <w:p>
            <w:pPr>
              <w:ind w:left="120"/>
              <w:spacing w:after="0"/>
              <w:rPr>
                <w:sz w:val="20"/>
                <w:szCs w:val="20"/>
                <w:color w:val="auto"/>
              </w:rPr>
            </w:pPr>
            <w:r>
              <w:rPr>
                <w:rFonts w:ascii="Arial" w:cs="Arial" w:eastAsia="Arial" w:hAnsi="Arial"/>
                <w:sz w:val="14"/>
                <w:szCs w:val="14"/>
                <w:color w:val="auto"/>
                <w:w w:val="91"/>
              </w:rPr>
              <w:t>Terms and Conditions Regarding the Grant of Awards to Non-Employee Directors under the 2003 Equity Incentive Plan of Manpower Inc. (Amended and Restated Effective February 16,</w:t>
            </w:r>
          </w:p>
        </w:tc>
      </w:tr>
      <w:tr>
        <w:trPr>
          <w:trHeight w:val="175"/>
        </w:trPr>
        <w:tc>
          <w:tcPr>
            <w:tcW w:w="820" w:type="dxa"/>
            <w:vAlign w:val="bottom"/>
          </w:tcPr>
          <w:p>
            <w:pPr>
              <w:spacing w:after="0"/>
              <w:rPr>
                <w:sz w:val="15"/>
                <w:szCs w:val="15"/>
                <w:color w:val="auto"/>
              </w:rPr>
            </w:pPr>
          </w:p>
        </w:tc>
        <w:tc>
          <w:tcPr>
            <w:tcW w:w="10620" w:type="dxa"/>
            <w:vAlign w:val="bottom"/>
          </w:tcPr>
          <w:p>
            <w:pPr>
              <w:ind w:left="120"/>
              <w:spacing w:after="0"/>
              <w:rPr>
                <w:sz w:val="20"/>
                <w:szCs w:val="20"/>
                <w:color w:val="auto"/>
              </w:rPr>
            </w:pPr>
            <w:r>
              <w:rPr>
                <w:rFonts w:ascii="Arial" w:cs="Arial" w:eastAsia="Arial" w:hAnsi="Arial"/>
                <w:sz w:val="14"/>
                <w:szCs w:val="14"/>
                <w:color w:val="auto"/>
              </w:rPr>
              <w:t>2011), incorporated by reference to the Company’s Current Report on Form 8-K dated February 16, 2011. **</w:t>
            </w:r>
          </w:p>
        </w:tc>
      </w:tr>
      <w:tr>
        <w:trPr>
          <w:trHeight w:val="414"/>
        </w:trPr>
        <w:tc>
          <w:tcPr>
            <w:tcW w:w="820" w:type="dxa"/>
            <w:vAlign w:val="bottom"/>
          </w:tcPr>
          <w:p>
            <w:pPr>
              <w:ind w:left="20"/>
              <w:spacing w:after="0"/>
              <w:rPr>
                <w:sz w:val="20"/>
                <w:szCs w:val="20"/>
                <w:color w:val="auto"/>
              </w:rPr>
            </w:pPr>
            <w:r>
              <w:rPr>
                <w:rFonts w:ascii="Arial" w:cs="Arial" w:eastAsia="Arial" w:hAnsi="Arial"/>
                <w:sz w:val="14"/>
                <w:szCs w:val="14"/>
                <w:color w:val="auto"/>
              </w:rPr>
              <w:t>10.9(b)</w:t>
            </w:r>
          </w:p>
        </w:tc>
        <w:tc>
          <w:tcPr>
            <w:tcW w:w="10620" w:type="dxa"/>
            <w:vAlign w:val="bottom"/>
          </w:tcPr>
          <w:p>
            <w:pPr>
              <w:ind w:left="120"/>
              <w:spacing w:after="0"/>
              <w:rPr>
                <w:sz w:val="20"/>
                <w:szCs w:val="20"/>
                <w:color w:val="auto"/>
              </w:rPr>
            </w:pPr>
            <w:r>
              <w:rPr>
                <w:rFonts w:ascii="Arial" w:cs="Arial" w:eastAsia="Arial" w:hAnsi="Arial"/>
                <w:sz w:val="14"/>
                <w:szCs w:val="14"/>
                <w:color w:val="auto"/>
              </w:rPr>
              <w:t>Terms and Conditions Regarding the Grant of Awards to Non-Employee Directors Under the 2011 Equity Incentive Plan (Amended and Restated January 1, 2017). **</w:t>
            </w:r>
          </w:p>
        </w:tc>
      </w:tr>
      <w:tr>
        <w:trPr>
          <w:trHeight w:val="579"/>
        </w:trPr>
        <w:tc>
          <w:tcPr>
            <w:tcW w:w="82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440"/>
          </w:cols>
          <w:pgMar w:left="220" w:top="480"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 w:type="dxa"/>
            <w:vAlign w:val="bottom"/>
          </w:tcPr>
          <w:p>
            <w:pPr>
              <w:spacing w:after="0"/>
              <w:rPr>
                <w:sz w:val="20"/>
                <w:szCs w:val="20"/>
                <w:color w:val="auto"/>
              </w:rPr>
            </w:pPr>
            <w:r>
              <w:rPr>
                <w:rFonts w:ascii="Arial" w:cs="Arial" w:eastAsia="Arial" w:hAnsi="Arial"/>
                <w:sz w:val="14"/>
                <w:szCs w:val="14"/>
                <w:color w:val="auto"/>
              </w:rPr>
              <w:t>10.9(c)</w:t>
            </w:r>
          </w:p>
        </w:tc>
        <w:tc>
          <w:tcPr>
            <w:tcW w:w="10720" w:type="dxa"/>
            <w:vAlign w:val="bottom"/>
          </w:tcPr>
          <w:p>
            <w:pPr>
              <w:ind w:left="220"/>
              <w:spacing w:after="0"/>
              <w:rPr>
                <w:sz w:val="20"/>
                <w:szCs w:val="20"/>
                <w:color w:val="auto"/>
              </w:rPr>
            </w:pPr>
            <w:r>
              <w:rPr>
                <w:rFonts w:ascii="Arial" w:cs="Arial" w:eastAsia="Arial" w:hAnsi="Arial"/>
                <w:sz w:val="14"/>
                <w:szCs w:val="14"/>
                <w:color w:val="auto"/>
              </w:rPr>
              <w:t>ManpowerGroup Inc. Compensation for Non-Employee Directors (Amended and Restated Effective January 1, 2017). **</w:t>
            </w:r>
          </w:p>
        </w:tc>
      </w:tr>
      <w:tr>
        <w:trPr>
          <w:trHeight w:val="415"/>
        </w:trPr>
        <w:tc>
          <w:tcPr>
            <w:tcW w:w="700" w:type="dxa"/>
            <w:vAlign w:val="bottom"/>
          </w:tcPr>
          <w:p>
            <w:pPr>
              <w:spacing w:after="0"/>
              <w:rPr>
                <w:sz w:val="20"/>
                <w:szCs w:val="20"/>
                <w:color w:val="auto"/>
              </w:rPr>
            </w:pPr>
            <w:r>
              <w:rPr>
                <w:rFonts w:ascii="Arial" w:cs="Arial" w:eastAsia="Arial" w:hAnsi="Arial"/>
                <w:sz w:val="14"/>
                <w:szCs w:val="14"/>
                <w:color w:val="auto"/>
              </w:rPr>
              <w:t>10.9(d)</w:t>
            </w:r>
          </w:p>
        </w:tc>
        <w:tc>
          <w:tcPr>
            <w:tcW w:w="10720" w:type="dxa"/>
            <w:vAlign w:val="bottom"/>
          </w:tcPr>
          <w:p>
            <w:pPr>
              <w:ind w:left="220"/>
              <w:spacing w:after="0"/>
              <w:rPr>
                <w:sz w:val="20"/>
                <w:szCs w:val="20"/>
                <w:color w:val="auto"/>
              </w:rPr>
            </w:pPr>
            <w:r>
              <w:rPr>
                <w:rFonts w:ascii="Arial" w:cs="Arial" w:eastAsia="Arial" w:hAnsi="Arial"/>
                <w:sz w:val="14"/>
                <w:szCs w:val="14"/>
                <w:color w:val="auto"/>
                <w:w w:val="88"/>
              </w:rPr>
              <w:t>Amended and Restated Severance Agreement between Jonas Prising and the Company dated as of May 1, 2014, incorporated by reference to the Company’s Quarterly Report on Form 10-Q</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for the quarter ended June 30, 2014. **</w:t>
            </w:r>
          </w:p>
        </w:tc>
      </w:tr>
      <w:tr>
        <w:trPr>
          <w:trHeight w:val="404"/>
        </w:trPr>
        <w:tc>
          <w:tcPr>
            <w:tcW w:w="700" w:type="dxa"/>
            <w:vAlign w:val="bottom"/>
          </w:tcPr>
          <w:p>
            <w:pPr>
              <w:spacing w:after="0"/>
              <w:rPr>
                <w:sz w:val="20"/>
                <w:szCs w:val="20"/>
                <w:color w:val="auto"/>
              </w:rPr>
            </w:pPr>
            <w:r>
              <w:rPr>
                <w:rFonts w:ascii="Arial" w:cs="Arial" w:eastAsia="Arial" w:hAnsi="Arial"/>
                <w:sz w:val="14"/>
                <w:szCs w:val="14"/>
                <w:color w:val="auto"/>
              </w:rPr>
              <w:t>10.9(e)</w:t>
            </w:r>
          </w:p>
        </w:tc>
        <w:tc>
          <w:tcPr>
            <w:tcW w:w="10720" w:type="dxa"/>
            <w:vAlign w:val="bottom"/>
          </w:tcPr>
          <w:p>
            <w:pPr>
              <w:ind w:left="220"/>
              <w:spacing w:after="0"/>
              <w:rPr>
                <w:sz w:val="20"/>
                <w:szCs w:val="20"/>
                <w:color w:val="auto"/>
              </w:rPr>
            </w:pPr>
            <w:r>
              <w:rPr>
                <w:rFonts w:ascii="Arial" w:cs="Arial" w:eastAsia="Arial" w:hAnsi="Arial"/>
                <w:sz w:val="14"/>
                <w:szCs w:val="14"/>
                <w:color w:val="auto"/>
                <w:w w:val="88"/>
              </w:rPr>
              <w:t>Amended and Restated Severance Agreement between Mara Swan and the Company dated as of February 10, 2015, incorporated by reference to the Company’s Current Report on Form 8-K</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dated February 10, 2015. **</w:t>
            </w:r>
          </w:p>
        </w:tc>
      </w:tr>
      <w:tr>
        <w:trPr>
          <w:trHeight w:val="415"/>
        </w:trPr>
        <w:tc>
          <w:tcPr>
            <w:tcW w:w="700" w:type="dxa"/>
            <w:vAlign w:val="bottom"/>
          </w:tcPr>
          <w:p>
            <w:pPr>
              <w:spacing w:after="0"/>
              <w:rPr>
                <w:sz w:val="20"/>
                <w:szCs w:val="20"/>
                <w:color w:val="auto"/>
              </w:rPr>
            </w:pPr>
            <w:r>
              <w:rPr>
                <w:rFonts w:ascii="Arial" w:cs="Arial" w:eastAsia="Arial" w:hAnsi="Arial"/>
                <w:sz w:val="14"/>
                <w:szCs w:val="14"/>
                <w:color w:val="auto"/>
              </w:rPr>
              <w:t>10.9(f)</w:t>
            </w:r>
          </w:p>
        </w:tc>
        <w:tc>
          <w:tcPr>
            <w:tcW w:w="10720" w:type="dxa"/>
            <w:vAlign w:val="bottom"/>
          </w:tcPr>
          <w:p>
            <w:pPr>
              <w:ind w:left="220"/>
              <w:spacing w:after="0"/>
              <w:rPr>
                <w:sz w:val="20"/>
                <w:szCs w:val="20"/>
                <w:color w:val="auto"/>
              </w:rPr>
            </w:pPr>
            <w:r>
              <w:rPr>
                <w:rFonts w:ascii="Arial" w:cs="Arial" w:eastAsia="Arial" w:hAnsi="Arial"/>
                <w:sz w:val="14"/>
                <w:szCs w:val="14"/>
                <w:color w:val="auto"/>
                <w:w w:val="89"/>
              </w:rPr>
              <w:t>Amended and Restated Severance Agreement dated July 28, 2016 between the Company and Darryl Green, incorporated by reference to the Company’s Quarterly Report on Form 10-Q for</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the quarter ended June 30, 2016. **</w:t>
            </w:r>
          </w:p>
        </w:tc>
      </w:tr>
      <w:tr>
        <w:trPr>
          <w:trHeight w:val="404"/>
        </w:trPr>
        <w:tc>
          <w:tcPr>
            <w:tcW w:w="700" w:type="dxa"/>
            <w:vAlign w:val="bottom"/>
          </w:tcPr>
          <w:p>
            <w:pPr>
              <w:spacing w:after="0"/>
              <w:rPr>
                <w:sz w:val="20"/>
                <w:szCs w:val="20"/>
                <w:color w:val="auto"/>
              </w:rPr>
            </w:pPr>
            <w:r>
              <w:rPr>
                <w:rFonts w:ascii="Arial" w:cs="Arial" w:eastAsia="Arial" w:hAnsi="Arial"/>
                <w:sz w:val="14"/>
                <w:szCs w:val="14"/>
                <w:color w:val="auto"/>
              </w:rPr>
              <w:t>10.9(g)</w:t>
            </w:r>
          </w:p>
        </w:tc>
        <w:tc>
          <w:tcPr>
            <w:tcW w:w="10720" w:type="dxa"/>
            <w:vAlign w:val="bottom"/>
          </w:tcPr>
          <w:p>
            <w:pPr>
              <w:ind w:left="220"/>
              <w:spacing w:after="0"/>
              <w:rPr>
                <w:sz w:val="20"/>
                <w:szCs w:val="20"/>
                <w:color w:val="auto"/>
              </w:rPr>
            </w:pPr>
            <w:r>
              <w:rPr>
                <w:rFonts w:ascii="Arial" w:cs="Arial" w:eastAsia="Arial" w:hAnsi="Arial"/>
                <w:sz w:val="14"/>
                <w:szCs w:val="14"/>
                <w:color w:val="auto"/>
                <w:w w:val="89"/>
              </w:rPr>
              <w:t>Severance Agreement dated December 14, 2015 between the Company and Richard Buchband, incorporated by reference to the Company's Annual Report on Form 10-K for the year ended</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December 31, 2015. **</w:t>
            </w:r>
          </w:p>
        </w:tc>
      </w:tr>
      <w:tr>
        <w:trPr>
          <w:trHeight w:val="404"/>
        </w:trPr>
        <w:tc>
          <w:tcPr>
            <w:tcW w:w="700" w:type="dxa"/>
            <w:vAlign w:val="bottom"/>
          </w:tcPr>
          <w:p>
            <w:pPr>
              <w:spacing w:after="0"/>
              <w:rPr>
                <w:sz w:val="20"/>
                <w:szCs w:val="20"/>
                <w:color w:val="auto"/>
              </w:rPr>
            </w:pPr>
            <w:r>
              <w:rPr>
                <w:rFonts w:ascii="Arial" w:cs="Arial" w:eastAsia="Arial" w:hAnsi="Arial"/>
                <w:sz w:val="14"/>
                <w:szCs w:val="14"/>
                <w:color w:val="auto"/>
              </w:rPr>
              <w:t>10.9(h)</w:t>
            </w:r>
          </w:p>
        </w:tc>
        <w:tc>
          <w:tcPr>
            <w:tcW w:w="10720" w:type="dxa"/>
            <w:vAlign w:val="bottom"/>
          </w:tcPr>
          <w:p>
            <w:pPr>
              <w:ind w:left="220"/>
              <w:spacing w:after="0"/>
              <w:rPr>
                <w:sz w:val="20"/>
                <w:szCs w:val="20"/>
                <w:color w:val="auto"/>
              </w:rPr>
            </w:pPr>
            <w:r>
              <w:rPr>
                <w:rFonts w:ascii="Arial" w:cs="Arial" w:eastAsia="Arial" w:hAnsi="Arial"/>
                <w:sz w:val="14"/>
                <w:szCs w:val="14"/>
                <w:color w:val="auto"/>
                <w:w w:val="92"/>
              </w:rPr>
              <w:t>2003 Equity Incentive Plan of Manpower Inc. (Amended and Restated Effective April 28, 2009), incorporated by reference to the Company’s Registration Statement on Form S-8 dated</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September 4, 2009. **</w:t>
            </w:r>
          </w:p>
        </w:tc>
      </w:tr>
      <w:tr>
        <w:trPr>
          <w:trHeight w:val="414"/>
        </w:trPr>
        <w:tc>
          <w:tcPr>
            <w:tcW w:w="700" w:type="dxa"/>
            <w:vAlign w:val="bottom"/>
          </w:tcPr>
          <w:p>
            <w:pPr>
              <w:spacing w:after="0"/>
              <w:rPr>
                <w:sz w:val="20"/>
                <w:szCs w:val="20"/>
                <w:color w:val="auto"/>
              </w:rPr>
            </w:pPr>
            <w:r>
              <w:rPr>
                <w:rFonts w:ascii="Arial" w:cs="Arial" w:eastAsia="Arial" w:hAnsi="Arial"/>
                <w:sz w:val="14"/>
                <w:szCs w:val="14"/>
                <w:color w:val="auto"/>
              </w:rPr>
              <w:t>10.9(i)</w:t>
            </w:r>
          </w:p>
        </w:tc>
        <w:tc>
          <w:tcPr>
            <w:tcW w:w="10720" w:type="dxa"/>
            <w:vAlign w:val="bottom"/>
          </w:tcPr>
          <w:p>
            <w:pPr>
              <w:ind w:left="220"/>
              <w:spacing w:after="0"/>
              <w:rPr>
                <w:sz w:val="20"/>
                <w:szCs w:val="20"/>
                <w:color w:val="auto"/>
              </w:rPr>
            </w:pPr>
            <w:r>
              <w:rPr>
                <w:rFonts w:ascii="Arial" w:cs="Arial" w:eastAsia="Arial" w:hAnsi="Arial"/>
                <w:sz w:val="14"/>
                <w:szCs w:val="14"/>
                <w:color w:val="auto"/>
                <w:w w:val="96"/>
              </w:rPr>
              <w:t>Amendment of Manpower Inc. 2003 Equity Incentive Plan, incorporated by reference to the Company’s Quarterly Report on Form 10-Q for the quarter ended March 31, 2010. **</w:t>
            </w:r>
          </w:p>
        </w:tc>
      </w:tr>
      <w:tr>
        <w:trPr>
          <w:trHeight w:val="415"/>
        </w:trPr>
        <w:tc>
          <w:tcPr>
            <w:tcW w:w="700" w:type="dxa"/>
            <w:vAlign w:val="bottom"/>
          </w:tcPr>
          <w:p>
            <w:pPr>
              <w:spacing w:after="0"/>
              <w:rPr>
                <w:sz w:val="20"/>
                <w:szCs w:val="20"/>
                <w:color w:val="auto"/>
              </w:rPr>
            </w:pPr>
            <w:r>
              <w:rPr>
                <w:rFonts w:ascii="Arial" w:cs="Arial" w:eastAsia="Arial" w:hAnsi="Arial"/>
                <w:sz w:val="14"/>
                <w:szCs w:val="14"/>
                <w:color w:val="auto"/>
              </w:rPr>
              <w:t>10.9(j)</w:t>
            </w:r>
          </w:p>
        </w:tc>
        <w:tc>
          <w:tcPr>
            <w:tcW w:w="10720" w:type="dxa"/>
            <w:vAlign w:val="bottom"/>
          </w:tcPr>
          <w:p>
            <w:pPr>
              <w:ind w:left="220"/>
              <w:spacing w:after="0"/>
              <w:rPr>
                <w:sz w:val="20"/>
                <w:szCs w:val="20"/>
                <w:color w:val="auto"/>
              </w:rPr>
            </w:pPr>
            <w:r>
              <w:rPr>
                <w:rFonts w:ascii="Arial" w:cs="Arial" w:eastAsia="Arial" w:hAnsi="Arial"/>
                <w:sz w:val="14"/>
                <w:szCs w:val="14"/>
                <w:color w:val="auto"/>
                <w:w w:val="90"/>
              </w:rPr>
              <w:t>2011 Equity Incentive Plan of Manpower Inc. (Amended and Restated Effective April 29, 2014), incorporated by reference to the Company’s Quarterly Report on Form 10-Q for the quarter</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ended June 30, 2014. **</w:t>
            </w:r>
          </w:p>
        </w:tc>
      </w:tr>
      <w:tr>
        <w:trPr>
          <w:trHeight w:val="414"/>
        </w:trPr>
        <w:tc>
          <w:tcPr>
            <w:tcW w:w="700" w:type="dxa"/>
            <w:vAlign w:val="bottom"/>
          </w:tcPr>
          <w:p>
            <w:pPr>
              <w:spacing w:after="0"/>
              <w:rPr>
                <w:sz w:val="20"/>
                <w:szCs w:val="20"/>
                <w:color w:val="auto"/>
              </w:rPr>
            </w:pPr>
            <w:r>
              <w:rPr>
                <w:rFonts w:ascii="Arial" w:cs="Arial" w:eastAsia="Arial" w:hAnsi="Arial"/>
                <w:sz w:val="14"/>
                <w:szCs w:val="14"/>
                <w:color w:val="auto"/>
              </w:rPr>
              <w:t>10.9(k)</w:t>
            </w:r>
          </w:p>
        </w:tc>
        <w:tc>
          <w:tcPr>
            <w:tcW w:w="10720" w:type="dxa"/>
            <w:vAlign w:val="bottom"/>
          </w:tcPr>
          <w:p>
            <w:pPr>
              <w:ind w:left="220"/>
              <w:spacing w:after="0"/>
              <w:rPr>
                <w:sz w:val="20"/>
                <w:szCs w:val="20"/>
                <w:color w:val="auto"/>
              </w:rPr>
            </w:pPr>
            <w:r>
              <w:rPr>
                <w:rFonts w:ascii="Arial" w:cs="Arial" w:eastAsia="Arial" w:hAnsi="Arial"/>
                <w:sz w:val="14"/>
                <w:szCs w:val="14"/>
                <w:color w:val="auto"/>
              </w:rPr>
              <w:t>Form of Indemnification Agreement, incorporated by reference to the Company’s Current Report on Form 8-K dated October 31, 2006.</w:t>
            </w:r>
          </w:p>
        </w:tc>
      </w:tr>
      <w:tr>
        <w:trPr>
          <w:trHeight w:val="414"/>
        </w:trPr>
        <w:tc>
          <w:tcPr>
            <w:tcW w:w="700" w:type="dxa"/>
            <w:vAlign w:val="bottom"/>
          </w:tcPr>
          <w:p>
            <w:pPr>
              <w:spacing w:after="0"/>
              <w:rPr>
                <w:sz w:val="20"/>
                <w:szCs w:val="20"/>
                <w:color w:val="auto"/>
              </w:rPr>
            </w:pPr>
            <w:r>
              <w:rPr>
                <w:rFonts w:ascii="Arial" w:cs="Arial" w:eastAsia="Arial" w:hAnsi="Arial"/>
                <w:sz w:val="14"/>
                <w:szCs w:val="14"/>
                <w:color w:val="auto"/>
              </w:rPr>
              <w:t>10.10(a)</w:t>
            </w:r>
          </w:p>
        </w:tc>
        <w:tc>
          <w:tcPr>
            <w:tcW w:w="10720" w:type="dxa"/>
            <w:vAlign w:val="bottom"/>
          </w:tcPr>
          <w:p>
            <w:pPr>
              <w:ind w:left="220"/>
              <w:spacing w:after="0"/>
              <w:rPr>
                <w:sz w:val="20"/>
                <w:szCs w:val="20"/>
                <w:color w:val="auto"/>
              </w:rPr>
            </w:pPr>
            <w:r>
              <w:rPr>
                <w:rFonts w:ascii="Arial" w:cs="Arial" w:eastAsia="Arial" w:hAnsi="Arial"/>
                <w:sz w:val="14"/>
                <w:szCs w:val="14"/>
                <w:color w:val="auto"/>
                <w:w w:val="91"/>
              </w:rPr>
              <w:t>Form of Stock Option Agreement under 2011 Equity Incentive Plan, incorporated by reference to the Company’s Quarterly Report on Form 10-Q for the quarter ended March 31, 2012. **</w:t>
            </w:r>
          </w:p>
        </w:tc>
      </w:tr>
      <w:tr>
        <w:trPr>
          <w:trHeight w:val="404"/>
        </w:trPr>
        <w:tc>
          <w:tcPr>
            <w:tcW w:w="700" w:type="dxa"/>
            <w:vAlign w:val="bottom"/>
          </w:tcPr>
          <w:p>
            <w:pPr>
              <w:spacing w:after="0"/>
              <w:rPr>
                <w:sz w:val="20"/>
                <w:szCs w:val="20"/>
                <w:color w:val="auto"/>
              </w:rPr>
            </w:pPr>
            <w:r>
              <w:rPr>
                <w:rFonts w:ascii="Arial" w:cs="Arial" w:eastAsia="Arial" w:hAnsi="Arial"/>
                <w:sz w:val="14"/>
                <w:szCs w:val="14"/>
                <w:color w:val="auto"/>
              </w:rPr>
              <w:t>10.10(b)</w:t>
            </w:r>
          </w:p>
        </w:tc>
        <w:tc>
          <w:tcPr>
            <w:tcW w:w="10720" w:type="dxa"/>
            <w:vAlign w:val="bottom"/>
          </w:tcPr>
          <w:p>
            <w:pPr>
              <w:ind w:left="220"/>
              <w:spacing w:after="0"/>
              <w:rPr>
                <w:sz w:val="20"/>
                <w:szCs w:val="20"/>
                <w:color w:val="auto"/>
              </w:rPr>
            </w:pPr>
            <w:r>
              <w:rPr>
                <w:rFonts w:ascii="Arial" w:cs="Arial" w:eastAsia="Arial" w:hAnsi="Arial"/>
                <w:sz w:val="14"/>
                <w:szCs w:val="14"/>
                <w:color w:val="auto"/>
                <w:w w:val="91"/>
              </w:rPr>
              <w:t>Form of Restricted Stock Unit Agreement under 2011 Equity Incentive Plan, incorporated by reference to the Company’s Quarterly Report on Form 10-Q for the quarter ended March 31,</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2012. **</w:t>
            </w:r>
          </w:p>
        </w:tc>
      </w:tr>
      <w:tr>
        <w:trPr>
          <w:trHeight w:val="415"/>
        </w:trPr>
        <w:tc>
          <w:tcPr>
            <w:tcW w:w="700" w:type="dxa"/>
            <w:vAlign w:val="bottom"/>
          </w:tcPr>
          <w:p>
            <w:pPr>
              <w:spacing w:after="0"/>
              <w:rPr>
                <w:sz w:val="20"/>
                <w:szCs w:val="20"/>
                <w:color w:val="auto"/>
              </w:rPr>
            </w:pPr>
            <w:r>
              <w:rPr>
                <w:rFonts w:ascii="Arial" w:cs="Arial" w:eastAsia="Arial" w:hAnsi="Arial"/>
                <w:sz w:val="14"/>
                <w:szCs w:val="14"/>
                <w:color w:val="auto"/>
              </w:rPr>
              <w:t>10.10(c)</w:t>
            </w:r>
          </w:p>
        </w:tc>
        <w:tc>
          <w:tcPr>
            <w:tcW w:w="10720" w:type="dxa"/>
            <w:vAlign w:val="bottom"/>
          </w:tcPr>
          <w:p>
            <w:pPr>
              <w:ind w:left="220"/>
              <w:spacing w:after="0"/>
              <w:rPr>
                <w:sz w:val="20"/>
                <w:szCs w:val="20"/>
                <w:color w:val="auto"/>
              </w:rPr>
            </w:pPr>
            <w:r>
              <w:rPr>
                <w:rFonts w:ascii="Arial" w:cs="Arial" w:eastAsia="Arial" w:hAnsi="Arial"/>
                <w:sz w:val="14"/>
                <w:szCs w:val="14"/>
                <w:color w:val="auto"/>
                <w:w w:val="90"/>
              </w:rPr>
              <w:t>Form of Amendment to the 2012 and 2013 Performance Share Unit Agreements for Michael J. Van Handel, incorporated by reference to the Company’s Quarterly Report on Form 10-Q for</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the quarter ended June 30, 2014. **</w:t>
            </w:r>
          </w:p>
        </w:tc>
      </w:tr>
      <w:tr>
        <w:trPr>
          <w:trHeight w:val="404"/>
        </w:trPr>
        <w:tc>
          <w:tcPr>
            <w:tcW w:w="700" w:type="dxa"/>
            <w:vAlign w:val="bottom"/>
          </w:tcPr>
          <w:p>
            <w:pPr>
              <w:spacing w:after="0"/>
              <w:rPr>
                <w:sz w:val="20"/>
                <w:szCs w:val="20"/>
                <w:color w:val="auto"/>
              </w:rPr>
            </w:pPr>
            <w:r>
              <w:rPr>
                <w:rFonts w:ascii="Arial" w:cs="Arial" w:eastAsia="Arial" w:hAnsi="Arial"/>
                <w:sz w:val="14"/>
                <w:szCs w:val="14"/>
                <w:color w:val="auto"/>
              </w:rPr>
              <w:t>10.10(d)</w:t>
            </w:r>
          </w:p>
        </w:tc>
        <w:tc>
          <w:tcPr>
            <w:tcW w:w="10720" w:type="dxa"/>
            <w:vAlign w:val="bottom"/>
          </w:tcPr>
          <w:p>
            <w:pPr>
              <w:ind w:left="220"/>
              <w:spacing w:after="0"/>
              <w:rPr>
                <w:sz w:val="20"/>
                <w:szCs w:val="20"/>
                <w:color w:val="auto"/>
              </w:rPr>
            </w:pPr>
            <w:r>
              <w:rPr>
                <w:rFonts w:ascii="Arial" w:cs="Arial" w:eastAsia="Arial" w:hAnsi="Arial"/>
                <w:sz w:val="14"/>
                <w:szCs w:val="14"/>
                <w:color w:val="auto"/>
                <w:w w:val="90"/>
              </w:rPr>
              <w:t>Form of 2014 Career Share Agreement under the 2011 Equity Incentive Plan, incorporated by reference to the Company’s Quarterly Report on Form 10-Q for the quarter ended March 31,</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2014. **</w:t>
            </w:r>
          </w:p>
        </w:tc>
      </w:tr>
      <w:tr>
        <w:trPr>
          <w:trHeight w:val="415"/>
        </w:trPr>
        <w:tc>
          <w:tcPr>
            <w:tcW w:w="700" w:type="dxa"/>
            <w:vAlign w:val="bottom"/>
          </w:tcPr>
          <w:p>
            <w:pPr>
              <w:spacing w:after="0"/>
              <w:rPr>
                <w:sz w:val="20"/>
                <w:szCs w:val="20"/>
                <w:color w:val="auto"/>
              </w:rPr>
            </w:pPr>
            <w:r>
              <w:rPr>
                <w:rFonts w:ascii="Arial" w:cs="Arial" w:eastAsia="Arial" w:hAnsi="Arial"/>
                <w:sz w:val="14"/>
                <w:szCs w:val="14"/>
                <w:color w:val="auto"/>
              </w:rPr>
              <w:t>10.10(e)</w:t>
            </w:r>
          </w:p>
        </w:tc>
        <w:tc>
          <w:tcPr>
            <w:tcW w:w="10720" w:type="dxa"/>
            <w:vAlign w:val="bottom"/>
          </w:tcPr>
          <w:p>
            <w:pPr>
              <w:ind w:left="220"/>
              <w:spacing w:after="0"/>
              <w:rPr>
                <w:sz w:val="20"/>
                <w:szCs w:val="20"/>
                <w:color w:val="auto"/>
              </w:rPr>
            </w:pPr>
            <w:r>
              <w:rPr>
                <w:rFonts w:ascii="Arial" w:cs="Arial" w:eastAsia="Arial" w:hAnsi="Arial"/>
                <w:sz w:val="14"/>
                <w:szCs w:val="14"/>
                <w:color w:val="auto"/>
                <w:w w:val="90"/>
              </w:rPr>
              <w:t>Form of 2014 Performance Share Unit Agreement under the 2011 Equity Incentive Plan, incorporated by reference to the Company’s Quarterly Report on Form 10-Q for the quarter ended</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March 31, 2014. **</w:t>
            </w:r>
          </w:p>
        </w:tc>
      </w:tr>
      <w:tr>
        <w:trPr>
          <w:trHeight w:val="415"/>
        </w:trPr>
        <w:tc>
          <w:tcPr>
            <w:tcW w:w="700" w:type="dxa"/>
            <w:vAlign w:val="bottom"/>
          </w:tcPr>
          <w:p>
            <w:pPr>
              <w:spacing w:after="0"/>
              <w:rPr>
                <w:sz w:val="20"/>
                <w:szCs w:val="20"/>
                <w:color w:val="auto"/>
              </w:rPr>
            </w:pPr>
            <w:r>
              <w:rPr>
                <w:rFonts w:ascii="Arial" w:cs="Arial" w:eastAsia="Arial" w:hAnsi="Arial"/>
                <w:sz w:val="14"/>
                <w:szCs w:val="14"/>
                <w:color w:val="auto"/>
              </w:rPr>
              <w:t>10.10(f)</w:t>
            </w:r>
          </w:p>
        </w:tc>
        <w:tc>
          <w:tcPr>
            <w:tcW w:w="10720" w:type="dxa"/>
            <w:vAlign w:val="bottom"/>
          </w:tcPr>
          <w:p>
            <w:pPr>
              <w:ind w:left="220"/>
              <w:spacing w:after="0"/>
              <w:rPr>
                <w:sz w:val="20"/>
                <w:szCs w:val="20"/>
                <w:color w:val="auto"/>
              </w:rPr>
            </w:pPr>
            <w:r>
              <w:rPr>
                <w:rFonts w:ascii="Arial" w:cs="Arial" w:eastAsia="Arial" w:hAnsi="Arial"/>
                <w:sz w:val="14"/>
                <w:szCs w:val="14"/>
                <w:color w:val="auto"/>
                <w:w w:val="90"/>
              </w:rPr>
              <w:t>Form of 2014 Performance Share Unit Agreement for Mr. Van Handel under the 2011 Equity Incentive Plan, incorporated by reference to the Company’s Quarterly Report on Form 10-Q for</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the quarter ended March 31, 2014. **</w:t>
            </w:r>
          </w:p>
        </w:tc>
      </w:tr>
      <w:tr>
        <w:trPr>
          <w:trHeight w:val="404"/>
        </w:trPr>
        <w:tc>
          <w:tcPr>
            <w:tcW w:w="700" w:type="dxa"/>
            <w:vAlign w:val="bottom"/>
          </w:tcPr>
          <w:p>
            <w:pPr>
              <w:spacing w:after="0"/>
              <w:rPr>
                <w:sz w:val="20"/>
                <w:szCs w:val="20"/>
                <w:color w:val="auto"/>
              </w:rPr>
            </w:pPr>
            <w:r>
              <w:rPr>
                <w:rFonts w:ascii="Arial" w:cs="Arial" w:eastAsia="Arial" w:hAnsi="Arial"/>
                <w:sz w:val="14"/>
                <w:szCs w:val="14"/>
                <w:color w:val="auto"/>
              </w:rPr>
              <w:t>10.10(g)</w:t>
            </w:r>
          </w:p>
        </w:tc>
        <w:tc>
          <w:tcPr>
            <w:tcW w:w="10720" w:type="dxa"/>
            <w:vAlign w:val="bottom"/>
          </w:tcPr>
          <w:p>
            <w:pPr>
              <w:ind w:left="220"/>
              <w:spacing w:after="0"/>
              <w:rPr>
                <w:sz w:val="20"/>
                <w:szCs w:val="20"/>
                <w:color w:val="auto"/>
              </w:rPr>
            </w:pPr>
            <w:r>
              <w:rPr>
                <w:rFonts w:ascii="Arial" w:cs="Arial" w:eastAsia="Arial" w:hAnsi="Arial"/>
                <w:sz w:val="14"/>
                <w:szCs w:val="14"/>
                <w:color w:val="auto"/>
                <w:w w:val="91"/>
              </w:rPr>
              <w:t>Form of 2016 Performance Share Unit Agreement under 2011 Equity Incentive Plan of ManpowerGroup Inc., incorporated by reference to the Company's Quarterly Report on Form 10-Q</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for the Quarter ended March 31, 2016. **</w:t>
            </w:r>
          </w:p>
        </w:tc>
      </w:tr>
      <w:tr>
        <w:trPr>
          <w:trHeight w:val="404"/>
        </w:trPr>
        <w:tc>
          <w:tcPr>
            <w:tcW w:w="700" w:type="dxa"/>
            <w:vAlign w:val="bottom"/>
          </w:tcPr>
          <w:p>
            <w:pPr>
              <w:spacing w:after="0"/>
              <w:rPr>
                <w:sz w:val="20"/>
                <w:szCs w:val="20"/>
                <w:color w:val="auto"/>
              </w:rPr>
            </w:pPr>
            <w:r>
              <w:rPr>
                <w:rFonts w:ascii="Arial" w:cs="Arial" w:eastAsia="Arial" w:hAnsi="Arial"/>
                <w:sz w:val="14"/>
                <w:szCs w:val="14"/>
                <w:color w:val="auto"/>
              </w:rPr>
              <w:t>10.11(a)</w:t>
            </w:r>
          </w:p>
        </w:tc>
        <w:tc>
          <w:tcPr>
            <w:tcW w:w="10720" w:type="dxa"/>
            <w:vAlign w:val="bottom"/>
          </w:tcPr>
          <w:p>
            <w:pPr>
              <w:ind w:left="220"/>
              <w:spacing w:after="0"/>
              <w:rPr>
                <w:sz w:val="20"/>
                <w:szCs w:val="20"/>
                <w:color w:val="auto"/>
              </w:rPr>
            </w:pPr>
            <w:r>
              <w:rPr>
                <w:rFonts w:ascii="Arial" w:cs="Arial" w:eastAsia="Arial" w:hAnsi="Arial"/>
                <w:sz w:val="14"/>
                <w:szCs w:val="14"/>
                <w:color w:val="auto"/>
                <w:w w:val="89"/>
              </w:rPr>
              <w:t>Severance Agreement between Ram Chandrashekar and the Company dated October 29, 2015, incorporated by reference to the Company's Quarterly Report on Form 10-Q for the quarter</w:t>
            </w:r>
          </w:p>
        </w:tc>
      </w:tr>
      <w:tr>
        <w:trPr>
          <w:trHeight w:val="175"/>
        </w:trPr>
        <w:tc>
          <w:tcPr>
            <w:tcW w:w="700" w:type="dxa"/>
            <w:vAlign w:val="bottom"/>
          </w:tcPr>
          <w:p>
            <w:pPr>
              <w:spacing w:after="0"/>
              <w:rPr>
                <w:sz w:val="15"/>
                <w:szCs w:val="15"/>
                <w:color w:val="auto"/>
              </w:rPr>
            </w:pPr>
          </w:p>
        </w:tc>
        <w:tc>
          <w:tcPr>
            <w:tcW w:w="10720" w:type="dxa"/>
            <w:vAlign w:val="bottom"/>
          </w:tcPr>
          <w:p>
            <w:pPr>
              <w:ind w:left="220"/>
              <w:spacing w:after="0"/>
              <w:rPr>
                <w:sz w:val="20"/>
                <w:szCs w:val="20"/>
                <w:color w:val="auto"/>
              </w:rPr>
            </w:pPr>
            <w:r>
              <w:rPr>
                <w:rFonts w:ascii="Arial" w:cs="Arial" w:eastAsia="Arial" w:hAnsi="Arial"/>
                <w:sz w:val="14"/>
                <w:szCs w:val="14"/>
                <w:color w:val="auto"/>
              </w:rPr>
              <w:t>ended September 30, 2015. **</w:t>
            </w:r>
          </w:p>
        </w:tc>
      </w:tr>
      <w:tr>
        <w:trPr>
          <w:trHeight w:val="579"/>
        </w:trPr>
        <w:tc>
          <w:tcPr>
            <w:tcW w:w="700" w:type="dxa"/>
            <w:vAlign w:val="bottom"/>
          </w:tcPr>
          <w:p>
            <w:pPr>
              <w:spacing w:after="0"/>
              <w:rPr>
                <w:sz w:val="24"/>
                <w:szCs w:val="24"/>
                <w:color w:val="auto"/>
              </w:rPr>
            </w:pPr>
          </w:p>
        </w:tc>
        <w:tc>
          <w:tcPr>
            <w:tcW w:w="10720" w:type="dxa"/>
            <w:vAlign w:val="bottom"/>
          </w:tcPr>
          <w:p>
            <w:pPr>
              <w:ind w:left="4940"/>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420"/>
          </w:cols>
          <w:pgMar w:left="240" w:top="605" w:right="239" w:bottom="1440" w:gutter="0" w:footer="0" w:header="0"/>
        </w:sectPr>
      </w:pPr>
    </w:p>
    <w:bookmarkStart w:id="27" w:name="page28"/>
    <w:bookmarkEnd w:id="27"/>
    <w:p>
      <w:pPr>
        <w:ind w:left="940" w:right="380" w:hanging="920"/>
        <w:spacing w:after="0" w:line="267" w:lineRule="auto"/>
        <w:tabs>
          <w:tab w:leader="none" w:pos="920" w:val="left"/>
        </w:tabs>
        <w:rPr>
          <w:sz w:val="20"/>
          <w:szCs w:val="20"/>
          <w:color w:val="auto"/>
        </w:rPr>
      </w:pPr>
      <w:r>
        <w:rPr>
          <w:rFonts w:ascii="Arial" w:cs="Arial" w:eastAsia="Arial" w:hAnsi="Arial"/>
          <w:sz w:val="14"/>
          <w:szCs w:val="14"/>
          <w:color w:val="auto"/>
        </w:rPr>
        <w:t>10.11(b)</w:t>
      </w:r>
      <w:r>
        <w:rPr>
          <w:sz w:val="20"/>
          <w:szCs w:val="20"/>
          <w:color w:val="auto"/>
        </w:rPr>
        <w:tab/>
      </w:r>
      <w:r>
        <w:rPr>
          <w:rFonts w:ascii="Arial" w:cs="Arial" w:eastAsia="Arial" w:hAnsi="Arial"/>
          <w:sz w:val="14"/>
          <w:szCs w:val="14"/>
          <w:color w:val="auto"/>
        </w:rPr>
        <w:t>Letter Agreement between Ram Chandrashekar and the Company dated March 8, 2013, incorporated by reference to the Company's Annual Report on Form 10-K for the year ended December 31, 2014. **</w:t>
      </w:r>
    </w:p>
    <w:p>
      <w:pPr>
        <w:spacing w:after="0" w:line="221"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4"/>
          <w:szCs w:val="14"/>
          <w:color w:val="auto"/>
        </w:rPr>
        <w:t>10.12(a)</w:t>
      </w:r>
      <w:r>
        <w:rPr>
          <w:sz w:val="20"/>
          <w:szCs w:val="20"/>
          <w:color w:val="auto"/>
        </w:rPr>
        <w:tab/>
      </w:r>
      <w:r>
        <w:rPr>
          <w:rFonts w:ascii="Arial" w:cs="Arial" w:eastAsia="Arial" w:hAnsi="Arial"/>
          <w:sz w:val="11"/>
          <w:szCs w:val="11"/>
          <w:color w:val="auto"/>
        </w:rPr>
        <w:t>Severance Agreement between John T. McGinnis and the Company dated February 15, 2016, incorporated by reference to the Company's Current Report on Form 8-K dated February 15,</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4"/>
          <w:szCs w:val="14"/>
          <w:color w:val="auto"/>
        </w:rPr>
        <w:t>2015. **</w:t>
      </w:r>
    </w:p>
    <w:p>
      <w:pPr>
        <w:spacing w:after="0" w:line="285"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4"/>
          <w:szCs w:val="14"/>
          <w:color w:val="auto"/>
        </w:rPr>
        <w:t>10.12(b)</w:t>
      </w:r>
      <w:r>
        <w:rPr>
          <w:sz w:val="20"/>
          <w:szCs w:val="20"/>
          <w:color w:val="auto"/>
        </w:rPr>
        <w:tab/>
      </w:r>
      <w:r>
        <w:rPr>
          <w:rFonts w:ascii="Arial" w:cs="Arial" w:eastAsia="Arial" w:hAnsi="Arial"/>
          <w:sz w:val="11"/>
          <w:szCs w:val="11"/>
          <w:color w:val="auto"/>
        </w:rPr>
        <w:t>Letter Agreement between John T. McGinnis and the Company dated as of November 17, 2015, incorporated by reference to the Company's Current Report on Form 8-K dated January 28,</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4"/>
          <w:szCs w:val="14"/>
          <w:color w:val="auto"/>
        </w:rPr>
        <w:t>2016. **</w:t>
      </w:r>
    </w:p>
    <w:p>
      <w:pPr>
        <w:spacing w:after="0" w:line="285"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1"/>
          <w:szCs w:val="11"/>
          <w:color w:val="auto"/>
        </w:rPr>
        <w:t>Statement Regarding Computation of Ratio of Earnings to Fixed Charges.</w:t>
      </w:r>
    </w:p>
    <w:p>
      <w:pPr>
        <w:spacing w:after="0" w:line="253" w:lineRule="exact"/>
        <w:rPr>
          <w:sz w:val="20"/>
          <w:szCs w:val="20"/>
          <w:color w:val="auto"/>
        </w:rPr>
      </w:pPr>
    </w:p>
    <w:p>
      <w:pPr>
        <w:ind w:left="940" w:right="80" w:hanging="917"/>
        <w:spacing w:after="0" w:line="267" w:lineRule="auto"/>
        <w:tabs>
          <w:tab w:leader="none" w:pos="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2016 Annual Report to Shareholders. Pursuant to Item 601(b)(13) of Regulation S-K, the portions of the Annual Report incorporated by reference in this Form 10-K are filed as an exhibit hereto.</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 w:type="dxa"/>
            <w:vAlign w:val="bottom"/>
          </w:tcPr>
          <w:p>
            <w:pPr>
              <w:spacing w:after="0"/>
              <w:rPr>
                <w:sz w:val="20"/>
                <w:szCs w:val="20"/>
                <w:color w:val="auto"/>
              </w:rPr>
            </w:pPr>
            <w:r>
              <w:rPr>
                <w:rFonts w:ascii="Arial" w:cs="Arial" w:eastAsia="Arial" w:hAnsi="Arial"/>
                <w:sz w:val="14"/>
                <w:szCs w:val="14"/>
                <w:color w:val="auto"/>
              </w:rPr>
              <w:t>21</w:t>
            </w:r>
          </w:p>
        </w:tc>
        <w:tc>
          <w:tcPr>
            <w:tcW w:w="9160" w:type="dxa"/>
            <w:vAlign w:val="bottom"/>
          </w:tcPr>
          <w:p>
            <w:pPr>
              <w:ind w:left="340"/>
              <w:spacing w:after="0"/>
              <w:rPr>
                <w:sz w:val="20"/>
                <w:szCs w:val="20"/>
                <w:color w:val="auto"/>
              </w:rPr>
            </w:pPr>
            <w:r>
              <w:rPr>
                <w:rFonts w:ascii="Arial" w:cs="Arial" w:eastAsia="Arial" w:hAnsi="Arial"/>
                <w:sz w:val="14"/>
                <w:szCs w:val="14"/>
                <w:color w:val="auto"/>
              </w:rPr>
              <w:t>Subsidiaries of the Company.</w:t>
            </w:r>
          </w:p>
        </w:tc>
      </w:tr>
      <w:tr>
        <w:trPr>
          <w:trHeight w:val="414"/>
        </w:trPr>
        <w:tc>
          <w:tcPr>
            <w:tcW w:w="580" w:type="dxa"/>
            <w:vAlign w:val="bottom"/>
          </w:tcPr>
          <w:p>
            <w:pPr>
              <w:spacing w:after="0"/>
              <w:rPr>
                <w:sz w:val="20"/>
                <w:szCs w:val="20"/>
                <w:color w:val="auto"/>
              </w:rPr>
            </w:pPr>
            <w:r>
              <w:rPr>
                <w:rFonts w:ascii="Arial" w:cs="Arial" w:eastAsia="Arial" w:hAnsi="Arial"/>
                <w:sz w:val="14"/>
                <w:szCs w:val="14"/>
                <w:color w:val="auto"/>
              </w:rPr>
              <w:t>23.1</w:t>
            </w:r>
          </w:p>
        </w:tc>
        <w:tc>
          <w:tcPr>
            <w:tcW w:w="9160" w:type="dxa"/>
            <w:vAlign w:val="bottom"/>
          </w:tcPr>
          <w:p>
            <w:pPr>
              <w:ind w:left="340"/>
              <w:spacing w:after="0"/>
              <w:rPr>
                <w:sz w:val="20"/>
                <w:szCs w:val="20"/>
                <w:color w:val="auto"/>
              </w:rPr>
            </w:pPr>
            <w:r>
              <w:rPr>
                <w:rFonts w:ascii="Arial" w:cs="Arial" w:eastAsia="Arial" w:hAnsi="Arial"/>
                <w:sz w:val="14"/>
                <w:szCs w:val="14"/>
                <w:color w:val="auto"/>
              </w:rPr>
              <w:t>Consent of Deloitte &amp; Touche LLP.</w:t>
            </w:r>
          </w:p>
        </w:tc>
      </w:tr>
      <w:tr>
        <w:trPr>
          <w:trHeight w:val="414"/>
        </w:trPr>
        <w:tc>
          <w:tcPr>
            <w:tcW w:w="580" w:type="dxa"/>
            <w:vAlign w:val="bottom"/>
          </w:tcPr>
          <w:p>
            <w:pPr>
              <w:spacing w:after="0"/>
              <w:rPr>
                <w:sz w:val="20"/>
                <w:szCs w:val="20"/>
                <w:color w:val="auto"/>
              </w:rPr>
            </w:pPr>
            <w:r>
              <w:rPr>
                <w:rFonts w:ascii="Arial" w:cs="Arial" w:eastAsia="Arial" w:hAnsi="Arial"/>
                <w:sz w:val="14"/>
                <w:szCs w:val="14"/>
                <w:color w:val="auto"/>
              </w:rPr>
              <w:t>24</w:t>
            </w:r>
          </w:p>
        </w:tc>
        <w:tc>
          <w:tcPr>
            <w:tcW w:w="9160" w:type="dxa"/>
            <w:vAlign w:val="bottom"/>
          </w:tcPr>
          <w:p>
            <w:pPr>
              <w:ind w:left="340"/>
              <w:spacing w:after="0"/>
              <w:rPr>
                <w:sz w:val="20"/>
                <w:szCs w:val="20"/>
                <w:color w:val="auto"/>
              </w:rPr>
            </w:pPr>
            <w:r>
              <w:rPr>
                <w:rFonts w:ascii="Arial" w:cs="Arial" w:eastAsia="Arial" w:hAnsi="Arial"/>
                <w:sz w:val="14"/>
                <w:szCs w:val="14"/>
                <w:color w:val="auto"/>
              </w:rPr>
              <w:t>Power of Attorney.</w:t>
            </w:r>
          </w:p>
        </w:tc>
      </w:tr>
      <w:tr>
        <w:trPr>
          <w:trHeight w:val="414"/>
        </w:trPr>
        <w:tc>
          <w:tcPr>
            <w:tcW w:w="580" w:type="dxa"/>
            <w:vAlign w:val="bottom"/>
          </w:tcPr>
          <w:p>
            <w:pPr>
              <w:spacing w:after="0"/>
              <w:rPr>
                <w:sz w:val="20"/>
                <w:szCs w:val="20"/>
                <w:color w:val="auto"/>
              </w:rPr>
            </w:pPr>
            <w:r>
              <w:rPr>
                <w:rFonts w:ascii="Arial" w:cs="Arial" w:eastAsia="Arial" w:hAnsi="Arial"/>
                <w:sz w:val="14"/>
                <w:szCs w:val="14"/>
                <w:color w:val="auto"/>
              </w:rPr>
              <w:t>31.1</w:t>
            </w:r>
          </w:p>
        </w:tc>
        <w:tc>
          <w:tcPr>
            <w:tcW w:w="9160" w:type="dxa"/>
            <w:vAlign w:val="bottom"/>
          </w:tcPr>
          <w:p>
            <w:pPr>
              <w:ind w:left="340"/>
              <w:spacing w:after="0"/>
              <w:rPr>
                <w:sz w:val="20"/>
                <w:szCs w:val="20"/>
                <w:color w:val="auto"/>
              </w:rPr>
            </w:pPr>
            <w:r>
              <w:rPr>
                <w:rFonts w:ascii="Arial" w:cs="Arial" w:eastAsia="Arial" w:hAnsi="Arial"/>
                <w:sz w:val="14"/>
                <w:szCs w:val="14"/>
                <w:color w:val="auto"/>
              </w:rPr>
              <w:t>Certification of Jonas Prising, Chief Executive Officer, pursuant to Section 13a-14(a) of the Securities Exchange Act of 1934.</w:t>
            </w:r>
          </w:p>
        </w:tc>
      </w:tr>
      <w:tr>
        <w:trPr>
          <w:trHeight w:val="414"/>
        </w:trPr>
        <w:tc>
          <w:tcPr>
            <w:tcW w:w="580" w:type="dxa"/>
            <w:vAlign w:val="bottom"/>
          </w:tcPr>
          <w:p>
            <w:pPr>
              <w:spacing w:after="0"/>
              <w:rPr>
                <w:sz w:val="20"/>
                <w:szCs w:val="20"/>
                <w:color w:val="auto"/>
              </w:rPr>
            </w:pPr>
            <w:r>
              <w:rPr>
                <w:rFonts w:ascii="Arial" w:cs="Arial" w:eastAsia="Arial" w:hAnsi="Arial"/>
                <w:sz w:val="14"/>
                <w:szCs w:val="14"/>
                <w:color w:val="auto"/>
              </w:rPr>
              <w:t>31.2</w:t>
            </w:r>
          </w:p>
        </w:tc>
        <w:tc>
          <w:tcPr>
            <w:tcW w:w="9160" w:type="dxa"/>
            <w:vAlign w:val="bottom"/>
          </w:tcPr>
          <w:p>
            <w:pPr>
              <w:ind w:left="340"/>
              <w:spacing w:after="0"/>
              <w:rPr>
                <w:sz w:val="20"/>
                <w:szCs w:val="20"/>
                <w:color w:val="auto"/>
              </w:rPr>
            </w:pPr>
            <w:r>
              <w:rPr>
                <w:rFonts w:ascii="Arial" w:cs="Arial" w:eastAsia="Arial" w:hAnsi="Arial"/>
                <w:sz w:val="14"/>
                <w:szCs w:val="14"/>
                <w:color w:val="auto"/>
                <w:w w:val="90"/>
              </w:rPr>
              <w:t>Certification of John T. McGinnis, Executive Vice President and Chief Financial Officer, pursuant to Section 13a-14(a) of the Securities Exchange Act of 1934.</w:t>
            </w:r>
          </w:p>
        </w:tc>
      </w:tr>
      <w:tr>
        <w:trPr>
          <w:trHeight w:val="414"/>
        </w:trPr>
        <w:tc>
          <w:tcPr>
            <w:tcW w:w="580" w:type="dxa"/>
            <w:vAlign w:val="bottom"/>
          </w:tcPr>
          <w:p>
            <w:pPr>
              <w:spacing w:after="0"/>
              <w:rPr>
                <w:sz w:val="20"/>
                <w:szCs w:val="20"/>
                <w:color w:val="auto"/>
              </w:rPr>
            </w:pPr>
            <w:r>
              <w:rPr>
                <w:rFonts w:ascii="Arial" w:cs="Arial" w:eastAsia="Arial" w:hAnsi="Arial"/>
                <w:sz w:val="14"/>
                <w:szCs w:val="14"/>
                <w:color w:val="auto"/>
              </w:rPr>
              <w:t>32.1</w:t>
            </w:r>
          </w:p>
        </w:tc>
        <w:tc>
          <w:tcPr>
            <w:tcW w:w="9160" w:type="dxa"/>
            <w:vAlign w:val="bottom"/>
          </w:tcPr>
          <w:p>
            <w:pPr>
              <w:ind w:left="340"/>
              <w:spacing w:after="0"/>
              <w:rPr>
                <w:sz w:val="20"/>
                <w:szCs w:val="20"/>
                <w:color w:val="auto"/>
              </w:rPr>
            </w:pPr>
            <w:r>
              <w:rPr>
                <w:rFonts w:ascii="Arial" w:cs="Arial" w:eastAsia="Arial" w:hAnsi="Arial"/>
                <w:sz w:val="14"/>
                <w:szCs w:val="14"/>
                <w:color w:val="auto"/>
              </w:rPr>
              <w:t>Statement of Jonas Prising, Chief Executive Officer, pursuant to 18 U.S.C. ss. 1350.</w:t>
            </w:r>
          </w:p>
        </w:tc>
      </w:tr>
      <w:tr>
        <w:trPr>
          <w:trHeight w:val="414"/>
        </w:trPr>
        <w:tc>
          <w:tcPr>
            <w:tcW w:w="580" w:type="dxa"/>
            <w:vAlign w:val="bottom"/>
          </w:tcPr>
          <w:p>
            <w:pPr>
              <w:spacing w:after="0"/>
              <w:rPr>
                <w:sz w:val="20"/>
                <w:szCs w:val="20"/>
                <w:color w:val="auto"/>
              </w:rPr>
            </w:pPr>
            <w:r>
              <w:rPr>
                <w:rFonts w:ascii="Arial" w:cs="Arial" w:eastAsia="Arial" w:hAnsi="Arial"/>
                <w:sz w:val="14"/>
                <w:szCs w:val="14"/>
                <w:color w:val="auto"/>
              </w:rPr>
              <w:t>32.2</w:t>
            </w:r>
          </w:p>
        </w:tc>
        <w:tc>
          <w:tcPr>
            <w:tcW w:w="9160" w:type="dxa"/>
            <w:vAlign w:val="bottom"/>
          </w:tcPr>
          <w:p>
            <w:pPr>
              <w:ind w:left="340"/>
              <w:spacing w:after="0"/>
              <w:rPr>
                <w:sz w:val="20"/>
                <w:szCs w:val="20"/>
                <w:color w:val="auto"/>
              </w:rPr>
            </w:pPr>
            <w:r>
              <w:rPr>
                <w:rFonts w:ascii="Arial" w:cs="Arial" w:eastAsia="Arial" w:hAnsi="Arial"/>
                <w:sz w:val="14"/>
                <w:szCs w:val="14"/>
                <w:color w:val="auto"/>
              </w:rPr>
              <w:t>Statement of John T. McGinnis, Executive Vice President and Chief Financial Officer, pursuant to 18 U.S.C. ss. 1350.</w:t>
            </w:r>
          </w:p>
        </w:tc>
      </w:tr>
    </w:tbl>
    <w:p>
      <w:pPr>
        <w:spacing w:after="0" w:line="239" w:lineRule="exact"/>
        <w:rPr>
          <w:sz w:val="20"/>
          <w:szCs w:val="20"/>
          <w:color w:val="auto"/>
        </w:rPr>
      </w:pPr>
    </w:p>
    <w:p>
      <w:pPr>
        <w:ind w:left="940" w:right="300" w:hanging="917"/>
        <w:spacing w:after="0" w:line="322" w:lineRule="auto"/>
        <w:tabs>
          <w:tab w:leader="none" w:pos="9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following materials from the Company’s Annual Report on Form 10-K for the year ended December 31, 2016, formatted in XBRL (Extensible Business Reporting Language): (i) Consolidated Balance Sheets, (ii) Consolidated Statements of Operations, (iii) Consolidated Statements of Comprehensive Income, (iv) Consolidated Statements of Cash Flows,</w:t>
      </w:r>
    </w:p>
    <w:p>
      <w:pPr>
        <w:ind w:left="940"/>
        <w:spacing w:after="0"/>
        <w:rPr>
          <w:rFonts w:ascii="Arial" w:cs="Arial" w:eastAsia="Arial" w:hAnsi="Arial"/>
          <w:sz w:val="11"/>
          <w:szCs w:val="11"/>
          <w:color w:val="auto"/>
        </w:rPr>
      </w:pPr>
      <w:r>
        <w:rPr>
          <w:rFonts w:ascii="Arial" w:cs="Arial" w:eastAsia="Arial" w:hAnsi="Arial"/>
          <w:sz w:val="14"/>
          <w:szCs w:val="14"/>
          <w:color w:val="auto"/>
        </w:rPr>
        <w:t>(v) Consolidated Statements of Shareholders’ Equity, (vi) Notes to Consolidated Financial Statements and (vii) Schedule II – Valuation and Qualifying Accounts.</w:t>
      </w:r>
    </w:p>
    <w:p>
      <w:pPr>
        <w:spacing w:after="0" w:line="16" w:lineRule="exact"/>
        <w:rPr>
          <w:sz w:val="20"/>
          <w:szCs w:val="20"/>
          <w:color w:val="auto"/>
        </w:rPr>
      </w:pPr>
    </w:p>
    <w:p>
      <w:pPr>
        <w:ind w:left="40"/>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Management contract or compensatory plan or arrangement.</w:t>
      </w:r>
    </w:p>
    <w:p>
      <w:pPr>
        <w:spacing w:after="0" w:line="33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3"/>
          <w:szCs w:val="13"/>
          <w:b w:val="1"/>
          <w:bCs w:val="1"/>
          <w:color w:val="auto"/>
        </w:rPr>
        <w:t>Form 10-K summary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20"/>
          </w:cols>
          <w:pgMar w:left="220" w:top="605" w:right="3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4" w:lineRule="exact"/>
        <w:rPr>
          <w:sz w:val="20"/>
          <w:szCs w:val="20"/>
          <w:color w:val="auto"/>
        </w:rPr>
      </w:pPr>
    </w:p>
    <w:p>
      <w:pPr>
        <w:ind w:right="320" w:firstLine="372"/>
        <w:spacing w:after="0" w:line="267"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MANPOWERGROUP INC.</w:t>
      </w:r>
    </w:p>
    <w:p>
      <w:pPr>
        <w:spacing w:after="0" w:line="253" w:lineRule="exact"/>
        <w:rPr>
          <w:sz w:val="20"/>
          <w:szCs w:val="20"/>
          <w:color w:val="auto"/>
        </w:rPr>
      </w:pPr>
    </w:p>
    <w:p>
      <w:pPr>
        <w:ind w:left="6100"/>
        <w:spacing w:after="0"/>
        <w:tabs>
          <w:tab w:leader="none" w:pos="67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u w:val="single" w:color="auto"/>
          <w:color w:val="auto"/>
        </w:rPr>
        <w:t>/s/ Jonas Prising</w:t>
      </w:r>
    </w:p>
    <w:p>
      <w:pPr>
        <w:spacing w:after="0" w:line="46"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Jonas Prising</w:t>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Chairman and Chief Executive Officer</w:t>
      </w:r>
    </w:p>
    <w:p>
      <w:pPr>
        <w:spacing w:after="0" w:line="243" w:lineRule="exact"/>
        <w:rPr>
          <w:sz w:val="20"/>
          <w:szCs w:val="20"/>
          <w:color w:val="auto"/>
        </w:rPr>
      </w:pPr>
    </w:p>
    <w:p>
      <w:pPr>
        <w:ind w:left="6100"/>
        <w:spacing w:after="0"/>
        <w:tabs>
          <w:tab w:leader="none" w:pos="67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20" w:firstLine="372"/>
        <w:spacing w:after="0" w:line="267"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Name</w:t>
            </w:r>
          </w:p>
        </w:tc>
        <w:tc>
          <w:tcPr>
            <w:tcW w:w="5500" w:type="dxa"/>
            <w:vAlign w:val="bottom"/>
            <w:gridSpan w:val="2"/>
          </w:tcPr>
          <w:p>
            <w:pPr>
              <w:ind w:left="2500"/>
              <w:spacing w:after="0"/>
              <w:rPr>
                <w:sz w:val="20"/>
                <w:szCs w:val="20"/>
                <w:color w:val="auto"/>
              </w:rPr>
            </w:pPr>
            <w:r>
              <w:rPr>
                <w:rFonts w:ascii="Arial" w:cs="Arial" w:eastAsia="Arial" w:hAnsi="Arial"/>
                <w:sz w:val="14"/>
                <w:szCs w:val="14"/>
                <w:b w:val="1"/>
                <w:bCs w:val="1"/>
                <w:color w:val="auto"/>
              </w:rPr>
              <w:t>Title</w:t>
            </w:r>
          </w:p>
        </w:tc>
        <w:tc>
          <w:tcPr>
            <w:tcW w:w="2020" w:type="dxa"/>
            <w:vAlign w:val="bottom"/>
          </w:tcPr>
          <w:p>
            <w:pPr>
              <w:ind w:left="860"/>
              <w:spacing w:after="0"/>
              <w:rPr>
                <w:sz w:val="20"/>
                <w:szCs w:val="20"/>
                <w:color w:val="auto"/>
              </w:rPr>
            </w:pPr>
            <w:r>
              <w:rPr>
                <w:rFonts w:ascii="Arial" w:cs="Arial" w:eastAsia="Arial" w:hAnsi="Arial"/>
                <w:sz w:val="14"/>
                <w:szCs w:val="14"/>
                <w:b w:val="1"/>
                <w:bCs w:val="1"/>
                <w:color w:val="auto"/>
              </w:rPr>
              <w:t>Date</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/s/ Jonas Prising</w:t>
            </w:r>
          </w:p>
        </w:tc>
        <w:tc>
          <w:tcPr>
            <w:tcW w:w="2800" w:type="dxa"/>
            <w:vAlign w:val="bottom"/>
            <w:gridSpan w:val="3"/>
          </w:tcPr>
          <w:p>
            <w:pPr>
              <w:spacing w:after="0"/>
              <w:rPr>
                <w:sz w:val="24"/>
                <w:szCs w:val="24"/>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Chairman, Chief Executive Officer and a Director</w:t>
            </w:r>
          </w:p>
        </w:tc>
        <w:tc>
          <w:tcPr>
            <w:tcW w:w="2020" w:type="dxa"/>
            <w:vAlign w:val="bottom"/>
          </w:tcPr>
          <w:p>
            <w:pPr>
              <w:ind w:left="120"/>
              <w:spacing w:after="0"/>
              <w:rPr>
                <w:sz w:val="20"/>
                <w:szCs w:val="20"/>
                <w:color w:val="auto"/>
              </w:rPr>
            </w:pPr>
            <w:r>
              <w:rPr>
                <w:rFonts w:ascii="Arial" w:cs="Arial" w:eastAsia="Arial" w:hAnsi="Arial"/>
                <w:sz w:val="14"/>
                <w:szCs w:val="14"/>
                <w:color w:val="auto"/>
              </w:rPr>
              <w:t>February 21, 2017</w:t>
            </w:r>
          </w:p>
        </w:tc>
      </w:tr>
      <w:tr>
        <w:trPr>
          <w:trHeight w:val="175"/>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Jonas Prising</w:t>
            </w: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c>
          <w:tcPr>
            <w:tcW w:w="2020" w:type="dxa"/>
            <w:vAlign w:val="bottom"/>
          </w:tcPr>
          <w:p>
            <w:pPr>
              <w:spacing w:after="0"/>
              <w:rPr>
                <w:sz w:val="15"/>
                <w:szCs w:val="15"/>
                <w:color w:val="auto"/>
              </w:rPr>
            </w:pPr>
          </w:p>
        </w:tc>
      </w:tr>
      <w:tr>
        <w:trPr>
          <w:trHeight w:val="384"/>
        </w:trPr>
        <w:tc>
          <w:tcPr>
            <w:tcW w:w="2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/s/ John T. McGinnis</w:t>
            </w:r>
          </w:p>
        </w:tc>
        <w:tc>
          <w:tcPr>
            <w:tcW w:w="2540" w:type="dxa"/>
            <w:vAlign w:val="bottom"/>
            <w:gridSpan w:val="2"/>
          </w:tcPr>
          <w:p>
            <w:pPr>
              <w:spacing w:after="0"/>
              <w:rPr>
                <w:sz w:val="24"/>
                <w:szCs w:val="24"/>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Executive Vice President and Chief Financial Officer</w:t>
            </w:r>
          </w:p>
        </w:tc>
        <w:tc>
          <w:tcPr>
            <w:tcW w:w="2020" w:type="dxa"/>
            <w:vAlign w:val="bottom"/>
          </w:tcPr>
          <w:p>
            <w:pPr>
              <w:ind w:left="120"/>
              <w:spacing w:after="0"/>
              <w:rPr>
                <w:sz w:val="20"/>
                <w:szCs w:val="20"/>
                <w:color w:val="auto"/>
              </w:rPr>
            </w:pPr>
            <w:r>
              <w:rPr>
                <w:rFonts w:ascii="Arial" w:cs="Arial" w:eastAsia="Arial" w:hAnsi="Arial"/>
                <w:sz w:val="14"/>
                <w:szCs w:val="14"/>
                <w:color w:val="auto"/>
              </w:rPr>
              <w:t>February 21, 2017</w:t>
            </w:r>
          </w:p>
        </w:tc>
      </w:tr>
      <w:tr>
        <w:trPr>
          <w:trHeight w:val="175"/>
        </w:trPr>
        <w:tc>
          <w:tcPr>
            <w:tcW w:w="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Arial" w:cs="Arial" w:eastAsia="Arial" w:hAnsi="Arial"/>
                <w:sz w:val="14"/>
                <w:szCs w:val="14"/>
                <w:color w:val="auto"/>
              </w:rPr>
              <w:t>John T. McGinnis</w:t>
            </w: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(Principal Financial Officer and Principal Accounting Officer)</w:t>
            </w:r>
          </w:p>
        </w:tc>
        <w:tc>
          <w:tcPr>
            <w:tcW w:w="2020" w:type="dxa"/>
            <w:vAlign w:val="bottom"/>
          </w:tcPr>
          <w:p>
            <w:pPr>
              <w:spacing w:after="0"/>
              <w:rPr>
                <w:sz w:val="15"/>
                <w:szCs w:val="15"/>
                <w:color w:val="auto"/>
              </w:rPr>
            </w:pPr>
          </w:p>
        </w:tc>
      </w:tr>
    </w:tbl>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Directors: Gina R. Boswell, Cari M. Dominguez, William Downe, John F. Ferraro, Patricia A. Hemingway Hall, Julie M. Howard, Roberto Mendoza, Ulice Payne, Jr., Paul Read, Elizabeth P. Sartain, John R. Walter and Edward J. Zore</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color w:val="auto"/>
              </w:rPr>
              <w:t>By:</w:t>
            </w: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/s/ Richard Buchband</w:t>
            </w:r>
          </w:p>
        </w:tc>
      </w:tr>
      <w:tr>
        <w:trPr>
          <w:trHeight w:val="207"/>
        </w:trPr>
        <w:tc>
          <w:tcPr>
            <w:tcW w:w="13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Richard Buchband</w:t>
            </w:r>
          </w:p>
        </w:tc>
      </w:tr>
      <w:tr>
        <w:trPr>
          <w:trHeight w:val="175"/>
        </w:trPr>
        <w:tc>
          <w:tcPr>
            <w:tcW w:w="138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Attorney-In-Fact*</w:t>
            </w:r>
          </w:p>
        </w:tc>
      </w:tr>
      <w:tr>
        <w:trPr>
          <w:trHeight w:val="455"/>
        </w:trPr>
        <w:tc>
          <w:tcPr>
            <w:tcW w:w="1380" w:type="dxa"/>
            <w:vAlign w:val="bottom"/>
          </w:tcPr>
          <w:p>
            <w:pPr>
              <w:spacing w:after="0"/>
              <w:rPr>
                <w:sz w:val="20"/>
                <w:szCs w:val="20"/>
                <w:color w:val="auto"/>
              </w:rPr>
            </w:pPr>
            <w:r>
              <w:rPr>
                <w:rFonts w:ascii="Arial" w:cs="Arial" w:eastAsia="Arial" w:hAnsi="Arial"/>
                <w:sz w:val="14"/>
                <w:szCs w:val="14"/>
                <w:color w:val="auto"/>
              </w:rPr>
              <w:t>Date:</w:t>
            </w:r>
          </w:p>
        </w:tc>
        <w:tc>
          <w:tcPr>
            <w:tcW w:w="1200" w:type="dxa"/>
            <w:vAlign w:val="bottom"/>
          </w:tcPr>
          <w:p>
            <w:pPr>
              <w:spacing w:after="0"/>
              <w:rPr>
                <w:sz w:val="20"/>
                <w:szCs w:val="20"/>
                <w:color w:val="auto"/>
              </w:rPr>
            </w:pPr>
            <w:r>
              <w:rPr>
                <w:rFonts w:ascii="Arial" w:cs="Arial" w:eastAsia="Arial" w:hAnsi="Arial"/>
                <w:sz w:val="14"/>
                <w:szCs w:val="14"/>
                <w:color w:val="auto"/>
              </w:rPr>
              <w:t>February 21, 2017</w:t>
            </w:r>
          </w:p>
        </w:tc>
      </w:tr>
    </w:tbl>
    <w:p>
      <w:pPr>
        <w:spacing w:after="0" w:line="342" w:lineRule="exact"/>
        <w:rPr>
          <w:sz w:val="20"/>
          <w:szCs w:val="20"/>
          <w:color w:val="auto"/>
        </w:rPr>
      </w:pPr>
    </w:p>
    <w:p>
      <w:pPr>
        <w:spacing w:after="0"/>
        <w:tabs>
          <w:tab w:leader="none" w:pos="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Pursuant to authority granted by powers of attorney, copies of which are filed herewith.</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40"/>
          </w:cols>
          <w:pgMar w:left="220" w:top="476"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ManpowerGroup Inc.</w:t>
      </w:r>
    </w:p>
    <w:p>
      <w:pPr>
        <w:spacing w:after="0" w:line="33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We have audited the consolidated financial statements of ManpowerGroup Inc. and subsidiaries (the "Company") as of December 31, 2016 and 2015, and for each of the three years in the period ended December 31, 2016, and the Company’s internal control over financial reporting as of December 31, 2016, and have issued our reports thereon dated February 21, 2017; such consolidated financial statements and reports are included in the Company's 2016 Annual Report to Shareholders and are incorporated herein by reference.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Milwaukee, Wisconsin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February 21,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476" w:right="219" w:bottom="1440" w:gutter="0" w:footer="0" w:header="0"/>
        </w:sectPr>
      </w:pPr>
    </w:p>
    <w:bookmarkStart w:id="30" w:name="page31"/>
    <w:bookmarkEnd w:id="30"/>
    <w:p>
      <w:pPr>
        <w:ind w:left="3780"/>
        <w:spacing w:after="0"/>
        <w:rPr>
          <w:sz w:val="20"/>
          <w:szCs w:val="20"/>
          <w:color w:val="auto"/>
        </w:rPr>
      </w:pPr>
      <w:r>
        <w:rPr>
          <w:rFonts w:ascii="Arial" w:cs="Arial" w:eastAsia="Arial" w:hAnsi="Arial"/>
          <w:sz w:val="14"/>
          <w:szCs w:val="14"/>
          <w:b w:val="1"/>
          <w:bCs w:val="1"/>
          <w:color w:val="auto"/>
        </w:rPr>
        <w:t>SCHEDULE II - VALUATION AND QUALIFYING ACCOUNTS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the years ended December 31, 2016, 2015 and 2014, in millions: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Allowance for Doubtful Accounts: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spacing w:after="0"/>
              <w:rPr>
                <w:sz w:val="14"/>
                <w:szCs w:val="14"/>
                <w:color w:val="auto"/>
              </w:rPr>
            </w:pPr>
          </w:p>
        </w:tc>
        <w:tc>
          <w:tcPr>
            <w:tcW w:w="1080" w:type="dxa"/>
            <w:vAlign w:val="bottom"/>
          </w:tcPr>
          <w:p>
            <w:pPr>
              <w:jc w:val="center"/>
              <w:ind w:left="351"/>
              <w:spacing w:after="0"/>
              <w:rPr>
                <w:sz w:val="20"/>
                <w:szCs w:val="20"/>
                <w:color w:val="auto"/>
              </w:rPr>
            </w:pPr>
            <w:r>
              <w:rPr>
                <w:rFonts w:ascii="Arial" w:cs="Arial" w:eastAsia="Arial" w:hAnsi="Arial"/>
                <w:sz w:val="14"/>
                <w:szCs w:val="14"/>
                <w:b w:val="1"/>
                <w:bCs w:val="1"/>
                <w:color w:val="auto"/>
                <w:w w:val="88"/>
              </w:rPr>
              <w:t>Balance at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Provisions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11"/>
              <w:spacing w:after="0"/>
              <w:rPr>
                <w:sz w:val="20"/>
                <w:szCs w:val="20"/>
                <w:color w:val="auto"/>
              </w:rPr>
            </w:pPr>
            <w:r>
              <w:rPr>
                <w:rFonts w:ascii="Arial" w:cs="Arial" w:eastAsia="Arial" w:hAnsi="Arial"/>
                <w:sz w:val="14"/>
                <w:szCs w:val="14"/>
                <w:b w:val="1"/>
                <w:bCs w:val="1"/>
                <w:color w:val="auto"/>
                <w:w w:val="85"/>
              </w:rPr>
              <w:t>Balance</w:t>
            </w:r>
          </w:p>
        </w:tc>
      </w:tr>
      <w:tr>
        <w:trPr>
          <w:trHeight w:val="166"/>
        </w:trPr>
        <w:tc>
          <w:tcPr>
            <w:tcW w:w="1740" w:type="dxa"/>
            <w:vAlign w:val="bottom"/>
          </w:tcPr>
          <w:p>
            <w:pPr>
              <w:spacing w:after="0"/>
              <w:rPr>
                <w:sz w:val="14"/>
                <w:szCs w:val="14"/>
                <w:color w:val="auto"/>
              </w:rPr>
            </w:pPr>
          </w:p>
        </w:tc>
        <w:tc>
          <w:tcPr>
            <w:tcW w:w="1080" w:type="dxa"/>
            <w:vAlign w:val="bottom"/>
          </w:tcPr>
          <w:p>
            <w:pPr>
              <w:jc w:val="center"/>
              <w:ind w:left="371"/>
              <w:spacing w:after="0"/>
              <w:rPr>
                <w:sz w:val="20"/>
                <w:szCs w:val="20"/>
                <w:color w:val="auto"/>
              </w:rPr>
            </w:pPr>
            <w:r>
              <w:rPr>
                <w:rFonts w:ascii="Arial" w:cs="Arial" w:eastAsia="Arial" w:hAnsi="Arial"/>
                <w:sz w:val="14"/>
                <w:szCs w:val="14"/>
                <w:b w:val="1"/>
                <w:bCs w:val="1"/>
                <w:color w:val="auto"/>
                <w:w w:val="87"/>
              </w:rPr>
              <w:t>Beginning</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Charged to</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Translation</w:t>
            </w:r>
          </w:p>
        </w:tc>
        <w:tc>
          <w:tcPr>
            <w:tcW w:w="22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Reclassifications</w:t>
            </w:r>
          </w:p>
        </w:tc>
        <w:tc>
          <w:tcPr>
            <w:tcW w:w="300" w:type="dxa"/>
            <w:vAlign w:val="bottom"/>
          </w:tcPr>
          <w:p>
            <w:pPr>
              <w:spacing w:after="0"/>
              <w:rPr>
                <w:sz w:val="14"/>
                <w:szCs w:val="14"/>
                <w:color w:val="auto"/>
              </w:rPr>
            </w:pPr>
          </w:p>
        </w:tc>
        <w:tc>
          <w:tcPr>
            <w:tcW w:w="1180" w:type="dxa"/>
            <w:vAlign w:val="bottom"/>
          </w:tcPr>
          <w:p>
            <w:pPr>
              <w:jc w:val="center"/>
              <w:ind w:right="231"/>
              <w:spacing w:after="0"/>
              <w:rPr>
                <w:sz w:val="20"/>
                <w:szCs w:val="20"/>
                <w:color w:val="auto"/>
              </w:rPr>
            </w:pPr>
            <w:r>
              <w:rPr>
                <w:rFonts w:ascii="Arial" w:cs="Arial" w:eastAsia="Arial" w:hAnsi="Arial"/>
                <w:sz w:val="14"/>
                <w:szCs w:val="14"/>
                <w:b w:val="1"/>
                <w:bCs w:val="1"/>
                <w:color w:val="auto"/>
                <w:w w:val="93"/>
              </w:rPr>
              <w:t>at End</w:t>
            </w:r>
          </w:p>
        </w:tc>
      </w:tr>
      <w:tr>
        <w:trPr>
          <w:trHeight w:val="179"/>
        </w:trPr>
        <w:tc>
          <w:tcPr>
            <w:tcW w:w="1740" w:type="dxa"/>
            <w:vAlign w:val="bottom"/>
          </w:tcPr>
          <w:p>
            <w:pPr>
              <w:spacing w:after="0"/>
              <w:rPr>
                <w:sz w:val="15"/>
                <w:szCs w:val="15"/>
                <w:color w:val="auto"/>
              </w:rPr>
            </w:pPr>
          </w:p>
        </w:tc>
        <w:tc>
          <w:tcPr>
            <w:tcW w:w="1080" w:type="dxa"/>
            <w:vAlign w:val="bottom"/>
          </w:tcPr>
          <w:p>
            <w:pPr>
              <w:jc w:val="center"/>
              <w:ind w:left="351"/>
              <w:spacing w:after="0"/>
              <w:rPr>
                <w:sz w:val="20"/>
                <w:szCs w:val="20"/>
                <w:color w:val="auto"/>
              </w:rPr>
            </w:pPr>
            <w:r>
              <w:rPr>
                <w:rFonts w:ascii="Arial" w:cs="Arial" w:eastAsia="Arial" w:hAnsi="Arial"/>
                <w:sz w:val="14"/>
                <w:szCs w:val="14"/>
                <w:b w:val="1"/>
                <w:bCs w:val="1"/>
                <w:color w:val="auto"/>
                <w:w w:val="88"/>
              </w:rPr>
              <w:t>of Year</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Earnings</w:t>
            </w:r>
          </w:p>
        </w:tc>
        <w:tc>
          <w:tcPr>
            <w:tcW w:w="26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5"/>
                <w:szCs w:val="15"/>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5"/>
                <w:szCs w:val="15"/>
                <w:color w:val="auto"/>
              </w:rPr>
            </w:pPr>
          </w:p>
        </w:tc>
        <w:tc>
          <w:tcPr>
            <w:tcW w:w="1180" w:type="dxa"/>
            <w:vAlign w:val="bottom"/>
          </w:tcPr>
          <w:p>
            <w:pPr>
              <w:jc w:val="center"/>
              <w:ind w:right="211"/>
              <w:spacing w:after="0"/>
              <w:rPr>
                <w:sz w:val="20"/>
                <w:szCs w:val="20"/>
                <w:color w:val="auto"/>
              </w:rPr>
            </w:pPr>
            <w:r>
              <w:rPr>
                <w:rFonts w:ascii="Arial" w:cs="Arial" w:eastAsia="Arial" w:hAnsi="Arial"/>
                <w:sz w:val="14"/>
                <w:szCs w:val="14"/>
                <w:b w:val="1"/>
                <w:bCs w:val="1"/>
                <w:color w:val="auto"/>
                <w:w w:val="88"/>
              </w:rPr>
              <w:t>of Year</w:t>
            </w:r>
          </w:p>
        </w:tc>
      </w:tr>
      <w:tr>
        <w:trPr>
          <w:trHeight w:val="23"/>
        </w:trPr>
        <w:tc>
          <w:tcPr>
            <w:tcW w:w="1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7"/>
        </w:trPr>
        <w:tc>
          <w:tcPr>
            <w:tcW w:w="17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2016</w:t>
            </w:r>
          </w:p>
        </w:tc>
        <w:tc>
          <w:tcPr>
            <w:tcW w:w="108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98.1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98.2</w:t>
            </w:r>
          </w:p>
        </w:tc>
      </w:tr>
      <w:tr>
        <w:trPr>
          <w:trHeight w:val="185"/>
        </w:trPr>
        <w:tc>
          <w:tcPr>
            <w:tcW w:w="1740" w:type="dxa"/>
            <w:vAlign w:val="bottom"/>
          </w:tcPr>
          <w:p>
            <w:pPr>
              <w:jc w:val="right"/>
              <w:ind w:right="731"/>
              <w:spacing w:after="0"/>
              <w:rPr>
                <w:sz w:val="20"/>
                <w:szCs w:val="20"/>
                <w:color w:val="auto"/>
              </w:rPr>
            </w:pPr>
            <w:r>
              <w:rPr>
                <w:rFonts w:ascii="Arial" w:cs="Arial" w:eastAsia="Arial" w:hAnsi="Arial"/>
                <w:sz w:val="14"/>
                <w:szCs w:val="14"/>
                <w:color w:val="auto"/>
              </w:rPr>
              <w:t>2015</w:t>
            </w:r>
          </w:p>
        </w:tc>
        <w:tc>
          <w:tcPr>
            <w:tcW w:w="1080" w:type="dxa"/>
            <w:vAlign w:val="bottom"/>
          </w:tcPr>
          <w:p>
            <w:pPr>
              <w:spacing w:after="0"/>
              <w:rPr>
                <w:sz w:val="16"/>
                <w:szCs w:val="16"/>
                <w:color w:val="auto"/>
              </w:rPr>
            </w:pPr>
          </w:p>
        </w:tc>
        <w:tc>
          <w:tcPr>
            <w:tcW w:w="440" w:type="dxa"/>
            <w:vAlign w:val="bottom"/>
          </w:tcPr>
          <w:p>
            <w:pPr>
              <w:jc w:val="right"/>
              <w:ind w:right="71"/>
              <w:spacing w:after="0"/>
              <w:rPr>
                <w:sz w:val="20"/>
                <w:szCs w:val="20"/>
                <w:color w:val="auto"/>
              </w:rPr>
            </w:pPr>
            <w:r>
              <w:rPr>
                <w:rFonts w:ascii="Arial" w:cs="Arial" w:eastAsia="Arial" w:hAnsi="Arial"/>
                <w:sz w:val="14"/>
                <w:szCs w:val="14"/>
                <w:color w:val="auto"/>
                <w:w w:val="79"/>
              </w:rPr>
              <w:t>111.4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98.1</w:t>
            </w:r>
          </w:p>
        </w:tc>
      </w:tr>
      <w:tr>
        <w:trPr>
          <w:trHeight w:val="22"/>
        </w:trPr>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7"/>
        </w:trPr>
        <w:tc>
          <w:tcPr>
            <w:tcW w:w="17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9"/>
              </w:rPr>
              <w:t>118.6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111.4</w:t>
            </w:r>
          </w:p>
        </w:tc>
      </w:tr>
      <w:tr>
        <w:trPr>
          <w:trHeight w:val="516"/>
        </w:trPr>
        <w:tc>
          <w:tcPr>
            <w:tcW w:w="1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60"/>
          </w:cols>
          <w:pgMar w:left="220" w:top="476" w:right="219" w:bottom="1440" w:gutter="0" w:footer="0" w:header="0"/>
        </w:sectPr>
      </w:pPr>
    </w:p>
    <w:bookmarkStart w:id="31" w:name="page32"/>
    <w:bookmarkEnd w:id="31"/>
    <w:p>
      <w:pPr>
        <w:jc w:val="right"/>
        <w:spacing w:after="0"/>
        <w:rPr>
          <w:sz w:val="20"/>
          <w:szCs w:val="20"/>
          <w:color w:val="auto"/>
        </w:rPr>
      </w:pPr>
      <w:r>
        <w:rPr>
          <w:rFonts w:ascii="Arial" w:cs="Arial" w:eastAsia="Arial" w:hAnsi="Arial"/>
          <w:sz w:val="14"/>
          <w:szCs w:val="14"/>
          <w:b w:val="1"/>
          <w:bCs w:val="1"/>
          <w:color w:val="auto"/>
        </w:rPr>
        <w:t>Exhibit 10.9(b)</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Inc.</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Terms and Conditions Regarding the Grant of Awards</w:t>
      </w:r>
    </w:p>
    <w:p>
      <w:pPr>
        <w:spacing w:after="0" w:line="19" w:lineRule="exact"/>
        <w:rPr>
          <w:sz w:val="20"/>
          <w:szCs w:val="20"/>
          <w:color w:val="auto"/>
        </w:rPr>
      </w:pPr>
    </w:p>
    <w:p>
      <w:pPr>
        <w:jc w:val="center"/>
        <w:spacing w:after="0" w:line="173" w:lineRule="exact"/>
        <w:rPr>
          <w:sz w:val="20"/>
          <w:szCs w:val="20"/>
          <w:color w:val="auto"/>
        </w:rPr>
      </w:pPr>
      <w:r>
        <w:rPr>
          <w:rFonts w:ascii="Arial" w:cs="Arial" w:eastAsia="Arial" w:hAnsi="Arial"/>
          <w:sz w:val="15"/>
          <w:szCs w:val="15"/>
          <w:b w:val="1"/>
          <w:bCs w:val="1"/>
          <w:color w:val="auto"/>
        </w:rPr>
        <w:t>to Non</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Employee Directors under the 2011 Equity Incentive Plan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(Amended and Restated Effective January 1, 2017)</w:t>
      </w:r>
    </w:p>
    <w:p>
      <w:pPr>
        <w:spacing w:after="0" w:line="160" w:lineRule="exact"/>
        <w:rPr>
          <w:sz w:val="20"/>
          <w:szCs w:val="20"/>
          <w:color w:val="auto"/>
        </w:rPr>
      </w:pPr>
    </w:p>
    <w:p>
      <w:pPr>
        <w:ind w:left="500" w:hanging="497"/>
        <w:spacing w:after="0"/>
        <w:tabs>
          <w:tab w:leader="none" w:pos="50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Definitions.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Unless the context otherwise requires, the following terms shall have the meanings set forth below:</w:t>
      </w:r>
    </w:p>
    <w:p>
      <w:pPr>
        <w:spacing w:after="0" w:line="169" w:lineRule="exact"/>
        <w:rPr>
          <w:sz w:val="20"/>
          <w:szCs w:val="20"/>
          <w:color w:val="auto"/>
        </w:rPr>
      </w:pPr>
    </w:p>
    <w:p>
      <w:pPr>
        <w:ind w:left="1000" w:right="300" w:hanging="501"/>
        <w:spacing w:after="0" w:line="270" w:lineRule="auto"/>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“Average Trading Price” shall mean, with respect to any period, the average of the Market Prices on the last trading day of each full or partial calendar quarter included within such period.</w:t>
      </w:r>
    </w:p>
    <w:p>
      <w:pPr>
        <w:spacing w:after="0" w:line="139" w:lineRule="exact"/>
        <w:rPr>
          <w:rFonts w:ascii="Arial" w:cs="Arial" w:eastAsia="Arial" w:hAnsi="Arial"/>
          <w:sz w:val="15"/>
          <w:szCs w:val="15"/>
          <w:color w:val="auto"/>
        </w:rPr>
      </w:pPr>
    </w:p>
    <w:p>
      <w:pPr>
        <w:jc w:val="both"/>
        <w:ind w:left="1000" w:right="100" w:hanging="501"/>
        <w:spacing w:after="0" w:line="257" w:lineRule="auto"/>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spacing w:after="0" w:line="149" w:lineRule="exact"/>
        <w:rPr>
          <w:rFonts w:ascii="Arial" w:cs="Arial" w:eastAsia="Arial" w:hAnsi="Arial"/>
          <w:sz w:val="15"/>
          <w:szCs w:val="15"/>
          <w:color w:val="auto"/>
        </w:rPr>
      </w:pPr>
    </w:p>
    <w:p>
      <w:pPr>
        <w:ind w:left="1000" w:hanging="501"/>
        <w:spacing w:after="0"/>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“Equity Plan” shall mean the 2011 Equity Incentive Plan of ManpowerGroup Inc.</w:t>
      </w:r>
    </w:p>
    <w:p>
      <w:pPr>
        <w:spacing w:after="0" w:line="179" w:lineRule="exact"/>
        <w:rPr>
          <w:rFonts w:ascii="Arial" w:cs="Arial" w:eastAsia="Arial" w:hAnsi="Arial"/>
          <w:sz w:val="15"/>
          <w:szCs w:val="15"/>
          <w:color w:val="auto"/>
        </w:rPr>
      </w:pPr>
    </w:p>
    <w:p>
      <w:pPr>
        <w:ind w:left="1000" w:right="140" w:hanging="501"/>
        <w:spacing w:after="0" w:line="270" w:lineRule="auto"/>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“Retainer” shall mean the annual cash retainer and the additional cash retainer for committee chairs payable to a Director as established from time to time by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Any capitalized terms used below which are not otherwise defined above will have the meanings assigned to them in the Equity Plan.</w:t>
      </w:r>
    </w:p>
    <w:p>
      <w:pPr>
        <w:spacing w:after="0" w:line="165" w:lineRule="exact"/>
        <w:rPr>
          <w:sz w:val="20"/>
          <w:szCs w:val="20"/>
          <w:color w:val="auto"/>
        </w:rPr>
      </w:pPr>
    </w:p>
    <w:p>
      <w:pPr>
        <w:ind w:left="500" w:hanging="497"/>
        <w:spacing w:after="0"/>
        <w:tabs>
          <w:tab w:leader="none" w:pos="500" w:val="left"/>
        </w:tabs>
        <w:numPr>
          <w:ilvl w:val="0"/>
          <w:numId w:val="20"/>
        </w:numPr>
        <w:rPr>
          <w:rFonts w:ascii="Arial" w:cs="Arial" w:eastAsia="Arial" w:hAnsi="Arial"/>
          <w:sz w:val="15"/>
          <w:szCs w:val="15"/>
          <w:color w:val="auto"/>
        </w:rPr>
      </w:pPr>
      <w:r>
        <w:rPr>
          <w:rFonts w:ascii="Arial" w:cs="Arial" w:eastAsia="Arial" w:hAnsi="Arial"/>
          <w:sz w:val="15"/>
          <w:szCs w:val="15"/>
          <w:b w:val="1"/>
          <w:bCs w:val="1"/>
          <w:color w:val="auto"/>
        </w:rPr>
        <w:t>Right to Elect Deferred Stock in Lieu of Retainer.</w:t>
      </w:r>
    </w:p>
    <w:p>
      <w:pPr>
        <w:spacing w:after="0" w:line="183"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 election must be made by notice in writing received by the Secretary of the Company (i) on or before the December 31 immediately preceding the beginning of the Election Period for an individual serving as a Director on such date, and (ii) on or before the tenth business day after the date the Director becomes a Director for an individual becoming a Director during a calendar year. Any such election made by a Director within 10 business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 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p>
    <w:p>
      <w:pPr>
        <w:spacing w:after="0" w:line="145" w:lineRule="exact"/>
        <w:rPr>
          <w:sz w:val="20"/>
          <w:szCs w:val="20"/>
          <w:color w:val="auto"/>
        </w:rPr>
      </w:pPr>
    </w:p>
    <w:p>
      <w:pPr>
        <w:ind w:left="500" w:hanging="497"/>
        <w:spacing w:after="0"/>
        <w:tabs>
          <w:tab w:leader="none" w:pos="500" w:val="left"/>
        </w:tabs>
        <w:numPr>
          <w:ilvl w:val="0"/>
          <w:numId w:val="21"/>
        </w:numPr>
        <w:rPr>
          <w:rFonts w:ascii="Arial" w:cs="Arial" w:eastAsia="Arial" w:hAnsi="Arial"/>
          <w:sz w:val="15"/>
          <w:szCs w:val="15"/>
          <w:color w:val="auto"/>
        </w:rPr>
      </w:pPr>
      <w:r>
        <w:rPr>
          <w:rFonts w:ascii="Arial" w:cs="Arial" w:eastAsia="Arial" w:hAnsi="Arial"/>
          <w:sz w:val="15"/>
          <w:szCs w:val="15"/>
          <w:b w:val="1"/>
          <w:bCs w:val="1"/>
          <w:color w:val="auto"/>
        </w:rPr>
        <w:t>Annual Grant of Deferred Stock or Restricted Stock.</w:t>
      </w:r>
    </w:p>
    <w:p>
      <w:pPr>
        <w:spacing w:after="0" w:line="183" w:lineRule="exact"/>
        <w:rPr>
          <w:rFonts w:ascii="Arial" w:cs="Arial" w:eastAsia="Arial" w:hAnsi="Arial"/>
          <w:sz w:val="15"/>
          <w:szCs w:val="15"/>
          <w:color w:val="auto"/>
        </w:rPr>
      </w:pPr>
    </w:p>
    <w:p>
      <w:pPr>
        <w:jc w:val="both"/>
        <w:ind w:left="1000" w:right="300" w:hanging="501"/>
        <w:spacing w:after="0" w:line="257" w:lineRule="auto"/>
        <w:tabs>
          <w:tab w:leader="none" w:pos="1000" w:val="left"/>
        </w:tabs>
        <w:numPr>
          <w:ilvl w:val="1"/>
          <w:numId w:val="21"/>
        </w:numPr>
        <w:rPr>
          <w:rFonts w:ascii="Arial" w:cs="Arial" w:eastAsia="Arial" w:hAnsi="Arial"/>
          <w:sz w:val="15"/>
          <w:szCs w:val="15"/>
          <w:color w:val="auto"/>
        </w:rPr>
      </w:pPr>
      <w:r>
        <w:rPr>
          <w:rFonts w:ascii="Arial" w:cs="Arial" w:eastAsia="Arial" w:hAnsi="Arial"/>
          <w:sz w:val="15"/>
          <w:szCs w:val="15"/>
          <w:i w:val="1"/>
          <w:iCs w:val="1"/>
          <w:color w:val="auto"/>
        </w:rPr>
        <w:t xml:space="preserve">Grant of Deferred Stock. </w:t>
      </w:r>
      <w:r>
        <w:rPr>
          <w:rFonts w:ascii="Arial" w:cs="Arial" w:eastAsia="Arial" w:hAnsi="Arial"/>
          <w:sz w:val="15"/>
          <w:szCs w:val="15"/>
          <w:color w:val="auto"/>
        </w:rPr>
        <w:t>Each individual serving as a Director on the first day of each calendar year shall be granted on that day, automatically and specifically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further action of the Board of Directors, a number of shares of Deferred Stock equal to $145,000 divided by the Market Price on the last trading day of the immediately preceding year (rounded to the nearest whole share).</w:t>
      </w:r>
    </w:p>
    <w:p>
      <w:pPr>
        <w:sectPr>
          <w:pgSz w:w="11900" w:h="16838" w:orient="portrait"/>
          <w:cols w:equalWidth="0" w:num="1">
            <w:col w:w="11460"/>
          </w:cols>
          <w:pgMar w:left="220" w:top="476" w:right="219" w:bottom="1440" w:gutter="0" w:footer="0" w:header="0"/>
        </w:sectPr>
      </w:pPr>
    </w:p>
    <w:bookmarkStart w:id="32" w:name="page33"/>
    <w:bookmarkEnd w:id="32"/>
    <w:p>
      <w:pPr>
        <w:ind w:left="997"/>
        <w:spacing w:after="0" w:line="297" w:lineRule="auto"/>
        <w:rPr>
          <w:sz w:val="20"/>
          <w:szCs w:val="20"/>
          <w:color w:val="auto"/>
        </w:rPr>
      </w:pPr>
      <w:r>
        <w:rPr>
          <w:rFonts w:ascii="Arial" w:cs="Arial" w:eastAsia="Arial" w:hAnsi="Arial"/>
          <w:sz w:val="14"/>
          <w:szCs w:val="14"/>
          <w:color w:val="auto"/>
        </w:rPr>
        <w:t>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 (i) $145,000 multiplied by a fraction, the numerator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 of which is the number of days after the date the Director becomes a Director through the last day of the quarter during which the Director becomes a Director, and the denominator of which is the number of days after the date the Director becomes a Director through the next December 31, and thereafter the balance of the shares of such Deferred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spacing w:after="0" w:line="136" w:lineRule="exact"/>
        <w:rPr>
          <w:sz w:val="20"/>
          <w:szCs w:val="20"/>
          <w:color w:val="auto"/>
        </w:rPr>
      </w:pPr>
    </w:p>
    <w:p>
      <w:pPr>
        <w:ind w:left="997" w:right="40" w:hanging="501"/>
        <w:spacing w:after="0" w:line="289" w:lineRule="auto"/>
        <w:tabs>
          <w:tab w:leader="none" w:pos="997" w:val="left"/>
        </w:tabs>
        <w:numPr>
          <w:ilvl w:val="1"/>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Alternative Grant of Restricted Stock. </w:t>
      </w:r>
      <w:r>
        <w:rPr>
          <w:rFonts w:ascii="Arial" w:cs="Arial" w:eastAsia="Arial" w:hAnsi="Arial"/>
          <w:sz w:val="13"/>
          <w:szCs w:val="13"/>
          <w:color w:val="auto"/>
        </w:rPr>
        <w:t>Instead of receiving a grant of Deferred Stock under this paragraph 3, a Director shall have the right to elect to receive a number of</w:t>
      </w:r>
      <w:r>
        <w:rPr>
          <w:rFonts w:ascii="Arial" w:cs="Arial" w:eastAsia="Arial" w:hAnsi="Arial"/>
          <w:sz w:val="13"/>
          <w:szCs w:val="13"/>
          <w:i w:val="1"/>
          <w:iCs w:val="1"/>
          <w:color w:val="auto"/>
        </w:rPr>
        <w:t xml:space="preserve"> </w:t>
      </w:r>
      <w:r>
        <w:rPr>
          <w:rFonts w:ascii="Arial" w:cs="Arial" w:eastAsia="Arial" w:hAnsi="Arial"/>
          <w:sz w:val="13"/>
          <w:szCs w:val="13"/>
          <w:color w:val="auto"/>
        </w:rPr>
        <w:t>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 (ii) 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 quarters during the same calendar year. The date of grant of such Restricted Stock shall be the first day of the full calendar quarter beginning subsequent to the date of the election, and such Restricted Stock shall vest on the same basis as such Deferred Stock would have vested. Where an election to receive Restricted Stock is made by a Director 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becomes a Director and the last day of the calendar quarter in which the election is made.</w:t>
      </w:r>
    </w:p>
    <w:p>
      <w:pPr>
        <w:spacing w:after="0" w:line="126" w:lineRule="exact"/>
        <w:rPr>
          <w:rFonts w:ascii="Arial" w:cs="Arial" w:eastAsia="Arial" w:hAnsi="Arial"/>
          <w:sz w:val="13"/>
          <w:szCs w:val="13"/>
          <w:color w:val="auto"/>
        </w:rPr>
      </w:pPr>
    </w:p>
    <w:p>
      <w:pPr>
        <w:ind w:left="497" w:hanging="497"/>
        <w:spacing w:after="0"/>
        <w:tabs>
          <w:tab w:leader="none" w:pos="497" w:val="left"/>
        </w:tabs>
        <w:numPr>
          <w:ilvl w:val="0"/>
          <w:numId w:val="23"/>
        </w:numPr>
        <w:rPr>
          <w:rFonts w:ascii="Arial" w:cs="Arial" w:eastAsia="Arial" w:hAnsi="Arial"/>
          <w:sz w:val="15"/>
          <w:szCs w:val="15"/>
          <w:color w:val="auto"/>
        </w:rPr>
      </w:pPr>
      <w:r>
        <w:rPr>
          <w:rFonts w:ascii="Arial" w:cs="Arial" w:eastAsia="Arial" w:hAnsi="Arial"/>
          <w:sz w:val="15"/>
          <w:szCs w:val="15"/>
          <w:b w:val="1"/>
          <w:bCs w:val="1"/>
          <w:color w:val="auto"/>
        </w:rPr>
        <w:t>Deferred Stock: General Provisions.</w:t>
      </w:r>
    </w:p>
    <w:p>
      <w:pPr>
        <w:spacing w:after="0" w:line="183" w:lineRule="exact"/>
        <w:rPr>
          <w:rFonts w:ascii="Arial" w:cs="Arial" w:eastAsia="Arial" w:hAnsi="Arial"/>
          <w:sz w:val="15"/>
          <w:szCs w:val="15"/>
          <w:color w:val="auto"/>
        </w:rPr>
      </w:pPr>
    </w:p>
    <w:p>
      <w:pPr>
        <w:ind w:left="997" w:right="100" w:hanging="501"/>
        <w:spacing w:after="0" w:line="249" w:lineRule="auto"/>
        <w:tabs>
          <w:tab w:leader="none" w:pos="997" w:val="left"/>
        </w:tabs>
        <w:numPr>
          <w:ilvl w:val="1"/>
          <w:numId w:val="23"/>
        </w:numPr>
        <w:rPr>
          <w:rFonts w:ascii="Arial" w:cs="Arial" w:eastAsia="Arial" w:hAnsi="Arial"/>
          <w:sz w:val="15"/>
          <w:szCs w:val="15"/>
          <w:color w:val="auto"/>
        </w:rPr>
      </w:pPr>
      <w:r>
        <w:rPr>
          <w:rFonts w:ascii="Arial" w:cs="Arial" w:eastAsia="Arial" w:hAnsi="Arial"/>
          <w:sz w:val="15"/>
          <w:szCs w:val="15"/>
          <w:i w:val="1"/>
          <w:iCs w:val="1"/>
          <w:color w:val="auto"/>
        </w:rPr>
        <w:t xml:space="preserve">Distribution of Shares. </w:t>
      </w:r>
      <w:r>
        <w:rPr>
          <w:rFonts w:ascii="Arial" w:cs="Arial" w:eastAsia="Arial" w:hAnsi="Arial"/>
          <w:sz w:val="15"/>
          <w:szCs w:val="15"/>
          <w:color w:val="auto"/>
        </w:rPr>
        <w:t>The Company shall settle Deferred Stock granted under these Terms and Conditions in Shares. Shares shall be distributed in respect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of five years or more for each such extension provided in each case the election to extend the Fixed Distribution Date is made by notice in writing delivered to the Secretary of the Company more than 12 months before the then existing Fixed Distribution Date. Notwithstanding the foregoing, if a distribution of Shares under</w:t>
      </w:r>
    </w:p>
    <w:p>
      <w:pPr>
        <w:sectPr>
          <w:pgSz w:w="11900" w:h="16838" w:orient="portrait"/>
          <w:cols w:equalWidth="0" w:num="1">
            <w:col w:w="11437"/>
          </w:cols>
          <w:pgMar w:left="223" w:top="489" w:right="239" w:bottom="1440" w:gutter="0" w:footer="0" w:header="0"/>
        </w:sectPr>
      </w:pPr>
    </w:p>
    <w:bookmarkStart w:id="33" w:name="page34"/>
    <w:bookmarkEnd w:id="33"/>
    <w:p>
      <w:pPr>
        <w:ind w:left="1000" w:right="600"/>
        <w:spacing w:after="0" w:line="299" w:lineRule="auto"/>
        <w:rPr>
          <w:sz w:val="20"/>
          <w:szCs w:val="20"/>
          <w:color w:val="auto"/>
        </w:rPr>
      </w:pPr>
      <w:r>
        <w:rPr>
          <w:rFonts w:ascii="Arial" w:cs="Arial" w:eastAsia="Arial" w:hAnsi="Arial"/>
          <w:sz w:val="15"/>
          <w:szCs w:val="15"/>
          <w:color w:val="auto"/>
        </w:rPr>
        <w:t>this paragraph would otherwise occur outside of a “Trading Window” (as defined in the ManpowerGroup Inc. Statement of Policy on Securities Trading), then the Company may delay the distribution of such Shares until the beginning of the next Trading Window.</w:t>
      </w:r>
    </w:p>
    <w:p>
      <w:pPr>
        <w:spacing w:after="0" w:line="129" w:lineRule="exact"/>
        <w:rPr>
          <w:sz w:val="20"/>
          <w:szCs w:val="20"/>
          <w:color w:val="auto"/>
        </w:rPr>
      </w:pPr>
    </w:p>
    <w:p>
      <w:pPr>
        <w:ind w:left="1000" w:hanging="501"/>
        <w:spacing w:after="0" w:line="266" w:lineRule="auto"/>
        <w:tabs>
          <w:tab w:leader="none" w:pos="1000" w:val="left"/>
        </w:tabs>
        <w:numPr>
          <w:ilvl w:val="1"/>
          <w:numId w:val="24"/>
        </w:numPr>
        <w:rPr>
          <w:rFonts w:ascii="Arial" w:cs="Arial" w:eastAsia="Arial" w:hAnsi="Arial"/>
          <w:sz w:val="14"/>
          <w:szCs w:val="14"/>
          <w:color w:val="auto"/>
        </w:rPr>
      </w:pPr>
      <w:r>
        <w:rPr>
          <w:rFonts w:ascii="Arial" w:cs="Arial" w:eastAsia="Arial" w:hAnsi="Arial"/>
          <w:sz w:val="14"/>
          <w:szCs w:val="14"/>
          <w:i w:val="1"/>
          <w:iCs w:val="1"/>
          <w:color w:val="auto"/>
        </w:rPr>
        <w:t>Dividends and Distributions</w:t>
      </w:r>
      <w:r>
        <w:rPr>
          <w:rFonts w:ascii="Arial" w:cs="Arial" w:eastAsia="Arial" w:hAnsi="Arial"/>
          <w:sz w:val="14"/>
          <w:szCs w:val="14"/>
          <w:color w:val="auto"/>
        </w:rPr>
        <w:t>. On the first day of each calendar year, each Director shall be granted, automatically and specifically without further action of the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shall be granted, automatically and specifically without further action of the Board of Directors, on the day following the date of such cessation, a number of shares of Deferred Stock equal to (i) the total amount of dividends which would have been received by the Director during the year in which termination occurs if the Deferred Stock held by the Director (whether or not vested) on the record date of any such dividend had been outstanding common stock of the Company on such date, (ii) divided by the Average Trading Price for the period from January 1 of such year through the date of such cessation (rounded to the nearest whole share). In the event of any distribution other than cash, the foregoing shall be applied based on the fair market value of the property distributed. Additional shares of Deferred Stock granted under this subparagraph 4(b) shall be settled and Shares distributed in respect of such Deferred Stock at the same time as the Deferred Stock to which the dividends and distributions relate.</w:t>
      </w:r>
    </w:p>
    <w:p>
      <w:pPr>
        <w:spacing w:after="0" w:line="143" w:lineRule="exact"/>
        <w:rPr>
          <w:rFonts w:ascii="Arial" w:cs="Arial" w:eastAsia="Arial" w:hAnsi="Arial"/>
          <w:sz w:val="14"/>
          <w:szCs w:val="14"/>
          <w:color w:val="auto"/>
        </w:rPr>
      </w:pPr>
    </w:p>
    <w:p>
      <w:pPr>
        <w:ind w:left="500" w:hanging="497"/>
        <w:spacing w:after="0"/>
        <w:tabs>
          <w:tab w:leader="none" w:pos="500"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Other Provisions.</w:t>
      </w:r>
    </w:p>
    <w:p>
      <w:pPr>
        <w:spacing w:after="0" w:line="183" w:lineRule="exact"/>
        <w:rPr>
          <w:sz w:val="20"/>
          <w:szCs w:val="20"/>
          <w:color w:val="auto"/>
        </w:rPr>
      </w:pPr>
    </w:p>
    <w:p>
      <w:pPr>
        <w:ind w:right="220"/>
        <w:spacing w:after="0" w:line="184" w:lineRule="exact"/>
        <w:rPr>
          <w:sz w:val="20"/>
          <w:szCs w:val="20"/>
          <w:color w:val="auto"/>
        </w:rPr>
      </w:pPr>
      <w:r>
        <w:rPr>
          <w:rFonts w:ascii="Arial" w:cs="Arial" w:eastAsia="Arial" w:hAnsi="Arial"/>
          <w:sz w:val="15"/>
          <w:szCs w:val="15"/>
          <w:color w:val="auto"/>
        </w:rPr>
        <w:t>These amended and restated Terms and Conditions shall become effective on January 1, 2017, and effective on that date shall supersede and replace the amended and restated Terms and Conditions Regarding the Grant of Awards to Non</w:t>
      </w:r>
      <w:r>
        <w:rPr>
          <w:rFonts w:ascii="MS PGothic" w:cs="MS PGothic" w:eastAsia="MS PGothic" w:hAnsi="MS PGothic"/>
          <w:sz w:val="15"/>
          <w:szCs w:val="15"/>
          <w:color w:val="auto"/>
        </w:rPr>
        <w:t>‑</w:t>
      </w:r>
      <w:r>
        <w:rPr>
          <w:rFonts w:ascii="Arial" w:cs="Arial" w:eastAsia="Arial" w:hAnsi="Arial"/>
          <w:sz w:val="15"/>
          <w:szCs w:val="15"/>
          <w:color w:val="auto"/>
        </w:rPr>
        <w:t>Employee Directors under the 2011 Equity Incentive Plan in effect immediately prior thereto.</w:t>
      </w:r>
    </w:p>
    <w:p>
      <w:pPr>
        <w:spacing w:after="0" w:line="147" w:lineRule="exact"/>
        <w:rPr>
          <w:sz w:val="20"/>
          <w:szCs w:val="20"/>
          <w:color w:val="auto"/>
        </w:rPr>
      </w:pPr>
    </w:p>
    <w:p>
      <w:pPr>
        <w:ind w:left="500" w:hanging="497"/>
        <w:spacing w:after="0"/>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b w:val="1"/>
          <w:bCs w:val="1"/>
          <w:color w:val="auto"/>
        </w:rPr>
        <w:t>Application of Plan.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Except as otherwise provided in these Terms and Conditions, the Equity Plan shall apply to any Deferred Stock granted pursuant to these Terms and Conditions.</w:t>
      </w:r>
    </w:p>
    <w:p>
      <w:pPr>
        <w:sectPr>
          <w:pgSz w:w="11900" w:h="16838" w:orient="portrait"/>
          <w:cols w:equalWidth="0" w:num="1">
            <w:col w:w="11440"/>
          </w:cols>
          <w:pgMar w:left="220" w:top="48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auto"/>
        </w:rPr>
        <w:t>Exhibit 10.9(c)</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Inc.</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for Non-Employee Directors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Effective January 1, 2017)</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compensation</w:t>
      </w:r>
    </w:p>
    <w:p>
      <w:pPr>
        <w:spacing w:after="0" w:line="173" w:lineRule="exact"/>
        <w:rPr>
          <w:sz w:val="20"/>
          <w:szCs w:val="20"/>
          <w:color w:val="auto"/>
        </w:rPr>
      </w:pPr>
    </w:p>
    <w:p>
      <w:pPr>
        <w:ind w:left="500" w:hanging="497"/>
        <w:spacing w:after="0"/>
        <w:tabs>
          <w:tab w:leader="none" w:pos="5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Annual cash retainer: $100,000 per year</w:t>
      </w:r>
    </w:p>
    <w:p>
      <w:pPr>
        <w:spacing w:after="0" w:line="179" w:lineRule="exact"/>
        <w:rPr>
          <w:rFonts w:ascii="Arial" w:cs="Arial" w:eastAsia="Arial" w:hAnsi="Arial"/>
          <w:sz w:val="15"/>
          <w:szCs w:val="15"/>
          <w:color w:val="auto"/>
        </w:rPr>
      </w:pPr>
    </w:p>
    <w:p>
      <w:pPr>
        <w:ind w:left="500" w:hanging="497"/>
        <w:spacing w:after="0"/>
        <w:tabs>
          <w:tab w:leader="none" w:pos="5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Fee structure for annual retainer for committee chairs and lead director:</w:t>
      </w:r>
    </w:p>
    <w:p>
      <w:pPr>
        <w:spacing w:after="0" w:line="179" w:lineRule="exact"/>
        <w:rPr>
          <w:rFonts w:ascii="Arial" w:cs="Arial" w:eastAsia="Arial" w:hAnsi="Arial"/>
          <w:sz w:val="15"/>
          <w:szCs w:val="15"/>
          <w:color w:val="auto"/>
        </w:rPr>
      </w:pPr>
    </w:p>
    <w:p>
      <w:pPr>
        <w:ind w:left="1040" w:hanging="489"/>
        <w:spacing w:after="0"/>
        <w:tabs>
          <w:tab w:leader="none" w:pos="10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$15,000 Annual retainer for services as chair of the nominating and governance committee</w:t>
      </w:r>
    </w:p>
    <w:p>
      <w:pPr>
        <w:spacing w:after="0" w:line="179" w:lineRule="exact"/>
        <w:rPr>
          <w:rFonts w:ascii="Arial" w:cs="Arial" w:eastAsia="Arial" w:hAnsi="Arial"/>
          <w:sz w:val="15"/>
          <w:szCs w:val="15"/>
          <w:color w:val="auto"/>
        </w:rPr>
      </w:pPr>
    </w:p>
    <w:p>
      <w:pPr>
        <w:ind w:left="1040" w:hanging="489"/>
        <w:spacing w:after="0"/>
        <w:tabs>
          <w:tab w:leader="none" w:pos="10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$20,000 per year for services as chair of the audit or executive compensation and human resources committee</w:t>
      </w:r>
    </w:p>
    <w:p>
      <w:pPr>
        <w:spacing w:after="0" w:line="179" w:lineRule="exact"/>
        <w:rPr>
          <w:rFonts w:ascii="Arial" w:cs="Arial" w:eastAsia="Arial" w:hAnsi="Arial"/>
          <w:sz w:val="15"/>
          <w:szCs w:val="15"/>
          <w:color w:val="auto"/>
        </w:rPr>
      </w:pPr>
    </w:p>
    <w:p>
      <w:pPr>
        <w:ind w:left="1040" w:hanging="489"/>
        <w:spacing w:after="0"/>
        <w:tabs>
          <w:tab w:leader="none" w:pos="10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$25,000 annual retainer for service as lead director</w:t>
      </w:r>
    </w:p>
    <w:p>
      <w:pPr>
        <w:spacing w:after="0" w:line="179" w:lineRule="exact"/>
        <w:rPr>
          <w:rFonts w:ascii="Arial" w:cs="Arial" w:eastAsia="Arial" w:hAnsi="Arial"/>
          <w:sz w:val="15"/>
          <w:szCs w:val="15"/>
          <w:color w:val="auto"/>
        </w:rPr>
      </w:pPr>
    </w:p>
    <w:p>
      <w:pPr>
        <w:ind w:left="1040" w:hanging="489"/>
        <w:spacing w:after="0"/>
        <w:tabs>
          <w:tab w:leader="none" w:pos="10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$30,000 annual retainer in the case where the lead director also serves as chair of one of the committees</w:t>
      </w:r>
    </w:p>
    <w:p>
      <w:pPr>
        <w:spacing w:after="0" w:line="179" w:lineRule="exact"/>
        <w:rPr>
          <w:rFonts w:ascii="Arial" w:cs="Arial" w:eastAsia="Arial" w:hAnsi="Arial"/>
          <w:sz w:val="15"/>
          <w:szCs w:val="15"/>
          <w:color w:val="auto"/>
        </w:rPr>
      </w:pPr>
    </w:p>
    <w:p>
      <w:pPr>
        <w:ind w:left="500" w:right="520" w:hanging="497"/>
        <w:spacing w:after="0" w:line="270" w:lineRule="auto"/>
        <w:tabs>
          <w:tab w:leader="none" w:pos="5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annual cash retainer and additional cash retainer for committee chairs and lead director will be paid quarterly in arrears within two weeks following the last day of each calendar quarter.</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Election to Receive Deferred Stock in Lieu of Cash Retainer</w:t>
      </w:r>
    </w:p>
    <w:p>
      <w:pPr>
        <w:spacing w:after="0" w:line="183" w:lineRule="exact"/>
        <w:rPr>
          <w:sz w:val="20"/>
          <w:szCs w:val="20"/>
          <w:color w:val="auto"/>
        </w:rPr>
      </w:pPr>
    </w:p>
    <w:p>
      <w:pPr>
        <w:ind w:left="500" w:right="240" w:hanging="497"/>
        <w:spacing w:after="0" w:line="349" w:lineRule="auto"/>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lieu of the annual cash retainer and additional cash retainer for committee chairs and lead director, outside directors may elect to receive Deferred Stock under the Company’s 2011 Equity Incentive Plan (the “Plan”). The election may cover 50%, 75% or 100% of the annual cash retainer payable to the director for the period covered by the election.</w:t>
      </w:r>
    </w:p>
    <w:p>
      <w:pPr>
        <w:spacing w:after="0" w:line="92" w:lineRule="exact"/>
        <w:rPr>
          <w:rFonts w:ascii="Arial" w:cs="Arial" w:eastAsia="Arial" w:hAnsi="Arial"/>
          <w:sz w:val="13"/>
          <w:szCs w:val="13"/>
          <w:color w:val="auto"/>
        </w:rPr>
      </w:pPr>
    </w:p>
    <w:p>
      <w:pPr>
        <w:ind w:left="500" w:right="120" w:hanging="497"/>
        <w:spacing w:after="0" w:line="251"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election must be made prior to the beginning of the election period to which the annual cash retainer relates. The election period begins on January 1 of each year and ends on December 31 of that year or, if a director ceases to be a member of the Board of Directors during the year, the date of such cessation. For new non-employee directors, the election period begins on the date of the director’s appointment to the Board of Directors and the election must be made within ten business days after the date of such appointment. Any such election by a new director will only apply to the portion of the retainer earned after the election is made. The grant of Deferred Stock pursuant to any such election will be effective on the first day following the end of the election period to which the election applies.</w:t>
      </w:r>
    </w:p>
    <w:p>
      <w:pPr>
        <w:spacing w:after="0" w:line="153" w:lineRule="exact"/>
        <w:rPr>
          <w:rFonts w:ascii="Arial" w:cs="Arial" w:eastAsia="Arial" w:hAnsi="Arial"/>
          <w:sz w:val="15"/>
          <w:szCs w:val="15"/>
          <w:color w:val="auto"/>
        </w:rPr>
      </w:pPr>
    </w:p>
    <w:p>
      <w:pPr>
        <w:ind w:left="500" w:right="200" w:hanging="497"/>
        <w:spacing w:after="0" w:line="270"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number of shares of Deferred Stock granted to the director will be equal to the amount of the annual cash retainer to which the election applies, divided by the average of the closing prices of the stock on the last trading day of each full or partial calendar quarter included within the election period.</w:t>
      </w:r>
    </w:p>
    <w:p>
      <w:pPr>
        <w:spacing w:after="0" w:line="139" w:lineRule="exact"/>
        <w:rPr>
          <w:rFonts w:ascii="Arial" w:cs="Arial" w:eastAsia="Arial" w:hAnsi="Arial"/>
          <w:sz w:val="15"/>
          <w:szCs w:val="15"/>
          <w:color w:val="auto"/>
        </w:rPr>
      </w:pPr>
    </w:p>
    <w:p>
      <w:pPr>
        <w:ind w:left="500" w:right="60" w:hanging="497"/>
        <w:spacing w:after="0" w:line="270" w:lineRule="auto"/>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Shares of common stock represented by such Deferred Stock held by a director will be distributed to the director on the earlier of the third anniversary of the date of grant or within 30 days after the date the director ceases to be a member of the Board of Directors. However, the director will have the right to</w:t>
      </w:r>
    </w:p>
    <w:p>
      <w:pPr>
        <w:sectPr>
          <w:pgSz w:w="11900" w:h="16838" w:orient="portrait"/>
          <w:cols w:equalWidth="0" w:num="1">
            <w:col w:w="11460"/>
          </w:cols>
          <w:pgMar w:left="220" w:top="477" w:right="219" w:bottom="1440" w:gutter="0" w:footer="0" w:header="0"/>
        </w:sectPr>
      </w:pPr>
    </w:p>
    <w:bookmarkStart w:id="35" w:name="page36"/>
    <w:bookmarkEnd w:id="35"/>
    <w:p>
      <w:pPr>
        <w:jc w:val="both"/>
        <w:ind w:left="500" w:right="100"/>
        <w:spacing w:after="0" w:line="315" w:lineRule="auto"/>
        <w:rPr>
          <w:sz w:val="20"/>
          <w:szCs w:val="20"/>
          <w:color w:val="auto"/>
        </w:rPr>
      </w:pPr>
      <w:r>
        <w:rPr>
          <w:rFonts w:ascii="Arial" w:cs="Arial" w:eastAsia="Arial" w:hAnsi="Arial"/>
          <w:sz w:val="14"/>
          <w:szCs w:val="14"/>
          <w:color w:val="auto"/>
        </w:rPr>
        <w:t>extend the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Annual Grant of Deferred Stock or Restricted Stock</w:t>
      </w:r>
    </w:p>
    <w:p>
      <w:pPr>
        <w:spacing w:after="0" w:line="183" w:lineRule="exact"/>
        <w:rPr>
          <w:sz w:val="20"/>
          <w:szCs w:val="20"/>
          <w:color w:val="auto"/>
        </w:rPr>
      </w:pPr>
    </w:p>
    <w:p>
      <w:pPr>
        <w:ind w:left="500" w:hanging="497"/>
        <w:spacing w:after="0" w:line="284"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addition to the cash compensation (or elective Deferred Stock), non-employee directors each will receive an annual grant of Deferred Stock under the Plan. The grant will be effective on the first day of each year, and the number of shares granted will equal $145,000 divided by the closing sale price of a share of the Company’s common stock on the last business day of the preceding year. Such Deferred Stock will vest in equal quarterly installments on the last day of each calendar quarter during the year.</w:t>
      </w:r>
    </w:p>
    <w:p>
      <w:pPr>
        <w:spacing w:after="0" w:line="131" w:lineRule="exact"/>
        <w:rPr>
          <w:rFonts w:ascii="Arial" w:cs="Arial" w:eastAsia="Arial" w:hAnsi="Arial"/>
          <w:sz w:val="14"/>
          <w:szCs w:val="14"/>
          <w:color w:val="auto"/>
        </w:rPr>
      </w:pPr>
    </w:p>
    <w:p>
      <w:pPr>
        <w:ind w:left="500" w:hanging="497"/>
        <w:spacing w:after="0" w:line="273"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However, the director will have the right to extend the year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139" w:lineRule="exact"/>
        <w:rPr>
          <w:rFonts w:ascii="Arial" w:cs="Arial" w:eastAsia="Arial" w:hAnsi="Arial"/>
          <w:sz w:val="14"/>
          <w:szCs w:val="14"/>
          <w:color w:val="auto"/>
        </w:rPr>
      </w:pPr>
    </w:p>
    <w:p>
      <w:pPr>
        <w:jc w:val="both"/>
        <w:ind w:left="500" w:right="60" w:hanging="497"/>
        <w:spacing w:after="0" w:line="257" w:lineRule="auto"/>
        <w:tabs>
          <w:tab w:leader="none" w:pos="5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Instead of receiving this grant of Deferred Stock, non-employee directors will have the right to elect to receive the same number of shares of Restricted Stock under the Plan.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w:t>
      </w:r>
    </w:p>
    <w:p>
      <w:pPr>
        <w:spacing w:after="0" w:line="149" w:lineRule="exact"/>
        <w:rPr>
          <w:rFonts w:ascii="Arial" w:cs="Arial" w:eastAsia="Arial" w:hAnsi="Arial"/>
          <w:sz w:val="15"/>
          <w:szCs w:val="15"/>
          <w:color w:val="auto"/>
        </w:rPr>
      </w:pPr>
    </w:p>
    <w:p>
      <w:pPr>
        <w:ind w:left="500" w:right="20" w:hanging="497"/>
        <w:spacing w:after="0" w:line="291"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new non-employee director will receive a grant of Deferred Stock effective the date the director is appointed to the Board. The grant will be for a number of shares of Deferred Stock equal to $145,000 prorated for the period beginning on the date of the director’s appointment and ending on December 31 of that year, divided by the closing sale price of a share of the Company’s common stock on the last trading day immediately prior to the effective date of grant. Such Deferred Stock will vest in prorated installments on the last day of each calendar quarter occurring after the date of grant. Instead of receiving this grant of Deferred Stock, the new non-employee director will have the right to elect to receive the same number of shares of Restricted Stock under the Plan, with a vesting schedule the same as the Deferred Stock the director would otherwise have received. Any such election will be effective only if made within ten business days after the date of such appointment and will only apply to that portion of the shares earned in the first full calendar quarter after the election is made by the director and subsequent calendar quarters during the same year. If such an election is made by a director, he or she will receive a grant of Deferred Stock for that portion of the shares earned between the date the director is appointed to the Board and the last day of the calendar quarter in which the election is made.</w:t>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on Deferred Stock</w:t>
      </w:r>
    </w:p>
    <w:p>
      <w:pPr>
        <w:spacing w:after="0" w:line="173" w:lineRule="exact"/>
        <w:rPr>
          <w:sz w:val="20"/>
          <w:szCs w:val="20"/>
          <w:color w:val="auto"/>
        </w:rPr>
      </w:pPr>
    </w:p>
    <w:p>
      <w:pPr>
        <w:ind w:left="500" w:right="140" w:hanging="497"/>
        <w:spacing w:after="0" w:line="257" w:lineRule="auto"/>
        <w:tabs>
          <w:tab w:leader="none" w:pos="5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Directors holding Deferred Stock will be granted an additional number of shares of Deferred Stock on the first day of each calendar year attributable to dividends paid by the Company during the prior year. The number of shares of Deferred Stock granted will equal (i) the amount of dividends the director would have received during the prior calendar year if Deferred Stock held by the director had been outstanding common</w:t>
      </w:r>
    </w:p>
    <w:p>
      <w:pPr>
        <w:sectPr>
          <w:pgSz w:w="11900" w:h="16838" w:orient="portrait"/>
          <w:cols w:equalWidth="0" w:num="1">
            <w:col w:w="11420"/>
          </w:cols>
          <w:pgMar w:left="220" w:top="489" w:right="259" w:bottom="1440" w:gutter="0" w:footer="0" w:header="0"/>
        </w:sectPr>
      </w:pPr>
    </w:p>
    <w:bookmarkStart w:id="36" w:name="page37"/>
    <w:bookmarkEnd w:id="36"/>
    <w:p>
      <w:pPr>
        <w:ind w:left="500" w:right="100"/>
        <w:spacing w:after="0" w:line="299" w:lineRule="auto"/>
        <w:rPr>
          <w:sz w:val="20"/>
          <w:szCs w:val="20"/>
          <w:color w:val="auto"/>
        </w:rPr>
      </w:pPr>
      <w:r>
        <w:rPr>
          <w:rFonts w:ascii="Arial" w:cs="Arial" w:eastAsia="Arial" w:hAnsi="Arial"/>
          <w:sz w:val="15"/>
          <w:szCs w:val="15"/>
          <w:color w:val="auto"/>
        </w:rPr>
        <w:t>stock, (ii) divided by the average closing prices of the stock on the last trading day of each calendar quarter during the year (or shorter period for a director whose membership on the Board ceases during the year).</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Guidelines</w:t>
      </w:r>
    </w:p>
    <w:p>
      <w:pPr>
        <w:spacing w:after="0" w:line="173" w:lineRule="exact"/>
        <w:rPr>
          <w:sz w:val="20"/>
          <w:szCs w:val="20"/>
          <w:color w:val="auto"/>
        </w:rPr>
      </w:pPr>
    </w:p>
    <w:p>
      <w:pPr>
        <w:ind w:left="500" w:right="80" w:hanging="497"/>
        <w:spacing w:after="0" w:line="253"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Non-employee directors are expected to own shares equal in value to five times the annual cash retainer ($90,000 at January 1, 2015, for a total guideline of $450,000) divided by the closing price of the Company’s common stock on December 31, 2014 for directors in office as of January 1, 2015. For any non-employee director appointed after January 1, 2015 the total guideline is $450,000 divided by the closing price of the Company’s common stock on the last business day of the month during which the director was or is first appointed to the Board of Directors.</w:t>
      </w:r>
    </w:p>
    <w:p>
      <w:pPr>
        <w:spacing w:after="0" w:line="152" w:lineRule="exact"/>
        <w:rPr>
          <w:rFonts w:ascii="Arial" w:cs="Arial" w:eastAsia="Arial" w:hAnsi="Arial"/>
          <w:sz w:val="15"/>
          <w:szCs w:val="15"/>
          <w:color w:val="auto"/>
        </w:rPr>
      </w:pPr>
    </w:p>
    <w:p>
      <w:pPr>
        <w:ind w:left="500" w:hanging="497"/>
        <w:spacing w:after="0" w:line="270"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Non-employee directors have three years to attain this guideline from January 1, 2015, or for new non-employee directors, four years from the date of the director’s appointment to the Board.</w:t>
      </w:r>
    </w:p>
    <w:p>
      <w:pPr>
        <w:spacing w:after="0" w:line="139" w:lineRule="exact"/>
        <w:rPr>
          <w:rFonts w:ascii="Arial" w:cs="Arial" w:eastAsia="Arial" w:hAnsi="Arial"/>
          <w:sz w:val="15"/>
          <w:szCs w:val="15"/>
          <w:color w:val="auto"/>
        </w:rPr>
      </w:pPr>
    </w:p>
    <w:p>
      <w:pPr>
        <w:ind w:left="500" w:hanging="497"/>
        <w:spacing w:after="0"/>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For this purpose, ownership includes Deferred Stock and Restricted Stock but only to the extent vested, and does not include unexercised stock options.</w:t>
      </w:r>
    </w:p>
    <w:p>
      <w:pPr>
        <w:sectPr>
          <w:pgSz w:w="11900" w:h="16838" w:orient="portrait"/>
          <w:cols w:equalWidth="0" w:num="1">
            <w:col w:w="11380"/>
          </w:cols>
          <w:pgMar w:left="220" w:top="489"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9"/>
        </w:trPr>
        <w:tc>
          <w:tcPr>
            <w:tcW w:w="3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Exhibit 12.1</w:t>
            </w:r>
          </w:p>
        </w:tc>
      </w:tr>
      <w:tr>
        <w:trPr>
          <w:trHeight w:val="318"/>
        </w:trPr>
        <w:tc>
          <w:tcPr>
            <w:tcW w:w="3360" w:type="dxa"/>
            <w:vAlign w:val="bottom"/>
          </w:tcPr>
          <w:p>
            <w:pPr>
              <w:spacing w:after="0"/>
              <w:rPr>
                <w:sz w:val="24"/>
                <w:szCs w:val="24"/>
                <w:color w:val="auto"/>
              </w:rPr>
            </w:pPr>
          </w:p>
        </w:tc>
        <w:tc>
          <w:tcPr>
            <w:tcW w:w="4120" w:type="dxa"/>
            <w:vAlign w:val="bottom"/>
            <w:gridSpan w:val="7"/>
          </w:tcPr>
          <w:p>
            <w:pPr>
              <w:jc w:val="center"/>
              <w:ind w:left="551"/>
              <w:spacing w:after="0"/>
              <w:rPr>
                <w:sz w:val="20"/>
                <w:szCs w:val="20"/>
                <w:color w:val="auto"/>
              </w:rPr>
            </w:pPr>
            <w:r>
              <w:rPr>
                <w:rFonts w:ascii="Arial" w:cs="Arial" w:eastAsia="Arial" w:hAnsi="Arial"/>
                <w:sz w:val="14"/>
                <w:szCs w:val="14"/>
                <w:b w:val="1"/>
                <w:bCs w:val="1"/>
                <w:color w:val="auto"/>
                <w:w w:val="99"/>
              </w:rPr>
              <w:t>STATEMENT REGARDING COMPUTATION</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9"/>
        </w:trPr>
        <w:tc>
          <w:tcPr>
            <w:tcW w:w="3360" w:type="dxa"/>
            <w:vAlign w:val="bottom"/>
          </w:tcPr>
          <w:p>
            <w:pPr>
              <w:spacing w:after="0"/>
              <w:rPr>
                <w:sz w:val="15"/>
                <w:szCs w:val="15"/>
                <w:color w:val="auto"/>
              </w:rPr>
            </w:pPr>
          </w:p>
        </w:tc>
        <w:tc>
          <w:tcPr>
            <w:tcW w:w="4120" w:type="dxa"/>
            <w:vAlign w:val="bottom"/>
            <w:gridSpan w:val="7"/>
          </w:tcPr>
          <w:p>
            <w:pPr>
              <w:jc w:val="center"/>
              <w:ind w:left="551"/>
              <w:spacing w:after="0"/>
              <w:rPr>
                <w:sz w:val="20"/>
                <w:szCs w:val="20"/>
                <w:color w:val="auto"/>
              </w:rPr>
            </w:pPr>
            <w:r>
              <w:rPr>
                <w:rFonts w:ascii="Arial" w:cs="Arial" w:eastAsia="Arial" w:hAnsi="Arial"/>
                <w:sz w:val="14"/>
                <w:szCs w:val="14"/>
                <w:b w:val="1"/>
                <w:bCs w:val="1"/>
                <w:color w:val="auto"/>
                <w:w w:val="98"/>
              </w:rPr>
              <w:t>OF RATIO OF EARNINGS TO FIXED CHARGES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22"/>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color w:val="auto"/>
                <w:w w:val="94"/>
              </w:rPr>
              <w:t>MANPOWERGROUP INC.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left="411"/>
              <w:spacing w:after="0"/>
              <w:rPr>
                <w:sz w:val="20"/>
                <w:szCs w:val="20"/>
                <w:color w:val="auto"/>
              </w:rPr>
            </w:pPr>
            <w:r>
              <w:rPr>
                <w:rFonts w:ascii="Arial" w:cs="Arial" w:eastAsia="Arial" w:hAnsi="Arial"/>
                <w:sz w:val="14"/>
                <w:szCs w:val="14"/>
                <w:color w:val="auto"/>
                <w:w w:val="96"/>
              </w:rPr>
              <w:t>(in millions)</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86"/>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2012</w:t>
            </w:r>
          </w:p>
        </w:tc>
      </w:tr>
      <w:tr>
        <w:trPr>
          <w:trHeight w:val="22"/>
        </w:trPr>
        <w:tc>
          <w:tcPr>
            <w:tcW w:w="33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w:t>
            </w:r>
          </w:p>
        </w:tc>
        <w:tc>
          <w:tcPr>
            <w:tcW w:w="1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5"/>
        </w:trPr>
        <w:tc>
          <w:tcPr>
            <w:tcW w:w="3360" w:type="dxa"/>
            <w:vAlign w:val="bottom"/>
          </w:tcPr>
          <w:p>
            <w:pPr>
              <w:ind w:left="200"/>
              <w:spacing w:after="0"/>
              <w:rPr>
                <w:sz w:val="20"/>
                <w:szCs w:val="20"/>
                <w:color w:val="auto"/>
              </w:rPr>
            </w:pPr>
            <w:r>
              <w:rPr>
                <w:rFonts w:ascii="Arial" w:cs="Arial" w:eastAsia="Arial" w:hAnsi="Arial"/>
                <w:sz w:val="14"/>
                <w:szCs w:val="14"/>
                <w:color w:val="auto"/>
              </w:rPr>
              <w:t>Earnings before income taxes</w:t>
            </w: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701.3</w:t>
            </w:r>
          </w:p>
        </w:tc>
        <w:tc>
          <w:tcPr>
            <w:tcW w:w="12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660.7</w:t>
            </w:r>
          </w:p>
        </w:tc>
        <w:tc>
          <w:tcPr>
            <w:tcW w:w="12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681.6</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475.5</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368.4</w:t>
            </w:r>
          </w:p>
        </w:tc>
      </w:tr>
      <w:tr>
        <w:trPr>
          <w:trHeight w:val="22"/>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8"/>
        </w:trPr>
        <w:tc>
          <w:tcPr>
            <w:tcW w:w="3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Fixed charges</w:t>
            </w:r>
          </w:p>
        </w:tc>
        <w:tc>
          <w:tcPr>
            <w:tcW w:w="1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93.0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118.4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133.6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159.7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165.1</w:t>
            </w:r>
          </w:p>
        </w:tc>
      </w:tr>
      <w:tr>
        <w:trPr>
          <w:trHeight w:val="185"/>
        </w:trPr>
        <w:tc>
          <w:tcPr>
            <w:tcW w:w="3360" w:type="dxa"/>
            <w:vAlign w:val="bottom"/>
          </w:tcPr>
          <w:p>
            <w:pPr>
              <w:spacing w:after="0"/>
              <w:rPr>
                <w:sz w:val="16"/>
                <w:szCs w:val="16"/>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794.3</w:t>
            </w:r>
          </w:p>
        </w:tc>
        <w:tc>
          <w:tcPr>
            <w:tcW w:w="12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779.1</w:t>
            </w:r>
          </w:p>
        </w:tc>
        <w:tc>
          <w:tcPr>
            <w:tcW w:w="12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815.2</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635.2</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533.5</w:t>
            </w:r>
          </w:p>
        </w:tc>
      </w:tr>
      <w:tr>
        <w:trPr>
          <w:trHeight w:val="62"/>
        </w:trPr>
        <w:tc>
          <w:tcPr>
            <w:tcW w:w="3360" w:type="dxa"/>
            <w:vAlign w:val="bottom"/>
            <w:tcBorders>
              <w:bottom w:val="single" w:sz="8" w:color="CCEEFF"/>
            </w:tcBorders>
          </w:tcPr>
          <w:p>
            <w:pPr>
              <w:spacing w:after="0"/>
              <w:rPr>
                <w:sz w:val="5"/>
                <w:szCs w:val="5"/>
                <w:color w:val="auto"/>
              </w:rPr>
            </w:pPr>
          </w:p>
        </w:tc>
        <w:tc>
          <w:tcPr>
            <w:tcW w:w="1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58"/>
        </w:trPr>
        <w:tc>
          <w:tcPr>
            <w:tcW w:w="336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4"/>
                <w:szCs w:val="14"/>
                <w:color w:val="auto"/>
              </w:rPr>
              <w:t>Fixed charges:</w:t>
            </w:r>
          </w:p>
        </w:tc>
        <w:tc>
          <w:tcPr>
            <w:tcW w:w="13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85"/>
        </w:trPr>
        <w:tc>
          <w:tcPr>
            <w:tcW w:w="3360" w:type="dxa"/>
            <w:vAlign w:val="bottom"/>
          </w:tcPr>
          <w:p>
            <w:pPr>
              <w:ind w:left="200"/>
              <w:spacing w:after="0"/>
              <w:rPr>
                <w:sz w:val="20"/>
                <w:szCs w:val="20"/>
                <w:color w:val="auto"/>
              </w:rPr>
            </w:pPr>
            <w:r>
              <w:rPr>
                <w:rFonts w:ascii="Arial" w:cs="Arial" w:eastAsia="Arial" w:hAnsi="Arial"/>
                <w:sz w:val="14"/>
                <w:szCs w:val="14"/>
                <w:color w:val="auto"/>
              </w:rPr>
              <w:t>Interest (expensed or capitalized)</w:t>
            </w: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42.5</w:t>
            </w:r>
          </w:p>
        </w:tc>
      </w:tr>
      <w:tr>
        <w:trPr>
          <w:trHeight w:val="22"/>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8"/>
        </w:trPr>
        <w:tc>
          <w:tcPr>
            <w:tcW w:w="3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Estimated interest portion of rent expense</w:t>
            </w:r>
          </w:p>
        </w:tc>
        <w:tc>
          <w:tcPr>
            <w:tcW w:w="1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54.9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79.8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98.5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116.5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122.6</w:t>
            </w:r>
          </w:p>
        </w:tc>
      </w:tr>
      <w:tr>
        <w:trPr>
          <w:trHeight w:val="185"/>
        </w:trPr>
        <w:tc>
          <w:tcPr>
            <w:tcW w:w="3360" w:type="dxa"/>
            <w:vAlign w:val="bottom"/>
          </w:tcPr>
          <w:p>
            <w:pPr>
              <w:spacing w:after="0"/>
              <w:rPr>
                <w:sz w:val="16"/>
                <w:szCs w:val="16"/>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16"/>
                <w:szCs w:val="16"/>
                <w:color w:val="auto"/>
              </w:rPr>
            </w:pPr>
          </w:p>
        </w:tc>
        <w:tc>
          <w:tcPr>
            <w:tcW w:w="440" w:type="dxa"/>
            <w:vAlign w:val="bottom"/>
          </w:tcPr>
          <w:p>
            <w:pPr>
              <w:jc w:val="right"/>
              <w:ind w:right="29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133.6</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165.1</w:t>
            </w:r>
          </w:p>
        </w:tc>
      </w:tr>
      <w:tr>
        <w:trPr>
          <w:trHeight w:val="62"/>
        </w:trPr>
        <w:tc>
          <w:tcPr>
            <w:tcW w:w="3360" w:type="dxa"/>
            <w:vAlign w:val="bottom"/>
            <w:tcBorders>
              <w:bottom w:val="single" w:sz="8" w:color="CCEEFF"/>
            </w:tcBorders>
          </w:tcPr>
          <w:p>
            <w:pPr>
              <w:spacing w:after="0"/>
              <w:rPr>
                <w:sz w:val="5"/>
                <w:szCs w:val="5"/>
                <w:color w:val="auto"/>
              </w:rPr>
            </w:pPr>
          </w:p>
        </w:tc>
        <w:tc>
          <w:tcPr>
            <w:tcW w:w="1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56"/>
        </w:trPr>
        <w:tc>
          <w:tcPr>
            <w:tcW w:w="33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Ratio of earnings to fixed charges</w:t>
            </w: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51"/>
              <w:spacing w:after="0" w:line="156" w:lineRule="exact"/>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1"/>
              <w:spacing w:after="0" w:line="156" w:lineRule="exact"/>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1"/>
              <w:spacing w:after="0" w:line="156"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rPr>
              <w:t>3.2</w:t>
            </w:r>
          </w:p>
        </w:tc>
      </w:tr>
      <w:tr>
        <w:trPr>
          <w:trHeight w:val="22"/>
        </w:trPr>
        <w:tc>
          <w:tcPr>
            <w:tcW w:w="3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bl>
    <w:p>
      <w:pPr>
        <w:spacing w:after="0" w:line="316" w:lineRule="exact"/>
        <w:rPr>
          <w:sz w:val="20"/>
          <w:szCs w:val="20"/>
          <w:color w:val="auto"/>
        </w:rPr>
      </w:pPr>
    </w:p>
    <w:p>
      <w:pPr>
        <w:jc w:val="both"/>
        <w:ind w:left="500" w:right="100" w:hanging="499"/>
        <w:spacing w:after="0" w:line="267" w:lineRule="auto"/>
        <w:tabs>
          <w:tab w:leader="none" w:pos="48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60"/>
          </w:cols>
          <w:pgMar w:left="220" w:top="477" w:right="21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78105</wp:posOffset>
            </wp:positionV>
            <wp:extent cx="7252335" cy="4848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484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160"/>
        <w:spacing w:after="0"/>
        <w:rPr>
          <w:rFonts w:ascii="Arial" w:cs="Arial" w:eastAsia="Arial" w:hAnsi="Arial"/>
          <w:sz w:val="11"/>
          <w:szCs w:val="11"/>
          <w:color w:val="2989B9"/>
        </w:rPr>
      </w:pPr>
      <w:hyperlink w:anchor="page39">
        <w:r>
          <w:rPr>
            <w:rFonts w:ascii="Arial" w:cs="Arial" w:eastAsia="Arial" w:hAnsi="Arial"/>
            <w:sz w:val="11"/>
            <w:szCs w:val="11"/>
            <w:color w:val="2989B9"/>
          </w:rPr>
          <w:t>TABLE OF CONTENTS</w:t>
        </w:r>
      </w:hyperlink>
    </w:p>
    <w:p>
      <w:pPr>
        <w:spacing w:after="0" w:line="275" w:lineRule="exact"/>
        <w:rPr>
          <w:sz w:val="20"/>
          <w:szCs w:val="20"/>
          <w:color w:val="auto"/>
        </w:rPr>
      </w:pPr>
    </w:p>
    <w:p>
      <w:pPr>
        <w:ind w:left="3180" w:hanging="175"/>
        <w:spacing w:after="0"/>
        <w:tabs>
          <w:tab w:leader="none" w:pos="3180" w:val="left"/>
        </w:tabs>
        <w:numPr>
          <w:ilvl w:val="0"/>
          <w:numId w:val="32"/>
        </w:numPr>
        <w:rPr>
          <w:rFonts w:ascii="Arial" w:cs="Arial" w:eastAsia="Arial" w:hAnsi="Arial"/>
          <w:sz w:val="12"/>
          <w:szCs w:val="12"/>
          <w:color w:val="282A32"/>
        </w:rPr>
      </w:pPr>
      <w:hyperlink w:anchor="page40">
        <w:r>
          <w:rPr>
            <w:rFonts w:ascii="Arial" w:cs="Arial" w:eastAsia="Arial" w:hAnsi="Arial"/>
            <w:sz w:val="12"/>
            <w:szCs w:val="12"/>
            <w:color w:val="282A32"/>
          </w:rPr>
          <w:t>Management's Discussion &amp; Analysis</w:t>
        </w:r>
      </w:hyperlink>
    </w:p>
    <w:p>
      <w:pPr>
        <w:spacing w:after="0" w:line="69" w:lineRule="exact"/>
        <w:rPr>
          <w:sz w:val="20"/>
          <w:szCs w:val="20"/>
          <w:color w:val="auto"/>
        </w:rPr>
      </w:pPr>
    </w:p>
    <w:p>
      <w:pPr>
        <w:ind w:left="3180" w:hanging="175"/>
        <w:spacing w:after="0"/>
        <w:tabs>
          <w:tab w:leader="none" w:pos="3180" w:val="left"/>
        </w:tabs>
        <w:numPr>
          <w:ilvl w:val="0"/>
          <w:numId w:val="33"/>
        </w:numPr>
        <w:rPr>
          <w:rFonts w:ascii="Arial" w:cs="Arial" w:eastAsia="Arial" w:hAnsi="Arial"/>
          <w:sz w:val="12"/>
          <w:szCs w:val="12"/>
          <w:color w:val="282A32"/>
        </w:rPr>
      </w:pPr>
      <w:hyperlink w:anchor="page69">
        <w:r>
          <w:rPr>
            <w:rFonts w:ascii="Arial" w:cs="Arial" w:eastAsia="Arial" w:hAnsi="Arial"/>
            <w:sz w:val="12"/>
            <w:szCs w:val="12"/>
            <w:color w:val="282A32"/>
          </w:rPr>
          <w:t>Management Report on Internal Control Over Financial Reporting</w:t>
        </w:r>
      </w:hyperlink>
    </w:p>
    <w:p>
      <w:pPr>
        <w:spacing w:after="0" w:line="68" w:lineRule="exact"/>
        <w:rPr>
          <w:rFonts w:ascii="Arial" w:cs="Arial" w:eastAsia="Arial" w:hAnsi="Arial"/>
          <w:sz w:val="12"/>
          <w:szCs w:val="12"/>
          <w:color w:val="282A32"/>
        </w:rPr>
      </w:pPr>
    </w:p>
    <w:p>
      <w:pPr>
        <w:ind w:left="3180" w:hanging="175"/>
        <w:spacing w:after="0"/>
        <w:tabs>
          <w:tab w:leader="none" w:pos="3180" w:val="left"/>
        </w:tabs>
        <w:numPr>
          <w:ilvl w:val="0"/>
          <w:numId w:val="33"/>
        </w:numPr>
        <w:rPr>
          <w:rFonts w:ascii="Arial" w:cs="Arial" w:eastAsia="Arial" w:hAnsi="Arial"/>
          <w:sz w:val="12"/>
          <w:szCs w:val="12"/>
          <w:color w:val="282A32"/>
        </w:rPr>
      </w:pPr>
      <w:hyperlink w:anchor="page70">
        <w:r>
          <w:rPr>
            <w:rFonts w:ascii="Arial" w:cs="Arial" w:eastAsia="Arial" w:hAnsi="Arial"/>
            <w:sz w:val="12"/>
            <w:szCs w:val="12"/>
            <w:color w:val="282A32"/>
          </w:rPr>
          <w:t>Reports of Independent Registered Public Accounting Firm</w:t>
        </w:r>
      </w:hyperlink>
    </w:p>
    <w:p>
      <w:pPr>
        <w:spacing w:after="0" w:line="69" w:lineRule="exact"/>
        <w:rPr>
          <w:rFonts w:ascii="Arial" w:cs="Arial" w:eastAsia="Arial" w:hAnsi="Arial"/>
          <w:sz w:val="11"/>
          <w:szCs w:val="11"/>
          <w:color w:val="2989B9"/>
        </w:rPr>
      </w:pPr>
    </w:p>
    <w:p>
      <w:pPr>
        <w:ind w:left="3180" w:hanging="175"/>
        <w:spacing w:after="0"/>
        <w:tabs>
          <w:tab w:leader="none" w:pos="3180" w:val="left"/>
        </w:tabs>
        <w:numPr>
          <w:ilvl w:val="0"/>
          <w:numId w:val="34"/>
        </w:numPr>
        <w:rPr>
          <w:rFonts w:ascii="Arial" w:cs="Arial" w:eastAsia="Arial" w:hAnsi="Arial"/>
          <w:sz w:val="12"/>
          <w:szCs w:val="12"/>
          <w:color w:val="282A32"/>
        </w:rPr>
      </w:pPr>
      <w:hyperlink w:anchor="page72">
        <w:r>
          <w:rPr>
            <w:rFonts w:ascii="Arial" w:cs="Arial" w:eastAsia="Arial" w:hAnsi="Arial"/>
            <w:sz w:val="12"/>
            <w:szCs w:val="12"/>
            <w:color w:val="282A32"/>
          </w:rPr>
          <w:t>Consolidated Statements of Operations</w:t>
        </w:r>
      </w:hyperlink>
    </w:p>
    <w:p>
      <w:pPr>
        <w:spacing w:after="0" w:line="69" w:lineRule="exact"/>
        <w:rPr>
          <w:rFonts w:ascii="Arial" w:cs="Arial" w:eastAsia="Arial" w:hAnsi="Arial"/>
          <w:sz w:val="11"/>
          <w:szCs w:val="11"/>
          <w:color w:val="2989B9"/>
        </w:rPr>
      </w:pPr>
    </w:p>
    <w:p>
      <w:pPr>
        <w:ind w:left="3180" w:hanging="175"/>
        <w:spacing w:after="0"/>
        <w:tabs>
          <w:tab w:leader="none" w:pos="3180" w:val="left"/>
        </w:tabs>
        <w:numPr>
          <w:ilvl w:val="0"/>
          <w:numId w:val="35"/>
        </w:numPr>
        <w:rPr>
          <w:rFonts w:ascii="Arial" w:cs="Arial" w:eastAsia="Arial" w:hAnsi="Arial"/>
          <w:sz w:val="12"/>
          <w:szCs w:val="12"/>
          <w:color w:val="282A32"/>
        </w:rPr>
      </w:pPr>
      <w:hyperlink w:anchor="page72">
        <w:r>
          <w:rPr>
            <w:rFonts w:ascii="Arial" w:cs="Arial" w:eastAsia="Arial" w:hAnsi="Arial"/>
            <w:sz w:val="12"/>
            <w:szCs w:val="12"/>
            <w:color w:val="282A32"/>
          </w:rPr>
          <w:t>Consolidated Statements of Comprehensive Income</w:t>
        </w:r>
      </w:hyperlink>
    </w:p>
    <w:p>
      <w:pPr>
        <w:spacing w:after="0" w:line="68" w:lineRule="exact"/>
        <w:rPr>
          <w:rFonts w:ascii="Arial" w:cs="Arial" w:eastAsia="Arial" w:hAnsi="Arial"/>
          <w:sz w:val="12"/>
          <w:szCs w:val="12"/>
          <w:color w:val="282A32"/>
        </w:rPr>
      </w:pPr>
    </w:p>
    <w:p>
      <w:pPr>
        <w:ind w:left="3180" w:hanging="175"/>
        <w:spacing w:after="0"/>
        <w:tabs>
          <w:tab w:leader="none" w:pos="3180" w:val="left"/>
        </w:tabs>
        <w:numPr>
          <w:ilvl w:val="0"/>
          <w:numId w:val="35"/>
        </w:numPr>
        <w:rPr>
          <w:rFonts w:ascii="Arial" w:cs="Arial" w:eastAsia="Arial" w:hAnsi="Arial"/>
          <w:sz w:val="12"/>
          <w:szCs w:val="12"/>
          <w:color w:val="282A32"/>
        </w:rPr>
      </w:pPr>
      <w:hyperlink w:anchor="page73">
        <w:r>
          <w:rPr>
            <w:rFonts w:ascii="Arial" w:cs="Arial" w:eastAsia="Arial" w:hAnsi="Arial"/>
            <w:sz w:val="12"/>
            <w:szCs w:val="12"/>
            <w:color w:val="282A32"/>
          </w:rPr>
          <w:t>Consolidated Balance Sheets</w:t>
        </w:r>
      </w:hyperlink>
    </w:p>
    <w:p>
      <w:pPr>
        <w:spacing w:after="0" w:line="68" w:lineRule="exact"/>
        <w:rPr>
          <w:rFonts w:ascii="Arial" w:cs="Arial" w:eastAsia="Arial" w:hAnsi="Arial"/>
          <w:sz w:val="12"/>
          <w:szCs w:val="12"/>
          <w:color w:val="282A32"/>
        </w:rPr>
      </w:pPr>
    </w:p>
    <w:p>
      <w:pPr>
        <w:ind w:left="3180" w:hanging="175"/>
        <w:spacing w:after="0"/>
        <w:tabs>
          <w:tab w:leader="none" w:pos="3180" w:val="left"/>
        </w:tabs>
        <w:numPr>
          <w:ilvl w:val="0"/>
          <w:numId w:val="35"/>
        </w:numPr>
        <w:rPr>
          <w:rFonts w:ascii="Arial" w:cs="Arial" w:eastAsia="Arial" w:hAnsi="Arial"/>
          <w:sz w:val="12"/>
          <w:szCs w:val="12"/>
          <w:color w:val="282A32"/>
        </w:rPr>
      </w:pPr>
      <w:hyperlink w:anchor="page74">
        <w:r>
          <w:rPr>
            <w:rFonts w:ascii="Arial" w:cs="Arial" w:eastAsia="Arial" w:hAnsi="Arial"/>
            <w:sz w:val="12"/>
            <w:szCs w:val="12"/>
            <w:color w:val="282A32"/>
          </w:rPr>
          <w:t>Consolidated Statements of Cash Flows</w:t>
        </w:r>
      </w:hyperlink>
    </w:p>
    <w:p>
      <w:pPr>
        <w:spacing w:after="0" w:line="68" w:lineRule="exact"/>
        <w:rPr>
          <w:rFonts w:ascii="Arial" w:cs="Arial" w:eastAsia="Arial" w:hAnsi="Arial"/>
          <w:sz w:val="12"/>
          <w:szCs w:val="12"/>
          <w:color w:val="282A32"/>
        </w:rPr>
      </w:pPr>
    </w:p>
    <w:p>
      <w:pPr>
        <w:ind w:left="3180" w:hanging="175"/>
        <w:spacing w:after="0"/>
        <w:tabs>
          <w:tab w:leader="none" w:pos="3180" w:val="left"/>
        </w:tabs>
        <w:numPr>
          <w:ilvl w:val="0"/>
          <w:numId w:val="35"/>
        </w:numPr>
        <w:rPr>
          <w:rFonts w:ascii="Arial" w:cs="Arial" w:eastAsia="Arial" w:hAnsi="Arial"/>
          <w:sz w:val="12"/>
          <w:szCs w:val="12"/>
          <w:color w:val="282A32"/>
        </w:rPr>
      </w:pPr>
      <w:hyperlink w:anchor="page75">
        <w:r>
          <w:rPr>
            <w:rFonts w:ascii="Arial" w:cs="Arial" w:eastAsia="Arial" w:hAnsi="Arial"/>
            <w:sz w:val="12"/>
            <w:szCs w:val="12"/>
            <w:color w:val="282A32"/>
          </w:rPr>
          <w:t>Consolidated Statements of Shareholders' Equity</w:t>
        </w:r>
      </w:hyperlink>
    </w:p>
    <w:p>
      <w:pPr>
        <w:spacing w:after="0" w:line="68" w:lineRule="exact"/>
        <w:rPr>
          <w:rFonts w:ascii="Arial" w:cs="Arial" w:eastAsia="Arial" w:hAnsi="Arial"/>
          <w:sz w:val="12"/>
          <w:szCs w:val="12"/>
          <w:color w:val="282A32"/>
        </w:rPr>
      </w:pPr>
    </w:p>
    <w:p>
      <w:pPr>
        <w:ind w:left="3180" w:hanging="175"/>
        <w:spacing w:after="0"/>
        <w:tabs>
          <w:tab w:leader="none" w:pos="3180" w:val="left"/>
        </w:tabs>
        <w:numPr>
          <w:ilvl w:val="0"/>
          <w:numId w:val="35"/>
        </w:numPr>
        <w:rPr>
          <w:rFonts w:ascii="Arial" w:cs="Arial" w:eastAsia="Arial" w:hAnsi="Arial"/>
          <w:sz w:val="12"/>
          <w:szCs w:val="12"/>
          <w:color w:val="282A32"/>
        </w:rPr>
      </w:pPr>
      <w:hyperlink w:anchor="page76">
        <w:r>
          <w:rPr>
            <w:rFonts w:ascii="Arial" w:cs="Arial" w:eastAsia="Arial" w:hAnsi="Arial"/>
            <w:sz w:val="12"/>
            <w:szCs w:val="12"/>
            <w:color w:val="282A32"/>
          </w:rPr>
          <w:t>Notes to Consolidated Financial Statements</w:t>
        </w:r>
      </w:hyperlink>
    </w:p>
    <w:p>
      <w:pPr>
        <w:spacing w:after="0" w:line="69" w:lineRule="exact"/>
        <w:rPr>
          <w:rFonts w:ascii="Arial" w:cs="Arial" w:eastAsia="Arial" w:hAnsi="Arial"/>
          <w:sz w:val="11"/>
          <w:szCs w:val="11"/>
          <w:color w:val="2989B9"/>
        </w:rPr>
      </w:pPr>
    </w:p>
    <w:p>
      <w:pPr>
        <w:ind w:left="3180" w:hanging="175"/>
        <w:spacing w:after="0"/>
        <w:tabs>
          <w:tab w:leader="none" w:pos="3180" w:val="left"/>
        </w:tabs>
        <w:numPr>
          <w:ilvl w:val="0"/>
          <w:numId w:val="36"/>
        </w:numPr>
        <w:rPr>
          <w:rFonts w:ascii="Arial" w:cs="Arial" w:eastAsia="Arial" w:hAnsi="Arial"/>
          <w:sz w:val="12"/>
          <w:szCs w:val="12"/>
          <w:color w:val="282A32"/>
        </w:rPr>
      </w:pPr>
      <w:hyperlink w:anchor="page109">
        <w:r>
          <w:rPr>
            <w:rFonts w:ascii="Arial" w:cs="Arial" w:eastAsia="Arial" w:hAnsi="Arial"/>
            <w:sz w:val="12"/>
            <w:szCs w:val="12"/>
            <w:color w:val="282A32"/>
          </w:rPr>
          <w:t>Selected Financial Data</w:t>
        </w:r>
      </w:hyperlink>
    </w:p>
    <w:p>
      <w:pPr>
        <w:spacing w:after="0" w:line="68" w:lineRule="exact"/>
        <w:rPr>
          <w:rFonts w:ascii="Arial" w:cs="Arial" w:eastAsia="Arial" w:hAnsi="Arial"/>
          <w:sz w:val="12"/>
          <w:szCs w:val="12"/>
          <w:color w:val="282A32"/>
        </w:rPr>
      </w:pPr>
    </w:p>
    <w:p>
      <w:pPr>
        <w:ind w:left="3180" w:hanging="175"/>
        <w:spacing w:after="0"/>
        <w:tabs>
          <w:tab w:leader="none" w:pos="3180" w:val="left"/>
        </w:tabs>
        <w:numPr>
          <w:ilvl w:val="0"/>
          <w:numId w:val="36"/>
        </w:numPr>
        <w:rPr>
          <w:rFonts w:ascii="Arial" w:cs="Arial" w:eastAsia="Arial" w:hAnsi="Arial"/>
          <w:sz w:val="12"/>
          <w:szCs w:val="12"/>
          <w:color w:val="282A32"/>
        </w:rPr>
      </w:pPr>
      <w:hyperlink w:anchor="page109">
        <w:r>
          <w:rPr>
            <w:rFonts w:ascii="Arial" w:cs="Arial" w:eastAsia="Arial" w:hAnsi="Arial"/>
            <w:sz w:val="12"/>
            <w:szCs w:val="12"/>
            <w:color w:val="282A32"/>
          </w:rPr>
          <w:t>Performance Graph</w:t>
        </w:r>
      </w:hyperlink>
    </w:p>
    <w:p>
      <w:pPr>
        <w:spacing w:after="0" w:line="68" w:lineRule="exact"/>
        <w:rPr>
          <w:rFonts w:ascii="Arial" w:cs="Arial" w:eastAsia="Arial" w:hAnsi="Arial"/>
          <w:sz w:val="12"/>
          <w:szCs w:val="12"/>
          <w:color w:val="282A32"/>
        </w:rPr>
      </w:pPr>
    </w:p>
    <w:p>
      <w:pPr>
        <w:ind w:left="3180" w:hanging="175"/>
        <w:spacing w:after="0"/>
        <w:tabs>
          <w:tab w:leader="none" w:pos="3180" w:val="left"/>
        </w:tabs>
        <w:numPr>
          <w:ilvl w:val="0"/>
          <w:numId w:val="36"/>
        </w:numPr>
        <w:rPr>
          <w:rFonts w:ascii="Arial" w:cs="Arial" w:eastAsia="Arial" w:hAnsi="Arial"/>
          <w:sz w:val="12"/>
          <w:szCs w:val="12"/>
          <w:color w:val="282A32"/>
        </w:rPr>
      </w:pPr>
      <w:hyperlink w:anchor="page111">
        <w:r>
          <w:rPr>
            <w:rFonts w:ascii="Arial" w:cs="Arial" w:eastAsia="Arial" w:hAnsi="Arial"/>
            <w:sz w:val="12"/>
            <w:szCs w:val="12"/>
            <w:color w:val="282A32"/>
          </w:rPr>
          <w:t>Principal Operating Units</w:t>
        </w:r>
      </w:hyperlink>
    </w:p>
    <w:p>
      <w:pPr>
        <w:spacing w:after="0" w:line="68" w:lineRule="exact"/>
        <w:rPr>
          <w:rFonts w:ascii="Arial" w:cs="Arial" w:eastAsia="Arial" w:hAnsi="Arial"/>
          <w:sz w:val="12"/>
          <w:szCs w:val="12"/>
          <w:color w:val="282A32"/>
        </w:rPr>
      </w:pPr>
    </w:p>
    <w:p>
      <w:pPr>
        <w:ind w:left="3180" w:hanging="175"/>
        <w:spacing w:after="0"/>
        <w:tabs>
          <w:tab w:leader="none" w:pos="3180" w:val="left"/>
        </w:tabs>
        <w:numPr>
          <w:ilvl w:val="0"/>
          <w:numId w:val="36"/>
        </w:numPr>
        <w:rPr>
          <w:rFonts w:ascii="Arial" w:cs="Arial" w:eastAsia="Arial" w:hAnsi="Arial"/>
          <w:sz w:val="12"/>
          <w:szCs w:val="12"/>
          <w:color w:val="282A32"/>
        </w:rPr>
      </w:pPr>
      <w:hyperlink w:anchor="page112">
        <w:r>
          <w:rPr>
            <w:rFonts w:ascii="Arial" w:cs="Arial" w:eastAsia="Arial" w:hAnsi="Arial"/>
            <w:sz w:val="12"/>
            <w:szCs w:val="12"/>
            <w:color w:val="282A32"/>
          </w:rPr>
          <w:t>Corporate Information</w:t>
        </w:r>
      </w:hyperlink>
    </w:p>
    <w:p>
      <w:pPr>
        <w:spacing w:after="0" w:line="20" w:lineRule="exact"/>
        <w:rPr>
          <w:rFonts w:ascii="Arial" w:cs="Arial" w:eastAsia="Arial" w:hAnsi="Arial"/>
          <w:sz w:val="11"/>
          <w:szCs w:val="11"/>
          <w:color w:val="2989B9"/>
        </w:rPr>
      </w:pPr>
      <w:r>
        <w:rPr>
          <w:rFonts w:ascii="Arial" w:cs="Arial" w:eastAsia="Arial" w:hAnsi="Arial"/>
          <w:sz w:val="11"/>
          <w:szCs w:val="11"/>
          <w:color w:val="2989B9"/>
        </w:rPr>
        <w:drawing>
          <wp:anchor simplePos="0" relativeHeight="251657728" behindDoc="1" locked="0" layoutInCell="0" allowOverlap="1">
            <wp:simplePos x="0" y="0"/>
            <wp:positionH relativeFrom="column">
              <wp:posOffset>-746125</wp:posOffset>
            </wp:positionH>
            <wp:positionV relativeFrom="paragraph">
              <wp:posOffset>16510</wp:posOffset>
            </wp:positionV>
            <wp:extent cx="7252335" cy="315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31559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305435</wp:posOffset>
            </wp:positionV>
            <wp:extent cx="926465" cy="1602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6465" cy="16027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2"/>
          <w:szCs w:val="12"/>
          <w:color w:val="2989B9"/>
        </w:rPr>
        <w:t>BUSINESS OVERVIEW</w:t>
      </w:r>
    </w:p>
    <w:p>
      <w:pPr>
        <w:spacing w:after="0" w:line="7" w:lineRule="exact"/>
        <w:rPr>
          <w:sz w:val="20"/>
          <w:szCs w:val="20"/>
          <w:color w:val="auto"/>
        </w:rPr>
      </w:pPr>
    </w:p>
    <w:p>
      <w:pPr>
        <w:ind w:left="20" w:right="6140"/>
        <w:spacing w:after="0" w:line="256" w:lineRule="auto"/>
        <w:rPr>
          <w:sz w:val="20"/>
          <w:szCs w:val="20"/>
          <w:color w:val="auto"/>
        </w:rPr>
      </w:pPr>
      <w:r>
        <w:rPr>
          <w:rFonts w:ascii="Arial" w:cs="Arial" w:eastAsia="Arial" w:hAnsi="Arial"/>
          <w:sz w:val="12"/>
          <w:szCs w:val="12"/>
          <w:color w:val="282A32"/>
        </w:rPr>
        <w:t xml:space="preserve">ManpowerGroup Inc. is a world leader in innovative workforce solutions and services. Our global network of nearly </w:t>
      </w:r>
      <w:r>
        <w:rPr>
          <w:rFonts w:ascii="Arial" w:cs="Arial" w:eastAsia="Arial" w:hAnsi="Arial"/>
          <w:sz w:val="12"/>
          <w:szCs w:val="12"/>
          <w:color w:val="000000"/>
        </w:rPr>
        <w:t>2,800</w:t>
      </w:r>
      <w:r>
        <w:rPr>
          <w:rFonts w:ascii="Arial" w:cs="Arial" w:eastAsia="Arial" w:hAnsi="Arial"/>
          <w:sz w:val="12"/>
          <w:szCs w:val="12"/>
          <w:color w:val="282A32"/>
        </w:rPr>
        <w:t xml:space="preserve"> offices in </w:t>
      </w:r>
      <w:r>
        <w:rPr>
          <w:rFonts w:ascii="Arial" w:cs="Arial" w:eastAsia="Arial" w:hAnsi="Arial"/>
          <w:sz w:val="12"/>
          <w:szCs w:val="12"/>
          <w:color w:val="000000"/>
        </w:rPr>
        <w:t>80</w:t>
      </w:r>
      <w:r>
        <w:rPr>
          <w:rFonts w:ascii="Arial" w:cs="Arial" w:eastAsia="Arial" w:hAnsi="Arial"/>
          <w:sz w:val="12"/>
          <w:szCs w:val="12"/>
          <w:color w:val="282A32"/>
        </w:rPr>
        <w:t xml:space="preserve"> countries and territories allows us to meet the needs of our global, multinational and local clients across all major industry segments. We develop solutions that drive organizations forward, accelerate individual success and help build more sustainable communities. We power the world of work.</w:t>
      </w:r>
    </w:p>
    <w:p>
      <w:pPr>
        <w:spacing w:after="0" w:line="133" w:lineRule="exact"/>
        <w:rPr>
          <w:sz w:val="20"/>
          <w:szCs w:val="20"/>
          <w:color w:val="auto"/>
        </w:rPr>
      </w:pPr>
    </w:p>
    <w:p>
      <w:pPr>
        <w:ind w:left="20" w:right="6140"/>
        <w:spacing w:after="0" w:line="257" w:lineRule="auto"/>
        <w:rPr>
          <w:sz w:val="20"/>
          <w:szCs w:val="20"/>
          <w:color w:val="auto"/>
        </w:rPr>
      </w:pPr>
      <w:r>
        <w:rPr>
          <w:rFonts w:ascii="Arial" w:cs="Arial" w:eastAsia="Arial" w:hAnsi="Arial"/>
          <w:sz w:val="12"/>
          <w:szCs w:val="12"/>
          <w:color w:val="282A32"/>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33" w:lineRule="exact"/>
        <w:rPr>
          <w:sz w:val="20"/>
          <w:szCs w:val="20"/>
          <w:color w:val="auto"/>
        </w:rPr>
      </w:pPr>
    </w:p>
    <w:p>
      <w:pPr>
        <w:ind w:left="20" w:right="6180" w:firstLine="3"/>
        <w:spacing w:after="0" w:line="256" w:lineRule="auto"/>
        <w:tabs>
          <w:tab w:leader="none" w:pos="98" w:val="left"/>
        </w:tabs>
        <w:numPr>
          <w:ilvl w:val="1"/>
          <w:numId w:val="37"/>
        </w:numPr>
        <w:rPr>
          <w:rFonts w:ascii="Arial" w:cs="Arial" w:eastAsia="Arial" w:hAnsi="Arial"/>
          <w:sz w:val="12"/>
          <w:szCs w:val="12"/>
          <w:color w:val="2A89B9"/>
        </w:rPr>
      </w:pPr>
      <w:r>
        <w:rPr>
          <w:rFonts w:ascii="Arial" w:cs="Arial" w:eastAsia="Arial" w:hAnsi="Arial"/>
          <w:sz w:val="12"/>
          <w:szCs w:val="12"/>
          <w:color w:val="282A32"/>
        </w:rPr>
        <w:t>Recruitment and Assessment — By leveraging our trusted brands, industry knowledge and expertise, we identify the right talent in the right place to help our clients quickly access the people they need when they need them. Through our industry-leading assessments, we gain a deeper understanding of the people we serve to correctly identify candidates’ potential, resulting in a better cultural match.</w:t>
      </w:r>
    </w:p>
    <w:p>
      <w:pPr>
        <w:spacing w:after="0" w:line="200" w:lineRule="exact"/>
        <w:rPr>
          <w:rFonts w:ascii="Arial" w:cs="Arial" w:eastAsia="Arial" w:hAnsi="Arial"/>
          <w:sz w:val="12"/>
          <w:szCs w:val="12"/>
          <w:color w:val="2A89B9"/>
        </w:rPr>
      </w:pPr>
    </w:p>
    <w:p>
      <w:pPr>
        <w:spacing w:after="0" w:line="200" w:lineRule="exact"/>
        <w:rPr>
          <w:rFonts w:ascii="Arial" w:cs="Arial" w:eastAsia="Arial" w:hAnsi="Arial"/>
          <w:sz w:val="12"/>
          <w:szCs w:val="12"/>
          <w:color w:val="2A89B9"/>
        </w:rPr>
      </w:pPr>
    </w:p>
    <w:p>
      <w:pPr>
        <w:spacing w:after="0" w:line="395" w:lineRule="exact"/>
        <w:rPr>
          <w:rFonts w:ascii="Arial" w:cs="Arial" w:eastAsia="Arial" w:hAnsi="Arial"/>
          <w:sz w:val="12"/>
          <w:szCs w:val="12"/>
          <w:color w:val="2A89B9"/>
        </w:rPr>
      </w:pPr>
    </w:p>
    <w:p>
      <w:pPr>
        <w:ind w:left="20" w:right="6220" w:firstLine="3"/>
        <w:spacing w:after="0" w:line="257" w:lineRule="auto"/>
        <w:tabs>
          <w:tab w:leader="none" w:pos="98" w:val="left"/>
        </w:tabs>
        <w:numPr>
          <w:ilvl w:val="1"/>
          <w:numId w:val="37"/>
        </w:numPr>
        <w:rPr>
          <w:rFonts w:ascii="Arial" w:cs="Arial" w:eastAsia="Arial" w:hAnsi="Arial"/>
          <w:sz w:val="12"/>
          <w:szCs w:val="12"/>
          <w:b w:val="1"/>
          <w:bCs w:val="1"/>
          <w:color w:val="2A89B9"/>
        </w:rPr>
      </w:pPr>
      <w:r>
        <w:rPr>
          <w:rFonts w:ascii="Arial" w:cs="Arial" w:eastAsia="Arial" w:hAnsi="Arial"/>
          <w:sz w:val="12"/>
          <w:szCs w:val="12"/>
          <w:color w:val="282A32"/>
        </w:rPr>
        <w:t>Training and Development — Our unique insights into evolving employer needs and our expertise in training and development help us prepare candidates and associates to succeed in today’s competitive marketplace. We offer an extensive portfolio of training courses and leadership development solutions that help clients maximize talent and optimize performance.</w:t>
      </w:r>
    </w:p>
    <w:p>
      <w:pPr>
        <w:spacing w:after="0" w:line="133" w:lineRule="exact"/>
        <w:rPr>
          <w:rFonts w:ascii="Arial" w:cs="Arial" w:eastAsia="Arial" w:hAnsi="Arial"/>
          <w:sz w:val="12"/>
          <w:szCs w:val="12"/>
          <w:b w:val="1"/>
          <w:bCs w:val="1"/>
          <w:color w:val="2A89B9"/>
        </w:rPr>
      </w:pPr>
    </w:p>
    <w:p>
      <w:pPr>
        <w:ind w:left="20" w:right="6120" w:firstLine="3"/>
        <w:spacing w:after="0" w:line="260" w:lineRule="auto"/>
        <w:tabs>
          <w:tab w:leader="none" w:pos="98" w:val="left"/>
        </w:tabs>
        <w:numPr>
          <w:ilvl w:val="1"/>
          <w:numId w:val="37"/>
        </w:numPr>
        <w:rPr>
          <w:rFonts w:ascii="Arial" w:cs="Arial" w:eastAsia="Arial" w:hAnsi="Arial"/>
          <w:sz w:val="12"/>
          <w:szCs w:val="12"/>
          <w:b w:val="1"/>
          <w:bCs w:val="1"/>
          <w:color w:val="2A89B9"/>
        </w:rPr>
      </w:pPr>
      <w:r>
        <w:rPr>
          <w:rFonts w:ascii="Arial" w:cs="Arial" w:eastAsia="Arial" w:hAnsi="Arial"/>
          <w:sz w:val="12"/>
          <w:szCs w:val="12"/>
          <w:color w:val="282A32"/>
        </w:rPr>
        <w:t>Career Management — We understand the human side of business to help individuals and organizations unleash human potential to enhance skills, increase effectiveness and successfully manage career changes and workforce transitions.</w:t>
      </w:r>
    </w:p>
    <w:p>
      <w:pPr>
        <w:spacing w:after="0" w:line="130" w:lineRule="exact"/>
        <w:rPr>
          <w:rFonts w:ascii="Arial" w:cs="Arial" w:eastAsia="Arial" w:hAnsi="Arial"/>
          <w:sz w:val="12"/>
          <w:szCs w:val="12"/>
          <w:b w:val="1"/>
          <w:bCs w:val="1"/>
          <w:color w:val="2A89B9"/>
        </w:rPr>
      </w:pPr>
    </w:p>
    <w:p>
      <w:pPr>
        <w:ind w:left="20" w:right="6300" w:firstLine="3"/>
        <w:spacing w:after="0" w:line="260" w:lineRule="auto"/>
        <w:tabs>
          <w:tab w:leader="none" w:pos="98" w:val="left"/>
        </w:tabs>
        <w:numPr>
          <w:ilvl w:val="1"/>
          <w:numId w:val="37"/>
        </w:numPr>
        <w:rPr>
          <w:rFonts w:ascii="Arial" w:cs="Arial" w:eastAsia="Arial" w:hAnsi="Arial"/>
          <w:sz w:val="12"/>
          <w:szCs w:val="12"/>
          <w:b w:val="1"/>
          <w:bCs w:val="1"/>
          <w:color w:val="2A89B9"/>
        </w:rPr>
      </w:pPr>
      <w:r>
        <w:rPr>
          <w:rFonts w:ascii="Arial" w:cs="Arial" w:eastAsia="Arial" w:hAnsi="Arial"/>
          <w:sz w:val="12"/>
          <w:szCs w:val="12"/>
          <w:color w:val="282A32"/>
        </w:rPr>
        <w:t>Outsourcing — We provide clients with outsourcing services related to human resources functions primarily in the areas of large-scale recruiting and workforce-intensive initiatives that are outcome-based, thereby sharing in the risk and reward with our clients.</w:t>
      </w:r>
    </w:p>
    <w:p>
      <w:pPr>
        <w:spacing w:after="0" w:line="172" w:lineRule="exact"/>
        <w:rPr>
          <w:rFonts w:ascii="Arial" w:cs="Arial" w:eastAsia="Arial" w:hAnsi="Arial"/>
          <w:sz w:val="12"/>
          <w:szCs w:val="12"/>
          <w:b w:val="1"/>
          <w:bCs w:val="1"/>
          <w:color w:val="2A89B9"/>
        </w:rPr>
      </w:pPr>
    </w:p>
    <w:p>
      <w:pPr>
        <w:ind w:right="220" w:firstLine="3"/>
        <w:spacing w:after="0" w:line="503" w:lineRule="auto"/>
        <w:tabs>
          <w:tab w:leader="none" w:pos="78" w:val="left"/>
        </w:tabs>
        <w:numPr>
          <w:ilvl w:val="0"/>
          <w:numId w:val="37"/>
        </w:numPr>
        <w:rPr>
          <w:rFonts w:ascii="Arial" w:cs="Arial" w:eastAsia="Arial" w:hAnsi="Arial"/>
          <w:sz w:val="12"/>
          <w:szCs w:val="12"/>
          <w:color w:val="2989B9"/>
        </w:rPr>
      </w:pPr>
      <w:r>
        <w:rPr>
          <w:rFonts w:ascii="Arial" w:cs="Arial" w:eastAsia="Arial" w:hAnsi="Arial"/>
          <w:sz w:val="12"/>
          <w:szCs w:val="12"/>
          <w:color w:val="282A32"/>
        </w:rPr>
        <w:t>Workforce Consulting — We help clients create and align their workforce strategy to achieve their business strategy, increase bus</w:t>
      </w:r>
      <w:r>
        <w:rPr>
          <w:rFonts w:ascii="Arial" w:cs="Arial" w:eastAsia="Arial" w:hAnsi="Arial"/>
          <w:sz w:val="12"/>
          <w:szCs w:val="12"/>
          <w:color w:val="000000"/>
        </w:rPr>
        <w:t>iness agili</w:t>
      </w:r>
      <w:r>
        <w:rPr>
          <w:rFonts w:ascii="Arial" w:cs="Arial" w:eastAsia="Arial" w:hAnsi="Arial"/>
          <w:sz w:val="12"/>
          <w:szCs w:val="12"/>
          <w:color w:val="282A32"/>
        </w:rPr>
        <w:t>ty and flexibility, and accelerate personal and business success. This comprehensive and diverse business mix helps us to partially mitigate the cyclical effects of the economies in which we operate. Our family of brands and offerings includes:</w:t>
      </w:r>
    </w:p>
    <w:p>
      <w:pPr>
        <w:ind w:firstLine="3"/>
        <w:spacing w:after="0" w:line="269" w:lineRule="auto"/>
        <w:tabs>
          <w:tab w:leader="none" w:pos="91" w:val="left"/>
        </w:tabs>
        <w:numPr>
          <w:ilvl w:val="0"/>
          <w:numId w:val="37"/>
        </w:numPr>
        <w:rPr>
          <w:rFonts w:ascii="Arial" w:cs="Arial" w:eastAsia="Arial" w:hAnsi="Arial"/>
          <w:sz w:val="12"/>
          <w:szCs w:val="12"/>
          <w:color w:val="2A89B9"/>
        </w:rPr>
      </w:pPr>
      <w:r>
        <w:rPr>
          <w:rFonts w:ascii="Arial" w:cs="Arial" w:eastAsia="Arial" w:hAnsi="Arial"/>
          <w:sz w:val="12"/>
          <w:szCs w:val="12"/>
          <w:color w:val="282A32"/>
        </w:rPr>
        <w:t>Manpower — We are a global leader in contingent staffing and permanent recruitment. We provide businesses with rapid access to a highly qualified and productive pool of candidates to give them the flexibility and agility they need to respond to changing business needs.</w:t>
      </w:r>
    </w:p>
    <w:p>
      <w:pPr>
        <w:spacing w:after="0" w:line="125" w:lineRule="exact"/>
        <w:rPr>
          <w:rFonts w:ascii="Arial" w:cs="Arial" w:eastAsia="Arial" w:hAnsi="Arial"/>
          <w:sz w:val="12"/>
          <w:szCs w:val="12"/>
          <w:color w:val="2A89B9"/>
        </w:rPr>
      </w:pPr>
    </w:p>
    <w:p>
      <w:pPr>
        <w:ind w:firstLine="3"/>
        <w:spacing w:after="0" w:line="269" w:lineRule="auto"/>
        <w:tabs>
          <w:tab w:leader="none" w:pos="88" w:val="left"/>
        </w:tabs>
        <w:numPr>
          <w:ilvl w:val="0"/>
          <w:numId w:val="37"/>
        </w:numPr>
        <w:rPr>
          <w:rFonts w:ascii="Arial" w:cs="Arial" w:eastAsia="Arial" w:hAnsi="Arial"/>
          <w:sz w:val="12"/>
          <w:szCs w:val="12"/>
          <w:color w:val="2989B9"/>
        </w:rPr>
      </w:pPr>
      <w:r>
        <w:rPr>
          <w:rFonts w:ascii="Arial" w:cs="Arial" w:eastAsia="Arial" w:hAnsi="Arial"/>
          <w:sz w:val="12"/>
          <w:szCs w:val="12"/>
          <w:color w:val="282A32"/>
        </w:rPr>
        <w:t xml:space="preserve">Experis — We are a global leader in professional resourcing and project-based solutions. With operations in over </w:t>
      </w:r>
      <w:r>
        <w:rPr>
          <w:rFonts w:ascii="Arial" w:cs="Arial" w:eastAsia="Arial" w:hAnsi="Arial"/>
          <w:sz w:val="12"/>
          <w:szCs w:val="12"/>
          <w:color w:val="000000"/>
        </w:rPr>
        <w:t>50</w:t>
      </w:r>
      <w:r>
        <w:rPr>
          <w:rFonts w:ascii="Arial" w:cs="Arial" w:eastAsia="Arial" w:hAnsi="Arial"/>
          <w:sz w:val="12"/>
          <w:szCs w:val="12"/>
          <w:color w:val="282A32"/>
        </w:rPr>
        <w:t xml:space="preserve"> countries and territories, we delivered 63 million hours of professional talent in 2016 specializing in Information Technology (IT), Engineering, and Finance.</w:t>
      </w:r>
    </w:p>
    <w:p>
      <w:pPr>
        <w:spacing w:after="0" w:line="125" w:lineRule="exact"/>
        <w:rPr>
          <w:rFonts w:ascii="Arial" w:cs="Arial" w:eastAsia="Arial" w:hAnsi="Arial"/>
          <w:sz w:val="12"/>
          <w:szCs w:val="12"/>
          <w:color w:val="2989B9"/>
        </w:rPr>
      </w:pPr>
    </w:p>
    <w:p>
      <w:pPr>
        <w:ind w:firstLine="3"/>
        <w:spacing w:after="0" w:line="269" w:lineRule="auto"/>
        <w:tabs>
          <w:tab w:leader="none" w:pos="91" w:val="left"/>
        </w:tabs>
        <w:numPr>
          <w:ilvl w:val="0"/>
          <w:numId w:val="37"/>
        </w:numPr>
        <w:rPr>
          <w:rFonts w:ascii="Arial" w:cs="Arial" w:eastAsia="Arial" w:hAnsi="Arial"/>
          <w:sz w:val="12"/>
          <w:szCs w:val="12"/>
          <w:color w:val="2989B9"/>
        </w:rPr>
      </w:pPr>
      <w:r>
        <w:rPr>
          <w:rFonts w:ascii="Arial" w:cs="Arial" w:eastAsia="Arial" w:hAnsi="Arial"/>
          <w:sz w:val="12"/>
          <w:szCs w:val="12"/>
          <w:color w:val="282A32"/>
        </w:rPr>
        <w:t>Right Management — We are a global career expert dedicated to helping organizations and individuals become more agile and innovative. By leveraging our expertise in assessment, development and coaching, we provide tailored solutions that deliver organizational efficiency, individual development, and career management, to increase productivity and optimize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-2785110</wp:posOffset>
            </wp:positionV>
            <wp:extent cx="840740" cy="165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0740" cy="16554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15</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40" w:name="page41"/>
    <w:bookmarkEnd w:id="40"/>
    <w:p>
      <w:pPr>
        <w:jc w:val="both"/>
        <w:ind w:firstLine="3"/>
        <w:spacing w:after="0" w:line="260" w:lineRule="auto"/>
        <w:tabs>
          <w:tab w:leader="none" w:pos="103" w:val="left"/>
        </w:tabs>
        <w:numPr>
          <w:ilvl w:val="0"/>
          <w:numId w:val="38"/>
        </w:numPr>
        <w:rPr>
          <w:rFonts w:ascii="Arial" w:cs="Arial" w:eastAsia="Arial" w:hAnsi="Arial"/>
          <w:sz w:val="12"/>
          <w:szCs w:val="12"/>
          <w:color w:val="2989B9"/>
        </w:rPr>
      </w:pPr>
      <w:r>
        <w:rPr>
          <w:rFonts w:ascii="Arial" w:cs="Arial" w:eastAsia="Arial" w:hAnsi="Arial"/>
          <w:sz w:val="12"/>
          <w:szCs w:val="12"/>
          <w:color w:val="282A32"/>
        </w:rPr>
        <w:t>ManpowerGroup Solutions — ManpowerGroup Solutions is a leader in outcome-based, talent-driven solutions. Our offerings include best-in-class Recruitment Process Outsourcing (RPO), TAPFIN - Managed Service Provider (MSP), Proservia and Talent Based Outsourcing (TBO). Proservia is a recognized leader within the Digital Services market and IT Infrastructure sector throughout Europe, specializing in infrastructure management and end-user support.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Our leadership position allows us to be a center for quality employment opportunities for people at all points in their career paths. In 2016, the over 3 million people whom we connected to opportunities and purpose worked to help our clients meet their business objectives. Seasoned professionals, skilled laborers, temporary to permanent, parents returning to work, seniors wanting to supplement pensions, previously unemployed youth and disabled individuals all turn to the ManpowerGroup companies for employment possibilities.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Our industry is large and fragmented, comprised of thousands of firms employing millions of people and generating billions of United States dollars in annual revenues. It is also a highly competitive industry, reflecting several trends in the global marketplace, notably increasing demand for skilled people and consolidation among clients and in the employment services industry itself.</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periods of increased demand, as we saw in 2016, we are generally able to improve our profitability and operating leverage as our cost base can support some increase in business without a similar increase in selling and administrative expenses.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The nature of our operations is such that our most significant current asset is accounts receivable, with an average days sales outstanding of approximately 52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are outstanding for much longer, which may result in a decline in operating cash flows.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an economic downturn continued for an extended period.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282A32"/>
        </w:rPr>
        <w:t>Our career management services are counter-cyclical to our staffing services, which helps to offset the impact of an economic downturn on our overall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16 </w:t>
      </w:r>
      <w:r>
        <w:rPr>
          <w:rFonts w:ascii="Arial" w:cs="Arial" w:eastAsia="Arial" w:hAnsi="Arial"/>
          <w:sz w:val="8"/>
          <w:szCs w:val="8"/>
          <w:color w:val="auto"/>
        </w:rPr>
        <w:t>| ManpowerGroup</w:t>
      </w:r>
    </w:p>
    <w:p>
      <w:pPr>
        <w:sectPr>
          <w:pgSz w:w="11900" w:h="16838" w:orient="portrait"/>
          <w:cols w:equalWidth="0" w:num="1">
            <w:col w:w="11460"/>
          </w:cols>
          <w:pgMar w:left="220" w:top="472" w:right="2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Our business is organized and managed primarily on a geographic basis, with Right Management currently operating as a separate global business unit. Each country and business unit generally has its own distinct operations and management team, providing services under our global brands.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(Asia Pacific Middle East); and Right Management.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The Americas, Southern Europe, Northern Europe and APME segments derive a significant majority of their revenues from the placement of contingent workers. The remaining revenues within these segments are derived from other workforce solutions and services, including ManpowerGroup Solutions (RPO, MSP, Proservia and TBO), recruitment and assessment, and training and development. Right Management’s revenues are derived from career management and workforce consulting services. Segment revenues represent sales to external clients. We provide services to a wide variety of clients, none of which individually comprises a significant portion of revenues for us as a whole or for any segment. Due to the nature of our business, we generally do not have export sales.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2989B9"/>
        </w:rPr>
        <w:t>FINANCIAL MEASURES — CONSTANT CURRENCY AND ORGANIC CONSTANT CURRENCY</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Changes in our financial results include the impact of changes in foreign currency exchange rates and acquisitions.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17</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42" w:name="page43"/>
    <w:bookmarkEnd w:id="42"/>
    <w:p>
      <w:pPr>
        <w:spacing w:after="0"/>
        <w:rPr>
          <w:sz w:val="20"/>
          <w:szCs w:val="20"/>
          <w:color w:val="auto"/>
        </w:rPr>
      </w:pPr>
      <w:r>
        <w:rPr>
          <w:rFonts w:ascii="Arial" w:cs="Arial" w:eastAsia="Arial" w:hAnsi="Arial"/>
          <w:sz w:val="12"/>
          <w:szCs w:val="12"/>
          <w:color w:val="282A32"/>
        </w:rPr>
        <w:t>Constant currency and organic constant currency percent variances, along with a reconciliation of these amounts to certain of our reported results, are included on pages 30 and 31.</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989B9"/>
        </w:rPr>
        <w:t>RESULTS OF OPERATIONS — YEARS ENDED DECEMBER 31, 2016, 2015 AND 2014</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282A32"/>
        </w:rPr>
        <w:t>During 2016, the United States dollar was stronger relative to the currencies in most of our major markets, particularly the United Kingdom and markets within Other Americas, having an unfavorable impact on our reported results. While our reported revenues from services increased 1.7% from 2015 and our reported operating profit increased 9.0%, these results were impacted by the changes in foreign currency exchange rates and generally do not reflect the performance of our underlying business. The changes in the foreign currency exchange rates had a 2.4% unfavorable impact on both revenues from services and operating profit, and an approximately $0.15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In 2016, we experienced constant currency revenue growth in most of our major markets. Our consolidated revenues were up 4.1% in constant currency (1.7% as reported) in 2016 compared to 2015 or 1.8% on an organic constant currency basis. We experienced uneven but improving economic conditions in Europe and certain of our other major markets during the year, and we expect that future revenue growth trends may continue to be somewhat volatile and overall recovery may be slow. The Brexit referendum in the United Kingdom during June 2016, along with other recent geopolitical events, has added an additional level of uncertainty and the impact this will have on the United Kingdom, Europe, and the global economy is unknown. Our staffing/interim business grew modestly in 2016, along with strong growth in all of our ManpowerGroup Solutions offerings and a 9.3% constant currency increase (6.2% as reported) in our permanent recruitment business. At Right Management, revenues from our talent management business experienced declines due to softening demand across most markets, while our counter-cyclical outplacement services increased 3.2% in constant currency (1.1% as reported) due mostly to growth in our Americas markets early in the year.</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Our gross profit margin in 2016 decreased compared to 2015 primarily due to the organic constant currency decline in our staffing/interim gross profit margin due to direct cost increases, such as complementary health care costs for our staffing/interim associates in France as a result of new legislation effective January 1, 2016, changes in business mix, and pricing pressure in certain markets such as France, the United Kingdom and the Netherlands. This decline was partially offset by the growth in our permanent recruitment business, the favorable impact from our acquisitions and a favorable mix impact due to the changes in currency exchange rates.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Our profitability improved in 2016, with operating profit up 11.4% in constant currency (9.0% as reported), and operating profit margin up 20 basis points compared to 2015. Included in 2015 was $16.4 million of restructuring costs primarily related to severance costs across a number of markets as we adjusted our cost base to reflect current revenue levels and enhancements in productivity. Excluding the restructuring costs in 2015, our operating profit was up 8.8% in constant currency and 20 basis points compared to 2015. We continue to monitor expenses closely to ensure we maintain the benefit of our efforts to optimize our organizational and cost structures, technology and delivery of services, while investing appropriately to support the growth in the business. During 2016, we added recruiters and certain other staff to support the increased demand for our services. Even with these investments, we experienced improved operational leverage in 2016 as we were able to support the higher revenue level without a similar increase in expenses.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18 </w:t>
      </w:r>
      <w:r>
        <w:rPr>
          <w:rFonts w:ascii="Arial" w:cs="Arial" w:eastAsia="Arial" w:hAnsi="Arial"/>
          <w:sz w:val="8"/>
          <w:szCs w:val="8"/>
          <w:color w:val="auto"/>
        </w:rPr>
        <w:t>| ManpowerGroup</w:t>
      </w:r>
    </w:p>
    <w:p>
      <w:pPr>
        <w:sectPr>
          <w:pgSz w:w="11900" w:h="16838" w:orient="portrait"/>
          <w:cols w:equalWidth="0" w:num="1">
            <w:col w:w="11460"/>
          </w:cols>
          <w:pgMar w:left="220" w:top="1196" w:right="21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2989B9"/>
        </w:rPr>
        <w:t>Consolidated Results — 2016 Compared to 2015</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The following table presents selected consolidated financial data for 2016 as compared to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80" w:type="dxa"/>
            <w:vAlign w:val="bottom"/>
          </w:tcPr>
          <w:p>
            <w:pPr>
              <w:spacing w:after="0"/>
              <w:rPr>
                <w:sz w:val="12"/>
                <w:szCs w:val="12"/>
                <w:color w:val="auto"/>
              </w:rPr>
            </w:pPr>
          </w:p>
        </w:tc>
        <w:tc>
          <w:tcPr>
            <w:tcW w:w="120" w:type="dxa"/>
            <w:vAlign w:val="bottom"/>
            <w:shd w:val="clear" w:color="auto" w:fill="E1F4FD"/>
          </w:tcPr>
          <w:p>
            <w:pPr>
              <w:spacing w:after="0"/>
              <w:rPr>
                <w:sz w:val="12"/>
                <w:szCs w:val="12"/>
                <w:color w:val="auto"/>
              </w:rPr>
            </w:pPr>
          </w:p>
        </w:tc>
        <w:tc>
          <w:tcPr>
            <w:tcW w:w="1140" w:type="dxa"/>
            <w:vAlign w:val="bottom"/>
            <w:shd w:val="clear" w:color="auto" w:fill="E1F4FD"/>
          </w:tcPr>
          <w:p>
            <w:pPr>
              <w:spacing w:after="0"/>
              <w:rPr>
                <w:sz w:val="12"/>
                <w:szCs w:val="12"/>
                <w:color w:val="auto"/>
              </w:rPr>
            </w:pPr>
          </w:p>
        </w:tc>
        <w:tc>
          <w:tcPr>
            <w:tcW w:w="120" w:type="dxa"/>
            <w:vAlign w:val="bottom"/>
            <w:shd w:val="clear" w:color="auto" w:fill="E1F4FD"/>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jc w:val="right"/>
              <w:ind w:right="100"/>
              <w:spacing w:after="0"/>
              <w:rPr>
                <w:sz w:val="20"/>
                <w:szCs w:val="20"/>
                <w:color w:val="auto"/>
              </w:rPr>
            </w:pPr>
            <w:r>
              <w:rPr>
                <w:rFonts w:ascii="Arial" w:cs="Arial" w:eastAsia="Arial" w:hAnsi="Arial"/>
                <w:sz w:val="11"/>
                <w:szCs w:val="11"/>
                <w:color w:val="282A32"/>
              </w:rPr>
              <w:t>Variance in</w:t>
            </w:r>
          </w:p>
        </w:tc>
        <w:tc>
          <w:tcPr>
            <w:tcW w:w="1060" w:type="dxa"/>
            <w:vAlign w:val="bottom"/>
          </w:tcPr>
          <w:p>
            <w:pPr>
              <w:jc w:val="right"/>
              <w:ind w:right="121"/>
              <w:spacing w:after="0"/>
              <w:rPr>
                <w:sz w:val="20"/>
                <w:szCs w:val="20"/>
                <w:color w:val="auto"/>
              </w:rPr>
            </w:pPr>
            <w:r>
              <w:rPr>
                <w:rFonts w:ascii="Arial" w:cs="Arial" w:eastAsia="Arial" w:hAnsi="Arial"/>
                <w:sz w:val="11"/>
                <w:szCs w:val="11"/>
                <w:color w:val="282A32"/>
              </w:rPr>
              <w:t>Variance in</w:t>
            </w:r>
          </w:p>
        </w:tc>
        <w:tc>
          <w:tcPr>
            <w:tcW w:w="0" w:type="dxa"/>
            <w:vAlign w:val="bottom"/>
          </w:tcPr>
          <w:p>
            <w:pPr>
              <w:spacing w:after="0"/>
              <w:rPr>
                <w:sz w:val="1"/>
                <w:szCs w:val="1"/>
                <w:color w:val="auto"/>
              </w:rPr>
            </w:pPr>
          </w:p>
        </w:tc>
      </w:tr>
      <w:tr>
        <w:trPr>
          <w:trHeight w:val="124"/>
        </w:trPr>
        <w:tc>
          <w:tcPr>
            <w:tcW w:w="5280" w:type="dxa"/>
            <w:vAlign w:val="bottom"/>
            <w:vMerge w:val="restart"/>
          </w:tcPr>
          <w:p>
            <w:pPr>
              <w:ind w:left="20"/>
              <w:spacing w:after="0"/>
              <w:rPr>
                <w:sz w:val="20"/>
                <w:szCs w:val="20"/>
                <w:color w:val="auto"/>
              </w:rPr>
            </w:pPr>
            <w:r>
              <w:rPr>
                <w:rFonts w:ascii="Arial" w:cs="Arial" w:eastAsia="Arial" w:hAnsi="Arial"/>
                <w:sz w:val="11"/>
                <w:szCs w:val="11"/>
                <w:i w:val="1"/>
                <w:iCs w:val="1"/>
                <w:color w:val="282A32"/>
              </w:rPr>
              <w:t>(in millions, except per share data)</w:t>
            </w:r>
          </w:p>
        </w:tc>
        <w:tc>
          <w:tcPr>
            <w:tcW w:w="120" w:type="dxa"/>
            <w:vAlign w:val="bottom"/>
            <w:shd w:val="clear" w:color="auto" w:fill="E1F4FD"/>
          </w:tcPr>
          <w:p>
            <w:pPr>
              <w:spacing w:after="0"/>
              <w:rPr>
                <w:sz w:val="10"/>
                <w:szCs w:val="10"/>
                <w:color w:val="auto"/>
              </w:rPr>
            </w:pPr>
          </w:p>
        </w:tc>
        <w:tc>
          <w:tcPr>
            <w:tcW w:w="1140" w:type="dxa"/>
            <w:vAlign w:val="bottom"/>
            <w:shd w:val="clear" w:color="auto" w:fill="E1F4FD"/>
          </w:tcPr>
          <w:p>
            <w:pPr>
              <w:spacing w:after="0"/>
              <w:rPr>
                <w:sz w:val="10"/>
                <w:szCs w:val="10"/>
                <w:color w:val="auto"/>
              </w:rPr>
            </w:pPr>
          </w:p>
        </w:tc>
        <w:tc>
          <w:tcPr>
            <w:tcW w:w="120" w:type="dxa"/>
            <w:vAlign w:val="bottom"/>
            <w:shd w:val="clear" w:color="auto" w:fill="E1F4FD"/>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40" w:type="dxa"/>
            <w:vAlign w:val="bottom"/>
          </w:tcPr>
          <w:p>
            <w:pPr>
              <w:jc w:val="right"/>
              <w:ind w:right="339"/>
              <w:spacing w:after="0" w:line="124" w:lineRule="exact"/>
              <w:rPr>
                <w:sz w:val="20"/>
                <w:szCs w:val="20"/>
                <w:color w:val="auto"/>
              </w:rPr>
            </w:pPr>
            <w:r>
              <w:rPr>
                <w:rFonts w:ascii="Arial" w:cs="Arial" w:eastAsia="Arial" w:hAnsi="Arial"/>
                <w:sz w:val="11"/>
                <w:szCs w:val="11"/>
                <w:color w:val="282A32"/>
              </w:rPr>
              <w:t>Reported</w:t>
            </w:r>
          </w:p>
        </w:tc>
        <w:tc>
          <w:tcPr>
            <w:tcW w:w="960" w:type="dxa"/>
            <w:vAlign w:val="bottom"/>
          </w:tcPr>
          <w:p>
            <w:pPr>
              <w:jc w:val="right"/>
              <w:ind w:right="100"/>
              <w:spacing w:after="0" w:line="124" w:lineRule="exact"/>
              <w:rPr>
                <w:sz w:val="20"/>
                <w:szCs w:val="20"/>
                <w:color w:val="auto"/>
              </w:rPr>
            </w:pPr>
            <w:r>
              <w:rPr>
                <w:rFonts w:ascii="Arial" w:cs="Arial" w:eastAsia="Arial" w:hAnsi="Arial"/>
                <w:sz w:val="11"/>
                <w:szCs w:val="11"/>
                <w:color w:val="282A32"/>
              </w:rPr>
              <w:t>Constant</w:t>
            </w:r>
          </w:p>
        </w:tc>
        <w:tc>
          <w:tcPr>
            <w:tcW w:w="1060" w:type="dxa"/>
            <w:vAlign w:val="bottom"/>
          </w:tcPr>
          <w:p>
            <w:pPr>
              <w:jc w:val="right"/>
              <w:ind w:right="121"/>
              <w:spacing w:after="0" w:line="124" w:lineRule="exact"/>
              <w:rPr>
                <w:sz w:val="20"/>
                <w:szCs w:val="20"/>
                <w:color w:val="auto"/>
              </w:rPr>
            </w:pPr>
            <w:r>
              <w:rPr>
                <w:rFonts w:ascii="Arial" w:cs="Arial" w:eastAsia="Arial" w:hAnsi="Arial"/>
                <w:sz w:val="11"/>
                <w:szCs w:val="11"/>
                <w:color w:val="282A32"/>
              </w:rPr>
              <w:t>Organic Constant</w:t>
            </w:r>
          </w:p>
        </w:tc>
        <w:tc>
          <w:tcPr>
            <w:tcW w:w="0" w:type="dxa"/>
            <w:vAlign w:val="bottom"/>
          </w:tcPr>
          <w:p>
            <w:pPr>
              <w:spacing w:after="0"/>
              <w:rPr>
                <w:sz w:val="1"/>
                <w:szCs w:val="1"/>
                <w:color w:val="auto"/>
              </w:rPr>
            </w:pPr>
          </w:p>
        </w:tc>
      </w:tr>
      <w:tr>
        <w:trPr>
          <w:trHeight w:val="136"/>
        </w:trPr>
        <w:tc>
          <w:tcPr>
            <w:tcW w:w="52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1F4FD"/>
          </w:tcPr>
          <w:p>
            <w:pPr>
              <w:spacing w:after="0"/>
              <w:rPr>
                <w:sz w:val="11"/>
                <w:szCs w:val="11"/>
                <w:color w:val="auto"/>
              </w:rPr>
            </w:pPr>
          </w:p>
        </w:tc>
        <w:tc>
          <w:tcPr>
            <w:tcW w:w="1260" w:type="dxa"/>
            <w:vAlign w:val="bottom"/>
            <w:tcBorders>
              <w:bottom w:val="single" w:sz="8" w:color="auto"/>
            </w:tcBorders>
            <w:gridSpan w:val="2"/>
            <w:shd w:val="clear" w:color="auto" w:fill="E1F4FD"/>
          </w:tcPr>
          <w:p>
            <w:pPr>
              <w:jc w:val="right"/>
              <w:ind w:right="120"/>
              <w:spacing w:after="0"/>
              <w:rPr>
                <w:sz w:val="20"/>
                <w:szCs w:val="20"/>
                <w:color w:val="auto"/>
              </w:rPr>
            </w:pPr>
            <w:r>
              <w:rPr>
                <w:rFonts w:ascii="Arial" w:cs="Arial" w:eastAsia="Arial" w:hAnsi="Arial"/>
                <w:sz w:val="11"/>
                <w:szCs w:val="11"/>
                <w:color w:val="282A32"/>
              </w:rPr>
              <w:t>2016</w:t>
            </w:r>
          </w:p>
        </w:tc>
        <w:tc>
          <w:tcPr>
            <w:tcW w:w="4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color w:val="282A32"/>
              </w:rPr>
              <w:t>2015</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color w:val="282A32"/>
              </w:rPr>
              <w:t>Variance</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color w:val="282A32"/>
              </w:rPr>
              <w:t>Currency</w:t>
            </w: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color w:val="282A32"/>
              </w:rPr>
              <w:t>Currency</w:t>
            </w:r>
          </w:p>
        </w:tc>
        <w:tc>
          <w:tcPr>
            <w:tcW w:w="0" w:type="dxa"/>
            <w:vAlign w:val="bottom"/>
          </w:tcPr>
          <w:p>
            <w:pPr>
              <w:spacing w:after="0"/>
              <w:rPr>
                <w:sz w:val="1"/>
                <w:szCs w:val="1"/>
                <w:color w:val="auto"/>
              </w:rPr>
            </w:pPr>
          </w:p>
        </w:tc>
      </w:tr>
      <w:tr>
        <w:trPr>
          <w:trHeight w:val="181"/>
        </w:trPr>
        <w:tc>
          <w:tcPr>
            <w:tcW w:w="5280" w:type="dxa"/>
            <w:vAlign w:val="bottom"/>
          </w:tcPr>
          <w:p>
            <w:pPr>
              <w:ind w:left="20"/>
              <w:spacing w:after="0"/>
              <w:rPr>
                <w:sz w:val="20"/>
                <w:szCs w:val="20"/>
                <w:color w:val="auto"/>
              </w:rPr>
            </w:pPr>
            <w:r>
              <w:rPr>
                <w:rFonts w:ascii="Arial" w:cs="Arial" w:eastAsia="Arial" w:hAnsi="Arial"/>
                <w:sz w:val="12"/>
                <w:szCs w:val="12"/>
                <w:color w:val="282A32"/>
              </w:rPr>
              <w:t>Revenues from services</w:t>
            </w:r>
          </w:p>
        </w:tc>
        <w:tc>
          <w:tcPr>
            <w:tcW w:w="120" w:type="dxa"/>
            <w:vAlign w:val="bottom"/>
            <w:shd w:val="clear" w:color="auto" w:fill="E1F4FD"/>
          </w:tcPr>
          <w:p>
            <w:pPr>
              <w:jc w:val="right"/>
              <w:spacing w:after="0"/>
              <w:rPr>
                <w:sz w:val="20"/>
                <w:szCs w:val="20"/>
                <w:color w:val="auto"/>
              </w:rPr>
            </w:pPr>
            <w:r>
              <w:rPr>
                <w:rFonts w:ascii="Arial" w:cs="Arial" w:eastAsia="Arial" w:hAnsi="Arial"/>
                <w:sz w:val="12"/>
                <w:szCs w:val="12"/>
                <w:color w:val="282A32"/>
              </w:rPr>
              <w:t>$</w:t>
            </w:r>
          </w:p>
        </w:tc>
        <w:tc>
          <w:tcPr>
            <w:tcW w:w="1140" w:type="dxa"/>
            <w:vAlign w:val="bottom"/>
            <w:shd w:val="clear" w:color="auto" w:fill="E1F4FD"/>
          </w:tcPr>
          <w:p>
            <w:pPr>
              <w:jc w:val="right"/>
              <w:spacing w:after="0"/>
              <w:rPr>
                <w:sz w:val="20"/>
                <w:szCs w:val="20"/>
                <w:color w:val="auto"/>
              </w:rPr>
            </w:pPr>
            <w:r>
              <w:rPr>
                <w:rFonts w:ascii="Arial" w:cs="Arial" w:eastAsia="Arial" w:hAnsi="Arial"/>
                <w:sz w:val="12"/>
                <w:szCs w:val="12"/>
                <w:color w:val="282A32"/>
              </w:rPr>
              <w:t>19,654.1</w:t>
            </w:r>
          </w:p>
        </w:tc>
        <w:tc>
          <w:tcPr>
            <w:tcW w:w="120" w:type="dxa"/>
            <w:vAlign w:val="bottom"/>
            <w:shd w:val="clear" w:color="auto" w:fill="E1F4FD"/>
          </w:tcPr>
          <w:p>
            <w:pPr>
              <w:spacing w:after="0"/>
              <w:rPr>
                <w:sz w:val="15"/>
                <w:szCs w:val="15"/>
                <w:color w:val="auto"/>
              </w:rPr>
            </w:pPr>
          </w:p>
        </w:tc>
        <w:tc>
          <w:tcPr>
            <w:tcW w:w="420" w:type="dxa"/>
            <w:vAlign w:val="bottom"/>
          </w:tcPr>
          <w:p>
            <w:pPr>
              <w:jc w:val="right"/>
              <w:ind w:right="278"/>
              <w:spacing w:after="0"/>
              <w:rPr>
                <w:sz w:val="20"/>
                <w:szCs w:val="20"/>
                <w:color w:val="auto"/>
              </w:rPr>
            </w:pPr>
            <w:r>
              <w:rPr>
                <w:rFonts w:ascii="Arial" w:cs="Arial" w:eastAsia="Arial" w:hAnsi="Arial"/>
                <w:sz w:val="12"/>
                <w:szCs w:val="12"/>
                <w:color w:val="282A32"/>
                <w:w w:val="89"/>
              </w:rPr>
              <w:t>$</w:t>
            </w: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19,329.9</w:t>
            </w:r>
          </w:p>
        </w:tc>
        <w:tc>
          <w:tcPr>
            <w:tcW w:w="1140" w:type="dxa"/>
            <w:vAlign w:val="bottom"/>
          </w:tcPr>
          <w:p>
            <w:pPr>
              <w:jc w:val="right"/>
              <w:ind w:right="199"/>
              <w:spacing w:after="0"/>
              <w:rPr>
                <w:sz w:val="20"/>
                <w:szCs w:val="20"/>
                <w:color w:val="auto"/>
              </w:rPr>
            </w:pPr>
            <w:r>
              <w:rPr>
                <w:rFonts w:ascii="Arial" w:cs="Arial" w:eastAsia="Arial" w:hAnsi="Arial"/>
                <w:sz w:val="12"/>
                <w:szCs w:val="12"/>
                <w:color w:val="282A32"/>
              </w:rPr>
              <w:t>1.7 %</w:t>
            </w:r>
          </w:p>
        </w:tc>
        <w:tc>
          <w:tcPr>
            <w:tcW w:w="960" w:type="dxa"/>
            <w:vAlign w:val="bottom"/>
          </w:tcPr>
          <w:p>
            <w:pPr>
              <w:jc w:val="right"/>
              <w:spacing w:after="0"/>
              <w:rPr>
                <w:sz w:val="20"/>
                <w:szCs w:val="20"/>
                <w:color w:val="auto"/>
              </w:rPr>
            </w:pPr>
            <w:r>
              <w:rPr>
                <w:rFonts w:ascii="Arial" w:cs="Arial" w:eastAsia="Arial" w:hAnsi="Arial"/>
                <w:sz w:val="12"/>
                <w:szCs w:val="12"/>
                <w:color w:val="282A32"/>
              </w:rPr>
              <w:t>4.1%</w:t>
            </w:r>
          </w:p>
        </w:tc>
        <w:tc>
          <w:tcPr>
            <w:tcW w:w="1060" w:type="dxa"/>
            <w:vAlign w:val="bottom"/>
          </w:tcPr>
          <w:p>
            <w:pPr>
              <w:jc w:val="right"/>
              <w:spacing w:after="0"/>
              <w:rPr>
                <w:sz w:val="20"/>
                <w:szCs w:val="20"/>
                <w:color w:val="auto"/>
              </w:rPr>
            </w:pPr>
            <w:r>
              <w:rPr>
                <w:rFonts w:ascii="Arial" w:cs="Arial" w:eastAsia="Arial" w:hAnsi="Arial"/>
                <w:sz w:val="12"/>
                <w:szCs w:val="12"/>
                <w:color w:val="282A32"/>
              </w:rPr>
              <w:t>1.8 %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Cost of services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16,320.3</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16,034.1</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282A32"/>
              </w:rPr>
              <w:t>1.8</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282A32"/>
              </w:rPr>
              <w:t>4.3</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80" w:type="dxa"/>
            <w:vAlign w:val="bottom"/>
          </w:tcPr>
          <w:p>
            <w:pPr>
              <w:ind w:left="20"/>
              <w:spacing w:after="0"/>
              <w:rPr>
                <w:sz w:val="20"/>
                <w:szCs w:val="20"/>
                <w:color w:val="auto"/>
              </w:rPr>
            </w:pPr>
            <w:r>
              <w:rPr>
                <w:rFonts w:ascii="Arial" w:cs="Arial" w:eastAsia="Arial" w:hAnsi="Arial"/>
                <w:sz w:val="12"/>
                <w:szCs w:val="12"/>
                <w:color w:val="282A32"/>
              </w:rPr>
              <w:t>Gross profit</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282A32"/>
              </w:rPr>
              <w:t>3,333.8</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3,295.8</w:t>
            </w:r>
          </w:p>
        </w:tc>
        <w:tc>
          <w:tcPr>
            <w:tcW w:w="1140" w:type="dxa"/>
            <w:vAlign w:val="bottom"/>
          </w:tcPr>
          <w:p>
            <w:pPr>
              <w:jc w:val="right"/>
              <w:ind w:right="339"/>
              <w:spacing w:after="0"/>
              <w:rPr>
                <w:sz w:val="20"/>
                <w:szCs w:val="20"/>
                <w:color w:val="auto"/>
              </w:rPr>
            </w:pPr>
            <w:r>
              <w:rPr>
                <w:rFonts w:ascii="Arial" w:cs="Arial" w:eastAsia="Arial" w:hAnsi="Arial"/>
                <w:sz w:val="12"/>
                <w:szCs w:val="12"/>
                <w:color w:val="282A32"/>
              </w:rPr>
              <w:t>1.2</w:t>
            </w:r>
          </w:p>
        </w:tc>
        <w:tc>
          <w:tcPr>
            <w:tcW w:w="960" w:type="dxa"/>
            <w:vAlign w:val="bottom"/>
          </w:tcPr>
          <w:p>
            <w:pPr>
              <w:jc w:val="right"/>
              <w:ind w:right="100"/>
              <w:spacing w:after="0"/>
              <w:rPr>
                <w:sz w:val="20"/>
                <w:szCs w:val="20"/>
                <w:color w:val="auto"/>
              </w:rPr>
            </w:pPr>
            <w:r>
              <w:rPr>
                <w:rFonts w:ascii="Arial" w:cs="Arial" w:eastAsia="Arial" w:hAnsi="Arial"/>
                <w:sz w:val="12"/>
                <w:szCs w:val="12"/>
                <w:color w:val="282A32"/>
              </w:rPr>
              <w:t>3.3</w:t>
            </w:r>
          </w:p>
        </w:tc>
        <w:tc>
          <w:tcPr>
            <w:tcW w:w="1060" w:type="dxa"/>
            <w:vAlign w:val="bottom"/>
          </w:tcPr>
          <w:p>
            <w:pPr>
              <w:jc w:val="right"/>
              <w:ind w:right="121"/>
              <w:spacing w:after="0"/>
              <w:rPr>
                <w:sz w:val="20"/>
                <w:szCs w:val="20"/>
                <w:color w:val="auto"/>
              </w:rPr>
            </w:pPr>
            <w:r>
              <w:rPr>
                <w:rFonts w:ascii="Arial" w:cs="Arial" w:eastAsia="Arial" w:hAnsi="Arial"/>
                <w:sz w:val="12"/>
                <w:szCs w:val="12"/>
                <w:color w:val="282A32"/>
              </w:rPr>
              <w:t>0.4</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1"/>
                <w:szCs w:val="11"/>
                <w:i w:val="1"/>
                <w:iCs w:val="1"/>
                <w:color w:val="282A32"/>
              </w:rPr>
              <w:t>Gross profit margin</w:t>
            </w: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1"/>
                <w:szCs w:val="11"/>
                <w:i w:val="1"/>
                <w:iCs w:val="1"/>
                <w:color w:val="282A32"/>
              </w:rPr>
              <w:t>17.0%</w:t>
            </w:r>
          </w:p>
        </w:tc>
        <w:tc>
          <w:tcPr>
            <w:tcW w:w="420" w:type="dxa"/>
            <w:vAlign w:val="bottom"/>
          </w:tcPr>
          <w:p>
            <w:pPr>
              <w:spacing w:after="0"/>
              <w:rPr>
                <w:sz w:val="18"/>
                <w:szCs w:val="18"/>
                <w:color w:val="auto"/>
              </w:rPr>
            </w:pPr>
          </w:p>
        </w:tc>
        <w:tc>
          <w:tcPr>
            <w:tcW w:w="1220" w:type="dxa"/>
            <w:vAlign w:val="bottom"/>
          </w:tcPr>
          <w:p>
            <w:pPr>
              <w:jc w:val="right"/>
              <w:ind w:right="240"/>
              <w:spacing w:after="0"/>
              <w:rPr>
                <w:sz w:val="20"/>
                <w:szCs w:val="20"/>
                <w:color w:val="auto"/>
              </w:rPr>
            </w:pPr>
            <w:r>
              <w:rPr>
                <w:rFonts w:ascii="Arial" w:cs="Arial" w:eastAsia="Arial" w:hAnsi="Arial"/>
                <w:sz w:val="11"/>
                <w:szCs w:val="11"/>
                <w:i w:val="1"/>
                <w:iCs w:val="1"/>
                <w:color w:val="282A32"/>
              </w:rPr>
              <w:t>17.1%</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Arial" w:cs="Arial" w:eastAsia="Arial" w:hAnsi="Arial"/>
                <w:sz w:val="12"/>
                <w:szCs w:val="12"/>
                <w:color w:val="282A32"/>
              </w:rPr>
              <w:t>Selling and administrative expenses</w:t>
            </w: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282A32"/>
              </w:rPr>
              <w:t>2,583.0</w:t>
            </w:r>
          </w:p>
        </w:tc>
        <w:tc>
          <w:tcPr>
            <w:tcW w:w="420" w:type="dxa"/>
            <w:vAlign w:val="bottom"/>
          </w:tcPr>
          <w:p>
            <w:pPr>
              <w:spacing w:after="0"/>
              <w:rPr>
                <w:sz w:val="15"/>
                <w:szCs w:val="15"/>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2,606.9</w:t>
            </w:r>
          </w:p>
        </w:tc>
        <w:tc>
          <w:tcPr>
            <w:tcW w:w="1140" w:type="dxa"/>
            <w:vAlign w:val="bottom"/>
          </w:tcPr>
          <w:p>
            <w:pPr>
              <w:jc w:val="right"/>
              <w:ind w:right="299"/>
              <w:spacing w:after="0"/>
              <w:rPr>
                <w:sz w:val="20"/>
                <w:szCs w:val="20"/>
                <w:color w:val="auto"/>
              </w:rPr>
            </w:pPr>
            <w:r>
              <w:rPr>
                <w:rFonts w:ascii="Arial" w:cs="Arial" w:eastAsia="Arial" w:hAnsi="Arial"/>
                <w:sz w:val="12"/>
                <w:szCs w:val="12"/>
                <w:color w:val="282A32"/>
              </w:rPr>
              <w:t>(0.9)</w:t>
            </w:r>
          </w:p>
        </w:tc>
        <w:tc>
          <w:tcPr>
            <w:tcW w:w="960" w:type="dxa"/>
            <w:vAlign w:val="bottom"/>
          </w:tcPr>
          <w:p>
            <w:pPr>
              <w:jc w:val="right"/>
              <w:ind w:right="100"/>
              <w:spacing w:after="0"/>
              <w:rPr>
                <w:sz w:val="20"/>
                <w:szCs w:val="20"/>
                <w:color w:val="auto"/>
              </w:rPr>
            </w:pPr>
            <w:r>
              <w:rPr>
                <w:rFonts w:ascii="Arial" w:cs="Arial" w:eastAsia="Arial" w:hAnsi="Arial"/>
                <w:sz w:val="12"/>
                <w:szCs w:val="12"/>
                <w:color w:val="282A32"/>
              </w:rPr>
              <w:t>1.1</w:t>
            </w:r>
          </w:p>
        </w:tc>
        <w:tc>
          <w:tcPr>
            <w:tcW w:w="1060" w:type="dxa"/>
            <w:vAlign w:val="bottom"/>
          </w:tcPr>
          <w:p>
            <w:pPr>
              <w:jc w:val="right"/>
              <w:ind w:right="61"/>
              <w:spacing w:after="0"/>
              <w:rPr>
                <w:sz w:val="20"/>
                <w:szCs w:val="20"/>
                <w:color w:val="auto"/>
              </w:rPr>
            </w:pPr>
            <w:r>
              <w:rPr>
                <w:rFonts w:ascii="Arial" w:cs="Arial" w:eastAsia="Arial" w:hAnsi="Arial"/>
                <w:sz w:val="12"/>
                <w:szCs w:val="12"/>
                <w:color w:val="282A32"/>
              </w:rPr>
              <w:t>(2.0)</w:t>
            </w:r>
          </w:p>
        </w:tc>
        <w:tc>
          <w:tcPr>
            <w:tcW w:w="0" w:type="dxa"/>
            <w:vAlign w:val="bottom"/>
          </w:tcPr>
          <w:p>
            <w:pPr>
              <w:spacing w:after="0"/>
              <w:rPr>
                <w:sz w:val="1"/>
                <w:szCs w:val="1"/>
                <w:color w:val="auto"/>
              </w:rPr>
            </w:pPr>
          </w:p>
        </w:tc>
      </w:tr>
      <w:tr>
        <w:trPr>
          <w:trHeight w:val="21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282A32"/>
              </w:rPr>
              <w:t>Selling and administrative expenses as a % of revenues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i w:val="1"/>
                <w:iCs w:val="1"/>
                <w:color w:val="282A32"/>
              </w:rPr>
              <w:t>13.1%</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i w:val="1"/>
                <w:iCs w:val="1"/>
                <w:color w:val="282A32"/>
              </w:rPr>
              <w:t>13.5%</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280" w:type="dxa"/>
            <w:vAlign w:val="bottom"/>
          </w:tcPr>
          <w:p>
            <w:pPr>
              <w:ind w:left="20"/>
              <w:spacing w:after="0"/>
              <w:rPr>
                <w:sz w:val="20"/>
                <w:szCs w:val="20"/>
                <w:color w:val="auto"/>
              </w:rPr>
            </w:pPr>
            <w:r>
              <w:rPr>
                <w:rFonts w:ascii="Arial" w:cs="Arial" w:eastAsia="Arial" w:hAnsi="Arial"/>
                <w:sz w:val="12"/>
                <w:szCs w:val="12"/>
                <w:color w:val="282A32"/>
              </w:rPr>
              <w:t>Operating profit</w:t>
            </w: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282A32"/>
              </w:rPr>
              <w:t>750.8</w:t>
            </w:r>
          </w:p>
        </w:tc>
        <w:tc>
          <w:tcPr>
            <w:tcW w:w="420" w:type="dxa"/>
            <w:vAlign w:val="bottom"/>
          </w:tcPr>
          <w:p>
            <w:pPr>
              <w:spacing w:after="0"/>
              <w:rPr>
                <w:sz w:val="14"/>
                <w:szCs w:val="14"/>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688.9</w:t>
            </w:r>
          </w:p>
        </w:tc>
        <w:tc>
          <w:tcPr>
            <w:tcW w:w="1140" w:type="dxa"/>
            <w:vAlign w:val="bottom"/>
          </w:tcPr>
          <w:p>
            <w:pPr>
              <w:jc w:val="right"/>
              <w:ind w:right="339"/>
              <w:spacing w:after="0"/>
              <w:rPr>
                <w:sz w:val="20"/>
                <w:szCs w:val="20"/>
                <w:color w:val="auto"/>
              </w:rPr>
            </w:pPr>
            <w:r>
              <w:rPr>
                <w:rFonts w:ascii="Arial" w:cs="Arial" w:eastAsia="Arial" w:hAnsi="Arial"/>
                <w:sz w:val="12"/>
                <w:szCs w:val="12"/>
                <w:color w:val="282A32"/>
              </w:rPr>
              <w:t>9.0</w:t>
            </w:r>
          </w:p>
        </w:tc>
        <w:tc>
          <w:tcPr>
            <w:tcW w:w="960" w:type="dxa"/>
            <w:vAlign w:val="bottom"/>
          </w:tcPr>
          <w:p>
            <w:pPr>
              <w:jc w:val="right"/>
              <w:ind w:right="100"/>
              <w:spacing w:after="0"/>
              <w:rPr>
                <w:sz w:val="20"/>
                <w:szCs w:val="20"/>
                <w:color w:val="auto"/>
              </w:rPr>
            </w:pPr>
            <w:r>
              <w:rPr>
                <w:rFonts w:ascii="Arial" w:cs="Arial" w:eastAsia="Arial" w:hAnsi="Arial"/>
                <w:sz w:val="12"/>
                <w:szCs w:val="12"/>
                <w:color w:val="282A32"/>
              </w:rPr>
              <w:t>11.4</w:t>
            </w:r>
          </w:p>
        </w:tc>
        <w:tc>
          <w:tcPr>
            <w:tcW w:w="1060" w:type="dxa"/>
            <w:vAlign w:val="bottom"/>
          </w:tcPr>
          <w:p>
            <w:pPr>
              <w:jc w:val="right"/>
              <w:ind w:right="121"/>
              <w:spacing w:after="0"/>
              <w:rPr>
                <w:sz w:val="20"/>
                <w:szCs w:val="20"/>
                <w:color w:val="auto"/>
              </w:rPr>
            </w:pPr>
            <w:r>
              <w:rPr>
                <w:rFonts w:ascii="Arial" w:cs="Arial" w:eastAsia="Arial" w:hAnsi="Arial"/>
                <w:sz w:val="12"/>
                <w:szCs w:val="12"/>
                <w:color w:val="282A32"/>
              </w:rPr>
              <w:t>9.4</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1"/>
                <w:szCs w:val="11"/>
                <w:i w:val="1"/>
                <w:iCs w:val="1"/>
                <w:color w:val="282A32"/>
              </w:rPr>
              <w:t>Operating profit margin</w:t>
            </w: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1"/>
                <w:szCs w:val="11"/>
                <w:i w:val="1"/>
                <w:iCs w:val="1"/>
                <w:color w:val="282A32"/>
              </w:rPr>
              <w:t>3.8%</w:t>
            </w:r>
          </w:p>
        </w:tc>
        <w:tc>
          <w:tcPr>
            <w:tcW w:w="420" w:type="dxa"/>
            <w:vAlign w:val="bottom"/>
          </w:tcPr>
          <w:p>
            <w:pPr>
              <w:spacing w:after="0"/>
              <w:rPr>
                <w:sz w:val="18"/>
                <w:szCs w:val="18"/>
                <w:color w:val="auto"/>
              </w:rPr>
            </w:pPr>
          </w:p>
        </w:tc>
        <w:tc>
          <w:tcPr>
            <w:tcW w:w="1220" w:type="dxa"/>
            <w:vAlign w:val="bottom"/>
          </w:tcPr>
          <w:p>
            <w:pPr>
              <w:jc w:val="right"/>
              <w:ind w:right="240"/>
              <w:spacing w:after="0"/>
              <w:rPr>
                <w:sz w:val="20"/>
                <w:szCs w:val="20"/>
                <w:color w:val="auto"/>
              </w:rPr>
            </w:pPr>
            <w:r>
              <w:rPr>
                <w:rFonts w:ascii="Arial" w:cs="Arial" w:eastAsia="Arial" w:hAnsi="Arial"/>
                <w:sz w:val="11"/>
                <w:szCs w:val="11"/>
                <w:i w:val="1"/>
                <w:iCs w:val="1"/>
                <w:color w:val="282A32"/>
              </w:rPr>
              <w:t>3.6%</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2"/>
                <w:szCs w:val="12"/>
                <w:color w:val="282A32"/>
              </w:rPr>
              <w:t>Net interest expense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282A32"/>
              </w:rPr>
              <w:t>34.3</w:t>
            </w:r>
          </w:p>
        </w:tc>
        <w:tc>
          <w:tcPr>
            <w:tcW w:w="420" w:type="dxa"/>
            <w:vAlign w:val="bottom"/>
          </w:tcPr>
          <w:p>
            <w:pPr>
              <w:spacing w:after="0"/>
              <w:rPr>
                <w:sz w:val="18"/>
                <w:szCs w:val="18"/>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33.5</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282A32"/>
              </w:rPr>
              <w:t>Other expense (income)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282A32"/>
              </w:rPr>
              <w:t>15.2</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282A32"/>
              </w:rPr>
              <w:t>(5.3)</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80" w:type="dxa"/>
            <w:vAlign w:val="bottom"/>
          </w:tcPr>
          <w:p>
            <w:pPr>
              <w:ind w:left="20"/>
              <w:spacing w:after="0"/>
              <w:rPr>
                <w:sz w:val="20"/>
                <w:szCs w:val="20"/>
                <w:color w:val="auto"/>
              </w:rPr>
            </w:pPr>
            <w:r>
              <w:rPr>
                <w:rFonts w:ascii="Arial" w:cs="Arial" w:eastAsia="Arial" w:hAnsi="Arial"/>
                <w:sz w:val="12"/>
                <w:szCs w:val="12"/>
                <w:color w:val="282A32"/>
              </w:rPr>
              <w:t>Earnings before income taxes</w:t>
            </w:r>
          </w:p>
        </w:tc>
        <w:tc>
          <w:tcPr>
            <w:tcW w:w="1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282A32"/>
              </w:rPr>
              <w:t>701.3</w:t>
            </w:r>
          </w:p>
        </w:tc>
        <w:tc>
          <w:tcPr>
            <w:tcW w:w="420" w:type="dxa"/>
            <w:vAlign w:val="bottom"/>
          </w:tcPr>
          <w:p>
            <w:pPr>
              <w:spacing w:after="0"/>
              <w:rPr>
                <w:sz w:val="17"/>
                <w:szCs w:val="17"/>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660.7</w:t>
            </w:r>
          </w:p>
        </w:tc>
        <w:tc>
          <w:tcPr>
            <w:tcW w:w="1140" w:type="dxa"/>
            <w:vAlign w:val="bottom"/>
          </w:tcPr>
          <w:p>
            <w:pPr>
              <w:jc w:val="right"/>
              <w:ind w:right="339"/>
              <w:spacing w:after="0"/>
              <w:rPr>
                <w:sz w:val="20"/>
                <w:szCs w:val="20"/>
                <w:color w:val="auto"/>
              </w:rPr>
            </w:pPr>
            <w:r>
              <w:rPr>
                <w:rFonts w:ascii="Arial" w:cs="Arial" w:eastAsia="Arial" w:hAnsi="Arial"/>
                <w:sz w:val="12"/>
                <w:szCs w:val="12"/>
                <w:color w:val="282A32"/>
              </w:rPr>
              <w:t>6.1</w:t>
            </w:r>
          </w:p>
        </w:tc>
        <w:tc>
          <w:tcPr>
            <w:tcW w:w="960" w:type="dxa"/>
            <w:vAlign w:val="bottom"/>
          </w:tcPr>
          <w:p>
            <w:pPr>
              <w:jc w:val="right"/>
              <w:ind w:right="100"/>
              <w:spacing w:after="0"/>
              <w:rPr>
                <w:sz w:val="20"/>
                <w:szCs w:val="20"/>
                <w:color w:val="auto"/>
              </w:rPr>
            </w:pPr>
            <w:r>
              <w:rPr>
                <w:rFonts w:ascii="Arial" w:cs="Arial" w:eastAsia="Arial" w:hAnsi="Arial"/>
                <w:sz w:val="12"/>
                <w:szCs w:val="12"/>
                <w:color w:val="282A32"/>
              </w:rPr>
              <w:t>8.5</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40"/>
              <w:spacing w:after="0"/>
              <w:rPr>
                <w:sz w:val="20"/>
                <w:szCs w:val="20"/>
                <w:color w:val="auto"/>
              </w:rPr>
            </w:pPr>
            <w:r>
              <w:rPr>
                <w:rFonts w:ascii="Arial" w:cs="Arial" w:eastAsia="Arial" w:hAnsi="Arial"/>
                <w:sz w:val="12"/>
                <w:szCs w:val="12"/>
                <w:color w:val="282A32"/>
              </w:rPr>
              <w:t>Provision for income taxes</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282A32"/>
              </w:rPr>
              <w:t>257.6</w:t>
            </w:r>
          </w:p>
        </w:tc>
        <w:tc>
          <w:tcPr>
            <w:tcW w:w="420" w:type="dxa"/>
            <w:vAlign w:val="bottom"/>
          </w:tcPr>
          <w:p>
            <w:pPr>
              <w:spacing w:after="0"/>
              <w:rPr>
                <w:sz w:val="18"/>
                <w:szCs w:val="18"/>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241.5</w:t>
            </w:r>
          </w:p>
        </w:tc>
        <w:tc>
          <w:tcPr>
            <w:tcW w:w="1140" w:type="dxa"/>
            <w:vAlign w:val="bottom"/>
          </w:tcPr>
          <w:p>
            <w:pPr>
              <w:jc w:val="right"/>
              <w:ind w:right="339"/>
              <w:spacing w:after="0"/>
              <w:rPr>
                <w:sz w:val="20"/>
                <w:szCs w:val="20"/>
                <w:color w:val="auto"/>
              </w:rPr>
            </w:pPr>
            <w:r>
              <w:rPr>
                <w:rFonts w:ascii="Arial" w:cs="Arial" w:eastAsia="Arial" w:hAnsi="Arial"/>
                <w:sz w:val="12"/>
                <w:szCs w:val="12"/>
                <w:color w:val="282A32"/>
              </w:rPr>
              <w:t>6.7</w:t>
            </w: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Borders>
              <w:bottom w:val="single" w:sz="8" w:color="auto"/>
            </w:tcBorders>
          </w:tcPr>
          <w:p>
            <w:pPr>
              <w:ind w:left="240"/>
              <w:spacing w:after="0"/>
              <w:rPr>
                <w:sz w:val="20"/>
                <w:szCs w:val="20"/>
                <w:color w:val="auto"/>
              </w:rPr>
            </w:pPr>
            <w:r>
              <w:rPr>
                <w:rFonts w:ascii="Arial" w:cs="Arial" w:eastAsia="Arial" w:hAnsi="Arial"/>
                <w:sz w:val="11"/>
                <w:szCs w:val="11"/>
                <w:i w:val="1"/>
                <w:iCs w:val="1"/>
                <w:color w:val="282A32"/>
              </w:rPr>
              <w:t>Effective income tax rate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i w:val="1"/>
                <w:iCs w:val="1"/>
                <w:color w:val="282A32"/>
              </w:rPr>
              <w:t>36.7%</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i w:val="1"/>
                <w:iCs w:val="1"/>
                <w:color w:val="282A32"/>
              </w:rPr>
              <w:t>36.5%</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282A32"/>
              </w:rPr>
              <w:t>$</w:t>
            </w: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282A32"/>
              </w:rPr>
              <w:t>443.7</w:t>
            </w:r>
          </w:p>
        </w:tc>
        <w:tc>
          <w:tcPr>
            <w:tcW w:w="4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282A32"/>
                <w:w w:val="89"/>
              </w:rPr>
              <w:t>$</w:t>
            </w: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419.2</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282A32"/>
              </w:rPr>
              <w:t>5.8</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282A32"/>
              </w:rPr>
              <w:t>8.4</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 per share — diluted</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282A32"/>
              </w:rPr>
              <w:t>$</w:t>
            </w:r>
          </w:p>
        </w:tc>
        <w:tc>
          <w:tcPr>
            <w:tcW w:w="1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282A32"/>
              </w:rPr>
              <w:t>6.27</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282A32"/>
                <w:w w:val="89"/>
              </w:rPr>
              <w:t>$</w:t>
            </w: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5.40</w:t>
            </w: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282A32"/>
              </w:rPr>
              <w:t>16.1</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282A32"/>
              </w:rPr>
              <w:t>18.9</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Weighted average shares — diluted</w:t>
            </w:r>
          </w:p>
        </w:tc>
        <w:tc>
          <w:tcPr>
            <w:tcW w:w="120" w:type="dxa"/>
            <w:vAlign w:val="bottom"/>
            <w:tcBorders>
              <w:bottom w:val="single" w:sz="8" w:color="auto"/>
            </w:tcBorders>
            <w:shd w:val="clear" w:color="auto" w:fill="E1F4FD"/>
          </w:tcPr>
          <w:p>
            <w:pPr>
              <w:spacing w:after="0"/>
              <w:rPr>
                <w:sz w:val="17"/>
                <w:szCs w:val="17"/>
                <w:color w:val="auto"/>
              </w:rPr>
            </w:pPr>
          </w:p>
        </w:tc>
        <w:tc>
          <w:tcPr>
            <w:tcW w:w="114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282A32"/>
              </w:rPr>
              <w:t>70.8</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77.7</w:t>
            </w: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282A32"/>
              </w:rPr>
              <w:t>(8.9)%</w:t>
            </w:r>
          </w:p>
        </w:tc>
        <w:tc>
          <w:tcPr>
            <w:tcW w:w="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5280" w:type="dxa"/>
            <w:vAlign w:val="bottom"/>
          </w:tcPr>
          <w:p>
            <w:pPr>
              <w:spacing w:after="0"/>
              <w:rPr>
                <w:sz w:val="7"/>
                <w:szCs w:val="7"/>
                <w:color w:val="auto"/>
              </w:rPr>
            </w:pPr>
          </w:p>
        </w:tc>
        <w:tc>
          <w:tcPr>
            <w:tcW w:w="120" w:type="dxa"/>
            <w:vAlign w:val="bottom"/>
            <w:shd w:val="clear" w:color="auto" w:fill="2989B9"/>
          </w:tcPr>
          <w:p>
            <w:pPr>
              <w:spacing w:after="0"/>
              <w:rPr>
                <w:sz w:val="7"/>
                <w:szCs w:val="7"/>
                <w:color w:val="auto"/>
              </w:rPr>
            </w:pPr>
          </w:p>
        </w:tc>
        <w:tc>
          <w:tcPr>
            <w:tcW w:w="1140" w:type="dxa"/>
            <w:vAlign w:val="bottom"/>
            <w:shd w:val="clear" w:color="auto" w:fill="2989B9"/>
          </w:tcPr>
          <w:p>
            <w:pPr>
              <w:spacing w:after="0"/>
              <w:rPr>
                <w:sz w:val="7"/>
                <w:szCs w:val="7"/>
                <w:color w:val="auto"/>
              </w:rPr>
            </w:pPr>
          </w:p>
        </w:tc>
        <w:tc>
          <w:tcPr>
            <w:tcW w:w="120" w:type="dxa"/>
            <w:vAlign w:val="bottom"/>
            <w:shd w:val="clear" w:color="auto" w:fill="2989B9"/>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-2153920</wp:posOffset>
            </wp:positionV>
            <wp:extent cx="867410" cy="208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7410" cy="208915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282A32"/>
        </w:rPr>
        <w:t>The year-over-year increase in revenues from services of 1.7% (4.1% in constant currency and 1.8% in organic constant currency) was attributed to:</w:t>
      </w:r>
    </w:p>
    <w:p>
      <w:pPr>
        <w:spacing w:after="0" w:line="162" w:lineRule="exact"/>
        <w:rPr>
          <w:sz w:val="20"/>
          <w:szCs w:val="20"/>
          <w:color w:val="auto"/>
        </w:rPr>
      </w:pPr>
    </w:p>
    <w:p>
      <w:pPr>
        <w:ind w:left="80" w:hanging="77"/>
        <w:spacing w:after="0"/>
        <w:tabs>
          <w:tab w:leader="none" w:pos="80" w:val="left"/>
        </w:tabs>
        <w:numPr>
          <w:ilvl w:val="0"/>
          <w:numId w:val="39"/>
        </w:numPr>
        <w:rPr>
          <w:rFonts w:ascii="Arial" w:cs="Arial" w:eastAsia="Arial" w:hAnsi="Arial"/>
          <w:sz w:val="12"/>
          <w:szCs w:val="12"/>
          <w:color w:val="2989B9"/>
        </w:rPr>
      </w:pPr>
      <w:r>
        <w:rPr>
          <w:rFonts w:ascii="Arial" w:cs="Arial" w:eastAsia="Arial" w:hAnsi="Arial"/>
          <w:sz w:val="12"/>
          <w:szCs w:val="12"/>
          <w:color w:val="282A32"/>
        </w:rPr>
        <w:t>increased demand for services in several of our markets within Southern Europe and Northern Europe, where in constant currency revenues increased 3.0% (2.8% as reported) and 7.3% (1.9% as reported;</w:t>
      </w:r>
    </w:p>
    <w:p>
      <w:pPr>
        <w:spacing w:after="0" w:line="27" w:lineRule="exact"/>
        <w:rPr>
          <w:rFonts w:ascii="Arial" w:cs="Arial" w:eastAsia="Arial" w:hAnsi="Arial"/>
          <w:sz w:val="12"/>
          <w:szCs w:val="12"/>
          <w:color w:val="2989B9"/>
        </w:rPr>
      </w:pPr>
    </w:p>
    <w:p>
      <w:pPr>
        <w:ind w:left="60"/>
        <w:spacing w:after="0"/>
        <w:rPr>
          <w:rFonts w:ascii="Arial" w:cs="Arial" w:eastAsia="Arial" w:hAnsi="Arial"/>
          <w:sz w:val="12"/>
          <w:szCs w:val="12"/>
          <w:color w:val="2989B9"/>
        </w:rPr>
      </w:pPr>
      <w:r>
        <w:rPr>
          <w:rFonts w:ascii="Arial" w:cs="Arial" w:eastAsia="Arial" w:hAnsi="Arial"/>
          <w:sz w:val="12"/>
          <w:szCs w:val="12"/>
          <w:color w:val="282A32"/>
        </w:rPr>
        <w:t>1.2% in organic constant currency), respectively. This included a constant currency revenue increase in France of 4.0% (3.8% as reported) primarily due to growth in the staffing market and strong permanent</w:t>
      </w:r>
    </w:p>
    <w:p>
      <w:pPr>
        <w:spacing w:after="0" w:line="27" w:lineRule="exact"/>
        <w:rPr>
          <w:rFonts w:ascii="Arial" w:cs="Arial" w:eastAsia="Arial" w:hAnsi="Arial"/>
          <w:sz w:val="12"/>
          <w:szCs w:val="12"/>
          <w:color w:val="2989B9"/>
        </w:rPr>
      </w:pPr>
    </w:p>
    <w:p>
      <w:pPr>
        <w:ind w:left="60" w:right="320"/>
        <w:spacing w:after="0" w:line="288" w:lineRule="auto"/>
        <w:rPr>
          <w:rFonts w:ascii="Arial" w:cs="Arial" w:eastAsia="Arial" w:hAnsi="Arial"/>
          <w:sz w:val="12"/>
          <w:szCs w:val="12"/>
          <w:color w:val="2989B9"/>
        </w:rPr>
      </w:pPr>
      <w:r>
        <w:rPr>
          <w:rFonts w:ascii="Arial" w:cs="Arial" w:eastAsia="Arial" w:hAnsi="Arial"/>
          <w:sz w:val="12"/>
          <w:szCs w:val="12"/>
          <w:color w:val="282A32"/>
        </w:rPr>
        <w:t>recruitment growth. We also experienced constant currency revenue growth in Germany, Spain, the Netherlands and Belgium of 32.9%, 10.1%, 25.0%, and 18.1%, respectively (32.6%, 9.9%, 24.7% and 17.7%, respectively, as reported; 5.9%</w:t>
      </w:r>
      <w:r>
        <w:rPr>
          <w:rFonts w:ascii="Arial" w:cs="Arial" w:eastAsia="Arial" w:hAnsi="Arial"/>
          <w:sz w:val="13"/>
          <w:szCs w:val="13"/>
          <w:color w:val="000000"/>
        </w:rPr>
        <w:t>,</w:t>
      </w:r>
      <w:r>
        <w:rPr>
          <w:rFonts w:ascii="Arial" w:cs="Arial" w:eastAsia="Arial" w:hAnsi="Arial"/>
          <w:sz w:val="12"/>
          <w:szCs w:val="12"/>
          <w:color w:val="282A32"/>
        </w:rPr>
        <w:t xml:space="preserve"> 17.1% and 14.4% in organic constant currency in Germany, the Netherlands and Belgium, respectively);</w:t>
      </w:r>
    </w:p>
    <w:p>
      <w:pPr>
        <w:spacing w:after="0" w:line="120" w:lineRule="exact"/>
        <w:rPr>
          <w:rFonts w:ascii="Arial" w:cs="Arial" w:eastAsia="Arial" w:hAnsi="Arial"/>
          <w:sz w:val="12"/>
          <w:szCs w:val="12"/>
          <w:color w:val="2989B9"/>
        </w:rPr>
      </w:pPr>
    </w:p>
    <w:p>
      <w:pPr>
        <w:ind w:left="60" w:right="900" w:hanging="57"/>
        <w:spacing w:after="0" w:line="269" w:lineRule="auto"/>
        <w:tabs>
          <w:tab w:leader="none" w:pos="76" w:val="left"/>
        </w:tabs>
        <w:numPr>
          <w:ilvl w:val="0"/>
          <w:numId w:val="39"/>
        </w:numPr>
        <w:rPr>
          <w:rFonts w:ascii="Arial" w:cs="Arial" w:eastAsia="Arial" w:hAnsi="Arial"/>
          <w:sz w:val="12"/>
          <w:szCs w:val="12"/>
          <w:color w:val="2989B9"/>
        </w:rPr>
      </w:pPr>
      <w:r>
        <w:rPr>
          <w:rFonts w:ascii="Arial" w:cs="Arial" w:eastAsia="Arial" w:hAnsi="Arial"/>
          <w:sz w:val="12"/>
          <w:szCs w:val="12"/>
          <w:color w:val="282A32"/>
        </w:rPr>
        <w:t>revenue increase in APME of 8.1% in constant currency (10.4% as reported; 5.8% in organic constant currency) primarily due to an increase in our staffing/interim revenues, an increase in our ManpowerGroup Solutions business and a 7.0% constant currency increase (6.0% as reported) in our permanent recruitment business;</w:t>
      </w:r>
    </w:p>
    <w:p>
      <w:pPr>
        <w:spacing w:after="0" w:line="125" w:lineRule="exact"/>
        <w:rPr>
          <w:rFonts w:ascii="Arial" w:cs="Arial" w:eastAsia="Arial" w:hAnsi="Arial"/>
          <w:sz w:val="12"/>
          <w:szCs w:val="12"/>
          <w:color w:val="2989B9"/>
        </w:rPr>
      </w:pPr>
    </w:p>
    <w:p>
      <w:pPr>
        <w:ind w:left="80" w:hanging="77"/>
        <w:spacing w:after="0"/>
        <w:tabs>
          <w:tab w:leader="none" w:pos="80" w:val="left"/>
        </w:tabs>
        <w:numPr>
          <w:ilvl w:val="0"/>
          <w:numId w:val="39"/>
        </w:numPr>
        <w:rPr>
          <w:rFonts w:ascii="Arial" w:cs="Arial" w:eastAsia="Arial" w:hAnsi="Arial"/>
          <w:sz w:val="12"/>
          <w:szCs w:val="12"/>
          <w:color w:val="2989B9"/>
        </w:rPr>
      </w:pPr>
      <w:r>
        <w:rPr>
          <w:rFonts w:ascii="Arial" w:cs="Arial" w:eastAsia="Arial" w:hAnsi="Arial"/>
          <w:sz w:val="12"/>
          <w:szCs w:val="12"/>
          <w:color w:val="282A32"/>
        </w:rPr>
        <w:t>increased demand, particularly during the first half of the year, for outplacement services at Right Management, where revenues increased 3.2% in constant currency (1.1% as reported);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39"/>
        </w:numPr>
        <w:rPr>
          <w:rFonts w:ascii="Arial" w:cs="Arial" w:eastAsia="Arial" w:hAnsi="Arial"/>
          <w:sz w:val="12"/>
          <w:szCs w:val="12"/>
          <w:color w:val="2989B9"/>
        </w:rPr>
      </w:pPr>
      <w:r>
        <w:rPr>
          <w:rFonts w:ascii="Arial" w:cs="Arial" w:eastAsia="Arial" w:hAnsi="Arial"/>
          <w:sz w:val="12"/>
          <w:szCs w:val="12"/>
          <w:color w:val="282A32"/>
        </w:rPr>
        <w:t>our acquisitions in the Americas, Southern Europe, Northern Europe and APME, which added approximately 2.3% of revenue growth to our consolidated results; partially offset by</w:t>
      </w:r>
    </w:p>
    <w:p>
      <w:pPr>
        <w:spacing w:after="0" w:line="151" w:lineRule="exact"/>
        <w:rPr>
          <w:rFonts w:ascii="Arial" w:cs="Arial" w:eastAsia="Arial" w:hAnsi="Arial"/>
          <w:sz w:val="12"/>
          <w:szCs w:val="12"/>
          <w:color w:val="2989B9"/>
        </w:rPr>
      </w:pPr>
    </w:p>
    <w:p>
      <w:pPr>
        <w:ind w:left="60" w:hanging="57"/>
        <w:spacing w:after="0" w:line="269" w:lineRule="auto"/>
        <w:tabs>
          <w:tab w:leader="none" w:pos="82" w:val="left"/>
        </w:tabs>
        <w:numPr>
          <w:ilvl w:val="0"/>
          <w:numId w:val="39"/>
        </w:numPr>
        <w:rPr>
          <w:rFonts w:ascii="Arial" w:cs="Arial" w:eastAsia="Arial" w:hAnsi="Arial"/>
          <w:sz w:val="12"/>
          <w:szCs w:val="12"/>
          <w:color w:val="2989B9"/>
        </w:rPr>
      </w:pPr>
      <w:r>
        <w:rPr>
          <w:rFonts w:ascii="Arial" w:cs="Arial" w:eastAsia="Arial" w:hAnsi="Arial"/>
          <w:sz w:val="12"/>
          <w:szCs w:val="12"/>
          <w:color w:val="282A32"/>
        </w:rPr>
        <w:t>revenue decrease in the United States of 5.6% primarily driven by a decline in demand for our staffing/interim services mainly in the industrial and IT sectors, partially offset by solid growth in our MSP and RPO offerings within the ManpowerGroup Solutions business and growth in our permanent recruitment business;</w:t>
      </w:r>
    </w:p>
    <w:p>
      <w:pPr>
        <w:spacing w:after="0" w:line="125" w:lineRule="exact"/>
        <w:rPr>
          <w:rFonts w:ascii="Arial" w:cs="Arial" w:eastAsia="Arial" w:hAnsi="Arial"/>
          <w:sz w:val="12"/>
          <w:szCs w:val="12"/>
          <w:color w:val="2989B9"/>
        </w:rPr>
      </w:pPr>
    </w:p>
    <w:p>
      <w:pPr>
        <w:ind w:left="60" w:hanging="57"/>
        <w:spacing w:after="0" w:line="269" w:lineRule="auto"/>
        <w:tabs>
          <w:tab w:leader="none" w:pos="83" w:val="left"/>
        </w:tabs>
        <w:numPr>
          <w:ilvl w:val="0"/>
          <w:numId w:val="39"/>
        </w:numPr>
        <w:rPr>
          <w:rFonts w:ascii="Arial" w:cs="Arial" w:eastAsia="Arial" w:hAnsi="Arial"/>
          <w:sz w:val="12"/>
          <w:szCs w:val="12"/>
          <w:color w:val="2989B9"/>
        </w:rPr>
      </w:pPr>
      <w:r>
        <w:rPr>
          <w:rFonts w:ascii="Arial" w:cs="Arial" w:eastAsia="Arial" w:hAnsi="Arial"/>
          <w:sz w:val="12"/>
          <w:szCs w:val="12"/>
          <w:color w:val="282A32"/>
        </w:rPr>
        <w:t>revenue decrease in Italy of 4.5% (-4.8% as reported) as a result of reduced demand for our Manpower staffing services and ManpowerGroup Solutions offerings primarily due to the non-recurrence of the Milan Expo related business, which ended in the fourth quarter of 2015, partially offset by growth in our permanent recruitment business;</w:t>
      </w:r>
    </w:p>
    <w:p>
      <w:pPr>
        <w:spacing w:after="0" w:line="345"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19</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44" w:name="page45"/>
    <w:bookmarkEnd w:id="44"/>
    <w:p>
      <w:pPr>
        <w:ind w:left="80" w:hanging="77"/>
        <w:spacing w:after="0"/>
        <w:tabs>
          <w:tab w:leader="none" w:pos="80" w:val="left"/>
        </w:tabs>
        <w:numPr>
          <w:ilvl w:val="0"/>
          <w:numId w:val="40"/>
        </w:numPr>
        <w:rPr>
          <w:rFonts w:ascii="Arial" w:cs="Arial" w:eastAsia="Arial" w:hAnsi="Arial"/>
          <w:sz w:val="12"/>
          <w:szCs w:val="12"/>
          <w:color w:val="2989B9"/>
        </w:rPr>
      </w:pPr>
      <w:r>
        <w:rPr>
          <w:rFonts w:ascii="Arial" w:cs="Arial" w:eastAsia="Arial" w:hAnsi="Arial"/>
          <w:sz w:val="12"/>
          <w:szCs w:val="12"/>
          <w:color w:val="282A32"/>
        </w:rPr>
        <w:t>revenue decrease of 19.5% in constant currency (-21.2% as reported) in our talent management business at Right Management;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0"/>
        </w:numPr>
        <w:rPr>
          <w:rFonts w:ascii="Arial" w:cs="Arial" w:eastAsia="Arial" w:hAnsi="Arial"/>
          <w:sz w:val="12"/>
          <w:szCs w:val="12"/>
          <w:color w:val="2989B9"/>
        </w:rPr>
      </w:pPr>
      <w:r>
        <w:rPr>
          <w:rFonts w:ascii="Arial" w:cs="Arial" w:eastAsia="Arial" w:hAnsi="Arial"/>
          <w:sz w:val="12"/>
          <w:szCs w:val="12"/>
          <w:color w:val="282A32"/>
        </w:rPr>
        <w:t>a 2.4% decrease due to the impact of changes in the currency exchange rates.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The year-over-year 10 basis point (-0.10%) decrease in gross profit margin was primarily attributed to:</w:t>
      </w:r>
    </w:p>
    <w:p>
      <w:pPr>
        <w:spacing w:after="0" w:line="7" w:lineRule="exact"/>
        <w:rPr>
          <w:sz w:val="20"/>
          <w:szCs w:val="20"/>
          <w:color w:val="auto"/>
        </w:rPr>
      </w:pPr>
    </w:p>
    <w:p>
      <w:pPr>
        <w:ind w:left="60" w:hanging="57"/>
        <w:spacing w:after="0" w:line="269" w:lineRule="auto"/>
        <w:tabs>
          <w:tab w:leader="none" w:pos="86" w:val="left"/>
        </w:tabs>
        <w:numPr>
          <w:ilvl w:val="0"/>
          <w:numId w:val="41"/>
        </w:numPr>
        <w:rPr>
          <w:rFonts w:ascii="Arial" w:cs="Arial" w:eastAsia="Arial" w:hAnsi="Arial"/>
          <w:sz w:val="12"/>
          <w:szCs w:val="12"/>
          <w:color w:val="2989B9"/>
        </w:rPr>
      </w:pPr>
      <w:r>
        <w:rPr>
          <w:rFonts w:ascii="Arial" w:cs="Arial" w:eastAsia="Arial" w:hAnsi="Arial"/>
          <w:sz w:val="12"/>
          <w:szCs w:val="12"/>
          <w:color w:val="282A32"/>
        </w:rPr>
        <w:t>a 30 basis point (-0.30%) unfavorable impact from the decline in our organic staffing/interim margin due primarily to direct cost increases, such as complementary health care costs for our staffing/interim associates in France as a result of new legislation, changes in business mix, and pricing pressure in certain markets such as France, the United Kingdom and the Netherlands; and</w:t>
      </w:r>
    </w:p>
    <w:p>
      <w:pPr>
        <w:spacing w:after="0" w:line="125" w:lineRule="exact"/>
        <w:rPr>
          <w:rFonts w:ascii="Arial" w:cs="Arial" w:eastAsia="Arial" w:hAnsi="Arial"/>
          <w:sz w:val="12"/>
          <w:szCs w:val="12"/>
          <w:color w:val="2989B9"/>
        </w:rPr>
      </w:pPr>
    </w:p>
    <w:p>
      <w:pPr>
        <w:ind w:left="80" w:hanging="77"/>
        <w:spacing w:after="0"/>
        <w:tabs>
          <w:tab w:leader="none" w:pos="80" w:val="left"/>
        </w:tabs>
        <w:numPr>
          <w:ilvl w:val="0"/>
          <w:numId w:val="41"/>
        </w:numPr>
        <w:rPr>
          <w:rFonts w:ascii="Arial" w:cs="Arial" w:eastAsia="Arial" w:hAnsi="Arial"/>
          <w:sz w:val="12"/>
          <w:szCs w:val="12"/>
          <w:color w:val="2989B9"/>
        </w:rPr>
      </w:pPr>
      <w:r>
        <w:rPr>
          <w:rFonts w:ascii="Arial" w:cs="Arial" w:eastAsia="Arial" w:hAnsi="Arial"/>
          <w:sz w:val="12"/>
          <w:szCs w:val="12"/>
          <w:color w:val="282A32"/>
        </w:rPr>
        <w:t>a 10 basis point (-0.10%) decline from our other business offerings; partially offset by</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1"/>
        </w:numPr>
        <w:rPr>
          <w:rFonts w:ascii="Arial" w:cs="Arial" w:eastAsia="Arial" w:hAnsi="Arial"/>
          <w:sz w:val="12"/>
          <w:szCs w:val="12"/>
          <w:color w:val="2989B9"/>
        </w:rPr>
      </w:pPr>
      <w:r>
        <w:rPr>
          <w:rFonts w:ascii="Arial" w:cs="Arial" w:eastAsia="Arial" w:hAnsi="Arial"/>
          <w:sz w:val="12"/>
          <w:szCs w:val="12"/>
          <w:color w:val="282A32"/>
        </w:rPr>
        <w:t>a 10 basis point (0.10%) favorable impact due to our acquisitions in the Americas, Southern Europe, Northern Europe and APME;</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1"/>
        </w:numPr>
        <w:rPr>
          <w:rFonts w:ascii="Arial" w:cs="Arial" w:eastAsia="Arial" w:hAnsi="Arial"/>
          <w:sz w:val="12"/>
          <w:szCs w:val="12"/>
          <w:color w:val="2989B9"/>
        </w:rPr>
      </w:pPr>
      <w:r>
        <w:rPr>
          <w:rFonts w:ascii="Arial" w:cs="Arial" w:eastAsia="Arial" w:hAnsi="Arial"/>
          <w:sz w:val="12"/>
          <w:szCs w:val="12"/>
          <w:color w:val="282A32"/>
        </w:rPr>
        <w:t>a 10 basis point (0.10%) favorable impact due to the 9.3% constant currency growth (6.2% as reported) in our permanent recruitment business;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1"/>
        </w:numPr>
        <w:rPr>
          <w:rFonts w:ascii="Arial" w:cs="Arial" w:eastAsia="Arial" w:hAnsi="Arial"/>
          <w:sz w:val="12"/>
          <w:szCs w:val="12"/>
          <w:color w:val="2989B9"/>
        </w:rPr>
      </w:pPr>
      <w:r>
        <w:rPr>
          <w:rFonts w:ascii="Arial" w:cs="Arial" w:eastAsia="Arial" w:hAnsi="Arial"/>
          <w:sz w:val="12"/>
          <w:szCs w:val="12"/>
          <w:color w:val="282A32"/>
        </w:rPr>
        <w:t>a 10 basis point (0.10%) increase due to the impact on business mix of the changes in currency exchange rates.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The 0.9% decline in selling and administrative expenses in 2016 (increase of 1.1% in constant currency; decrease of -2.0% in organic constant currency) was attributed to:</w:t>
      </w:r>
    </w:p>
    <w:p>
      <w:pPr>
        <w:spacing w:after="0" w:line="7" w:lineRule="exact"/>
        <w:rPr>
          <w:sz w:val="20"/>
          <w:szCs w:val="20"/>
          <w:color w:val="auto"/>
        </w:rPr>
      </w:pPr>
    </w:p>
    <w:p>
      <w:pPr>
        <w:ind w:left="80" w:hanging="77"/>
        <w:spacing w:after="0"/>
        <w:tabs>
          <w:tab w:leader="none" w:pos="80" w:val="left"/>
        </w:tabs>
        <w:numPr>
          <w:ilvl w:val="0"/>
          <w:numId w:val="42"/>
        </w:numPr>
        <w:rPr>
          <w:rFonts w:ascii="Arial" w:cs="Arial" w:eastAsia="Arial" w:hAnsi="Arial"/>
          <w:sz w:val="12"/>
          <w:szCs w:val="12"/>
          <w:color w:val="2989B9"/>
        </w:rPr>
      </w:pPr>
      <w:r>
        <w:rPr>
          <w:rFonts w:ascii="Arial" w:cs="Arial" w:eastAsia="Arial" w:hAnsi="Arial"/>
          <w:sz w:val="12"/>
          <w:szCs w:val="12"/>
          <w:color w:val="282A32"/>
        </w:rPr>
        <w:t>a 10.0% constant currency decrease (-12.2% as reported) in organic variable incentive costs due to a decline in profitability in certain markets;</w:t>
      </w:r>
    </w:p>
    <w:p>
      <w:pPr>
        <w:spacing w:after="0" w:line="151" w:lineRule="exact"/>
        <w:rPr>
          <w:rFonts w:ascii="Arial" w:cs="Arial" w:eastAsia="Arial" w:hAnsi="Arial"/>
          <w:sz w:val="12"/>
          <w:szCs w:val="12"/>
          <w:color w:val="2989B9"/>
        </w:rPr>
      </w:pPr>
    </w:p>
    <w:p>
      <w:pPr>
        <w:ind w:left="60" w:hanging="57"/>
        <w:spacing w:after="0" w:line="269" w:lineRule="auto"/>
        <w:tabs>
          <w:tab w:leader="none" w:pos="76" w:val="left"/>
        </w:tabs>
        <w:numPr>
          <w:ilvl w:val="0"/>
          <w:numId w:val="42"/>
        </w:numPr>
        <w:rPr>
          <w:rFonts w:ascii="Arial" w:cs="Arial" w:eastAsia="Arial" w:hAnsi="Arial"/>
          <w:sz w:val="12"/>
          <w:szCs w:val="12"/>
          <w:color w:val="2989B9"/>
        </w:rPr>
      </w:pPr>
      <w:r>
        <w:rPr>
          <w:rFonts w:ascii="Arial" w:cs="Arial" w:eastAsia="Arial" w:hAnsi="Arial"/>
          <w:sz w:val="12"/>
          <w:szCs w:val="12"/>
          <w:color w:val="282A32"/>
        </w:rPr>
        <w:t>a 2.3% constant currency decrease (-4.3% as reported) in organic other non-personnel related costs, excluding restructuring costs, as a result of a pension curtailment and favorable lease termination gains in Northern Europe, which totaled $8.1 million, a $7.5 million insurance settlement gain in corporate expenses, and a focus on driving productivity and efficiency throughout the business;</w:t>
      </w:r>
    </w:p>
    <w:p>
      <w:pPr>
        <w:spacing w:after="0" w:line="125" w:lineRule="exact"/>
        <w:rPr>
          <w:rFonts w:ascii="Arial" w:cs="Arial" w:eastAsia="Arial" w:hAnsi="Arial"/>
          <w:sz w:val="12"/>
          <w:szCs w:val="12"/>
          <w:color w:val="2989B9"/>
        </w:rPr>
      </w:pPr>
    </w:p>
    <w:p>
      <w:pPr>
        <w:ind w:left="60" w:hanging="57"/>
        <w:spacing w:after="0" w:line="269" w:lineRule="auto"/>
        <w:tabs>
          <w:tab w:leader="none" w:pos="76" w:val="left"/>
        </w:tabs>
        <w:numPr>
          <w:ilvl w:val="0"/>
          <w:numId w:val="42"/>
        </w:numPr>
        <w:rPr>
          <w:rFonts w:ascii="Arial" w:cs="Arial" w:eastAsia="Arial" w:hAnsi="Arial"/>
          <w:sz w:val="12"/>
          <w:szCs w:val="12"/>
          <w:color w:val="2989B9"/>
        </w:rPr>
      </w:pPr>
      <w:r>
        <w:rPr>
          <w:rFonts w:ascii="Arial" w:cs="Arial" w:eastAsia="Arial" w:hAnsi="Arial"/>
          <w:sz w:val="12"/>
          <w:szCs w:val="12"/>
          <w:color w:val="282A32"/>
        </w:rPr>
        <w:t>a decrease in restructuring costs with zero in 2016 and $16.4 million incurred in 2015, comprised of $3.2 million in the Americas, $9.0 million in Northern Europe, $2.9 million in APME and $1.3 million at Right Management; and</w:t>
      </w:r>
    </w:p>
    <w:p>
      <w:pPr>
        <w:spacing w:after="0" w:line="125" w:lineRule="exact"/>
        <w:rPr>
          <w:rFonts w:ascii="Arial" w:cs="Arial" w:eastAsia="Arial" w:hAnsi="Arial"/>
          <w:sz w:val="12"/>
          <w:szCs w:val="12"/>
          <w:color w:val="2989B9"/>
        </w:rPr>
      </w:pPr>
    </w:p>
    <w:p>
      <w:pPr>
        <w:ind w:left="80" w:hanging="77"/>
        <w:spacing w:after="0"/>
        <w:tabs>
          <w:tab w:leader="none" w:pos="80" w:val="left"/>
        </w:tabs>
        <w:numPr>
          <w:ilvl w:val="0"/>
          <w:numId w:val="42"/>
        </w:numPr>
        <w:rPr>
          <w:rFonts w:ascii="Arial" w:cs="Arial" w:eastAsia="Arial" w:hAnsi="Arial"/>
          <w:sz w:val="12"/>
          <w:szCs w:val="12"/>
          <w:color w:val="2989B9"/>
        </w:rPr>
      </w:pPr>
      <w:r>
        <w:rPr>
          <w:rFonts w:ascii="Arial" w:cs="Arial" w:eastAsia="Arial" w:hAnsi="Arial"/>
          <w:sz w:val="12"/>
          <w:szCs w:val="12"/>
          <w:color w:val="282A32"/>
        </w:rPr>
        <w:t>a 2.0% decrease due to the impact of changes in the currency exchange rates; partially offset by</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2"/>
        </w:numPr>
        <w:rPr>
          <w:rFonts w:ascii="Arial" w:cs="Arial" w:eastAsia="Arial" w:hAnsi="Arial"/>
          <w:sz w:val="12"/>
          <w:szCs w:val="12"/>
          <w:color w:val="2989B9"/>
        </w:rPr>
      </w:pPr>
      <w:r>
        <w:rPr>
          <w:rFonts w:ascii="Arial" w:cs="Arial" w:eastAsia="Arial" w:hAnsi="Arial"/>
          <w:sz w:val="12"/>
          <w:szCs w:val="12"/>
          <w:color w:val="282A32"/>
        </w:rPr>
        <w:t>a 3.1% increase due to additional recurring selling and administrative costs incurred as a result of the acquisitions in the Americas, Southern Europe, Northern Europe and APME;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2"/>
        </w:numPr>
        <w:rPr>
          <w:rFonts w:ascii="Arial" w:cs="Arial" w:eastAsia="Arial" w:hAnsi="Arial"/>
          <w:sz w:val="12"/>
          <w:szCs w:val="12"/>
          <w:color w:val="2989B9"/>
        </w:rPr>
      </w:pPr>
      <w:r>
        <w:rPr>
          <w:rFonts w:ascii="Arial" w:cs="Arial" w:eastAsia="Arial" w:hAnsi="Arial"/>
          <w:sz w:val="12"/>
          <w:szCs w:val="12"/>
          <w:color w:val="282A32"/>
        </w:rPr>
        <w:t>a 2.6% constant currency increase (0.5% as reported) in organic salary expenses primarily due to additional headcount to support the increased demand for our services in certain markets.</w:t>
      </w:r>
    </w:p>
    <w:p>
      <w:pPr>
        <w:spacing w:after="0" w:line="152" w:lineRule="exact"/>
        <w:rPr>
          <w:sz w:val="20"/>
          <w:szCs w:val="20"/>
          <w:color w:val="auto"/>
        </w:rPr>
      </w:pPr>
    </w:p>
    <w:p>
      <w:pPr>
        <w:ind w:right="360"/>
        <w:spacing w:after="0" w:line="269" w:lineRule="auto"/>
        <w:rPr>
          <w:sz w:val="20"/>
          <w:szCs w:val="20"/>
          <w:color w:val="auto"/>
        </w:rPr>
      </w:pPr>
      <w:r>
        <w:rPr>
          <w:rFonts w:ascii="Arial" w:cs="Arial" w:eastAsia="Arial" w:hAnsi="Arial"/>
          <w:sz w:val="12"/>
          <w:szCs w:val="12"/>
          <w:color w:val="282A32"/>
        </w:rPr>
        <w:t>Selling and administrative expenses as a percent of revenues decreased 40 basis points (-0.40%) in 2016 compared to 2015. The change in selling and administrative expenses as a percent of revenues consisted of:</w:t>
      </w:r>
    </w:p>
    <w:p>
      <w:pPr>
        <w:spacing w:after="0" w:line="125" w:lineRule="exact"/>
        <w:rPr>
          <w:sz w:val="20"/>
          <w:szCs w:val="20"/>
          <w:color w:val="auto"/>
        </w:rPr>
      </w:pPr>
    </w:p>
    <w:p>
      <w:pPr>
        <w:ind w:left="80" w:hanging="77"/>
        <w:spacing w:after="0"/>
        <w:tabs>
          <w:tab w:leader="none" w:pos="80" w:val="left"/>
        </w:tabs>
        <w:numPr>
          <w:ilvl w:val="0"/>
          <w:numId w:val="43"/>
        </w:numPr>
        <w:rPr>
          <w:rFonts w:ascii="Arial" w:cs="Arial" w:eastAsia="Arial" w:hAnsi="Arial"/>
          <w:sz w:val="12"/>
          <w:szCs w:val="12"/>
          <w:color w:val="2989B9"/>
        </w:rPr>
      </w:pPr>
      <w:r>
        <w:rPr>
          <w:rFonts w:ascii="Arial" w:cs="Arial" w:eastAsia="Arial" w:hAnsi="Arial"/>
          <w:sz w:val="12"/>
          <w:szCs w:val="12"/>
          <w:color w:val="282A32"/>
        </w:rPr>
        <w:t>a 20 basis point (-0.20%) favorable impact due to the decrease in organic variable incentive costs;</w:t>
      </w:r>
    </w:p>
    <w:p>
      <w:pPr>
        <w:spacing w:after="0" w:line="151" w:lineRule="exact"/>
        <w:rPr>
          <w:rFonts w:ascii="Arial" w:cs="Arial" w:eastAsia="Arial" w:hAnsi="Arial"/>
          <w:sz w:val="12"/>
          <w:szCs w:val="12"/>
          <w:color w:val="2989B9"/>
        </w:rPr>
      </w:pPr>
    </w:p>
    <w:p>
      <w:pPr>
        <w:ind w:left="60" w:hanging="57"/>
        <w:spacing w:after="0" w:line="269" w:lineRule="auto"/>
        <w:tabs>
          <w:tab w:leader="none" w:pos="81" w:val="left"/>
        </w:tabs>
        <w:numPr>
          <w:ilvl w:val="0"/>
          <w:numId w:val="43"/>
        </w:numPr>
        <w:rPr>
          <w:rFonts w:ascii="Arial" w:cs="Arial" w:eastAsia="Arial" w:hAnsi="Arial"/>
          <w:sz w:val="12"/>
          <w:szCs w:val="12"/>
          <w:color w:val="2989B9"/>
        </w:rPr>
      </w:pPr>
      <w:r>
        <w:rPr>
          <w:rFonts w:ascii="Arial" w:cs="Arial" w:eastAsia="Arial" w:hAnsi="Arial"/>
          <w:sz w:val="12"/>
          <w:szCs w:val="12"/>
          <w:color w:val="282A32"/>
        </w:rPr>
        <w:t>a 20 basis point (-0.20%) favorable impact due to the decrease of organic non-personnel related costs: -10 basis points due to the pension curtailment, favorable lease termination and insurance settlement gains and -10 basis points due to the decrease in other organic non-personnel related costs as a result of a focus on driving productivity and efficiency throughout our businesses; and</w:t>
      </w:r>
    </w:p>
    <w:p>
      <w:pPr>
        <w:spacing w:after="0" w:line="125" w:lineRule="exact"/>
        <w:rPr>
          <w:rFonts w:ascii="Arial" w:cs="Arial" w:eastAsia="Arial" w:hAnsi="Arial"/>
          <w:sz w:val="12"/>
          <w:szCs w:val="12"/>
          <w:color w:val="2989B9"/>
        </w:rPr>
      </w:pPr>
    </w:p>
    <w:p>
      <w:pPr>
        <w:ind w:left="80" w:hanging="77"/>
        <w:spacing w:after="0"/>
        <w:tabs>
          <w:tab w:leader="none" w:pos="80" w:val="left"/>
        </w:tabs>
        <w:numPr>
          <w:ilvl w:val="0"/>
          <w:numId w:val="43"/>
        </w:numPr>
        <w:rPr>
          <w:rFonts w:ascii="Arial" w:cs="Arial" w:eastAsia="Arial" w:hAnsi="Arial"/>
          <w:sz w:val="12"/>
          <w:szCs w:val="12"/>
          <w:color w:val="2989B9"/>
        </w:rPr>
      </w:pPr>
      <w:r>
        <w:rPr>
          <w:rFonts w:ascii="Arial" w:cs="Arial" w:eastAsia="Arial" w:hAnsi="Arial"/>
          <w:sz w:val="12"/>
          <w:szCs w:val="12"/>
          <w:color w:val="282A32"/>
        </w:rPr>
        <w:t>a 10 basis point (-0.10%) favorable impact due to the decrease of restructuring costs noted above; partially offset by</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3"/>
        </w:numPr>
        <w:rPr>
          <w:rFonts w:ascii="Arial" w:cs="Arial" w:eastAsia="Arial" w:hAnsi="Arial"/>
          <w:sz w:val="12"/>
          <w:szCs w:val="12"/>
          <w:color w:val="2989B9"/>
        </w:rPr>
      </w:pPr>
      <w:r>
        <w:rPr>
          <w:rFonts w:ascii="Arial" w:cs="Arial" w:eastAsia="Arial" w:hAnsi="Arial"/>
          <w:sz w:val="12"/>
          <w:szCs w:val="12"/>
          <w:color w:val="282A32"/>
        </w:rPr>
        <w:t>a 10 basis point (0.10%) unfavorable impact due to our acquisitions in the Americas, Southern Europe, Northern Europe and APME.</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Interest and other expenses are comprised of interest, foreign exchange gains and losses and other miscellaneous non-operating income and expenses. Interest and other expenses were $49.5 million in 2016 compared to $28.2 million in</w:t>
      </w:r>
    </w:p>
    <w:p>
      <w:pPr>
        <w:spacing w:after="0" w:line="345"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20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2015. Net interest expense increased $0.8 million in 2016 to $34.3 million from $33.5 million in 2015 due to higher debt levels as we issued €400.0 million Notes in September of 2015. Foreign exchange losses in 2016 were $2.8 million compared to foreign exchange gains of $4.7 million in 2015. The foreign exchange losses in 2016 were primarily due to unfavorable foreign currency impacts from translation of amounts denominated in currencies other than functional currencies in a few of our reporting units, translation losses resulting from intercompany transactions between our foreign subsidiaries and the United States, and a foreign currency loss as a result of the change in the exchange rate in our Venezuela reporting unit. The foreign exchange gains in 2015 were primarily due to a favorable foreign currency impact on an income tax settlement offset by translation losses from intercompany transactions between our foreign subsidiaries and the United States. Miscellaneous expense was $12.4 million in 2016 compared to miscellaneous income of $0.6 million in 2015. The variance between 2016 and 2015 is primarily due to an increase in expenses related to net earnings attributable to noncontrolling interests and a decrease in income related to our equity investments, including a 2015 gain on the sale of an equity investment.</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recorded income tax expense at an effective rate of 36.7% in 2016, as compared to an effective rate of 36.5% in 2015. The 36.7% effective tax rate for 2016 was higher than the United States Federal statutory rate of 35% due primarily to the French business tax, expected repatriations, changes in valuation allowances and other permanent items, partially offset by the favorable impact of the United States Work Opportunity Tax Credit (“WOTC”), which was enacted in December of 2015 and extends through 2019.</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282A32"/>
        </w:rPr>
        <w:t>Net earnings per share — diluted was $6.27 in 2016 compared to $5.40 in 2015. Foreign currency exchange rates unfavorably impacted net earnings per share — diluted by approximately $0.15 in 2016.</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Weighted average shares — diluted decreased 8.9% to 70.8 million in 2016 from 77.7 million in 2015. This decrease was due to the impact of share repurchases completed in 2016, partially offset by shares issued as a result of exercises and vesting of share-based awards in 2016.</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989B9"/>
        </w:rPr>
        <w:t>Consolidated Results — 2015 Compared to 2014</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The following table presents selected consolidated financial data for 2015 as compared to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tcPr>
          <w:p>
            <w:pPr>
              <w:jc w:val="right"/>
              <w:ind w:right="61"/>
              <w:spacing w:after="0"/>
              <w:rPr>
                <w:sz w:val="20"/>
                <w:szCs w:val="20"/>
                <w:color w:val="auto"/>
              </w:rPr>
            </w:pPr>
            <w:r>
              <w:rPr>
                <w:rFonts w:ascii="Arial" w:cs="Arial" w:eastAsia="Arial" w:hAnsi="Arial"/>
                <w:sz w:val="11"/>
                <w:szCs w:val="11"/>
                <w:color w:val="282A32"/>
              </w:rPr>
              <w:t>Variance in</w:t>
            </w:r>
          </w:p>
        </w:tc>
        <w:tc>
          <w:tcPr>
            <w:tcW w:w="0" w:type="dxa"/>
            <w:vAlign w:val="bottom"/>
          </w:tcPr>
          <w:p>
            <w:pPr>
              <w:spacing w:after="0"/>
              <w:rPr>
                <w:sz w:val="1"/>
                <w:szCs w:val="1"/>
                <w:color w:val="auto"/>
              </w:rPr>
            </w:pPr>
          </w:p>
        </w:tc>
      </w:tr>
      <w:tr>
        <w:trPr>
          <w:trHeight w:val="124"/>
        </w:trPr>
        <w:tc>
          <w:tcPr>
            <w:tcW w:w="3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jc w:val="right"/>
              <w:ind w:right="300"/>
              <w:spacing w:after="0" w:line="124" w:lineRule="exact"/>
              <w:rPr>
                <w:sz w:val="20"/>
                <w:szCs w:val="20"/>
                <w:color w:val="auto"/>
              </w:rPr>
            </w:pPr>
            <w:r>
              <w:rPr>
                <w:rFonts w:ascii="Arial" w:cs="Arial" w:eastAsia="Arial" w:hAnsi="Arial"/>
                <w:sz w:val="11"/>
                <w:szCs w:val="11"/>
                <w:color w:val="282A32"/>
              </w:rPr>
              <w:t>Variance in</w:t>
            </w:r>
          </w:p>
        </w:tc>
        <w:tc>
          <w:tcPr>
            <w:tcW w:w="920" w:type="dxa"/>
            <w:vAlign w:val="bottom"/>
          </w:tcPr>
          <w:p>
            <w:pPr>
              <w:jc w:val="right"/>
              <w:ind w:right="61"/>
              <w:spacing w:after="0" w:line="124" w:lineRule="exact"/>
              <w:rPr>
                <w:sz w:val="20"/>
                <w:szCs w:val="20"/>
                <w:color w:val="auto"/>
              </w:rPr>
            </w:pPr>
            <w:r>
              <w:rPr>
                <w:rFonts w:ascii="Arial" w:cs="Arial" w:eastAsia="Arial" w:hAnsi="Arial"/>
                <w:sz w:val="11"/>
                <w:szCs w:val="11"/>
                <w:color w:val="282A32"/>
              </w:rPr>
              <w:t>Organic</w:t>
            </w:r>
          </w:p>
        </w:tc>
        <w:tc>
          <w:tcPr>
            <w:tcW w:w="0" w:type="dxa"/>
            <w:vAlign w:val="bottom"/>
          </w:tcPr>
          <w:p>
            <w:pPr>
              <w:spacing w:after="0"/>
              <w:rPr>
                <w:sz w:val="1"/>
                <w:szCs w:val="1"/>
                <w:color w:val="auto"/>
              </w:rPr>
            </w:pPr>
          </w:p>
        </w:tc>
      </w:tr>
      <w:tr>
        <w:trPr>
          <w:trHeight w:val="124"/>
        </w:trPr>
        <w:tc>
          <w:tcPr>
            <w:tcW w:w="3980" w:type="dxa"/>
            <w:vAlign w:val="bottom"/>
            <w:vMerge w:val="restart"/>
          </w:tcPr>
          <w:p>
            <w:pPr>
              <w:ind w:left="20"/>
              <w:spacing w:after="0"/>
              <w:rPr>
                <w:sz w:val="20"/>
                <w:szCs w:val="20"/>
                <w:color w:val="auto"/>
              </w:rPr>
            </w:pPr>
            <w:r>
              <w:rPr>
                <w:rFonts w:ascii="Arial" w:cs="Arial" w:eastAsia="Arial" w:hAnsi="Arial"/>
                <w:sz w:val="11"/>
                <w:szCs w:val="11"/>
                <w:i w:val="1"/>
                <w:iCs w:val="1"/>
                <w:color w:val="282A32"/>
              </w:rPr>
              <w:t>(in millions, except per share data)</w:t>
            </w: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jc w:val="right"/>
              <w:ind w:right="339"/>
              <w:spacing w:after="0" w:line="124" w:lineRule="exact"/>
              <w:rPr>
                <w:sz w:val="20"/>
                <w:szCs w:val="20"/>
                <w:color w:val="auto"/>
              </w:rPr>
            </w:pPr>
            <w:r>
              <w:rPr>
                <w:rFonts w:ascii="Arial" w:cs="Arial" w:eastAsia="Arial" w:hAnsi="Arial"/>
                <w:sz w:val="11"/>
                <w:szCs w:val="11"/>
                <w:color w:val="282A32"/>
              </w:rPr>
              <w:t>Reported</w:t>
            </w:r>
          </w:p>
        </w:tc>
        <w:tc>
          <w:tcPr>
            <w:tcW w:w="1160" w:type="dxa"/>
            <w:vAlign w:val="bottom"/>
          </w:tcPr>
          <w:p>
            <w:pPr>
              <w:jc w:val="right"/>
              <w:ind w:right="300"/>
              <w:spacing w:after="0" w:line="124" w:lineRule="exact"/>
              <w:rPr>
                <w:sz w:val="20"/>
                <w:szCs w:val="20"/>
                <w:color w:val="auto"/>
              </w:rPr>
            </w:pPr>
            <w:r>
              <w:rPr>
                <w:rFonts w:ascii="Arial" w:cs="Arial" w:eastAsia="Arial" w:hAnsi="Arial"/>
                <w:sz w:val="11"/>
                <w:szCs w:val="11"/>
                <w:color w:val="282A32"/>
              </w:rPr>
              <w:t>Constant</w:t>
            </w:r>
          </w:p>
        </w:tc>
        <w:tc>
          <w:tcPr>
            <w:tcW w:w="920" w:type="dxa"/>
            <w:vAlign w:val="bottom"/>
          </w:tcPr>
          <w:p>
            <w:pPr>
              <w:jc w:val="right"/>
              <w:ind w:right="61"/>
              <w:spacing w:after="0" w:line="124" w:lineRule="exact"/>
              <w:rPr>
                <w:sz w:val="20"/>
                <w:szCs w:val="20"/>
                <w:color w:val="auto"/>
              </w:rPr>
            </w:pPr>
            <w:r>
              <w:rPr>
                <w:rFonts w:ascii="Arial" w:cs="Arial" w:eastAsia="Arial" w:hAnsi="Arial"/>
                <w:sz w:val="11"/>
                <w:szCs w:val="11"/>
                <w:color w:val="282A32"/>
              </w:rPr>
              <w:t>Constant</w:t>
            </w:r>
          </w:p>
        </w:tc>
        <w:tc>
          <w:tcPr>
            <w:tcW w:w="0" w:type="dxa"/>
            <w:vAlign w:val="bottom"/>
          </w:tcPr>
          <w:p>
            <w:pPr>
              <w:spacing w:after="0"/>
              <w:rPr>
                <w:sz w:val="1"/>
                <w:szCs w:val="1"/>
                <w:color w:val="auto"/>
              </w:rPr>
            </w:pPr>
          </w:p>
        </w:tc>
      </w:tr>
      <w:tr>
        <w:trPr>
          <w:trHeight w:val="136"/>
        </w:trPr>
        <w:tc>
          <w:tcPr>
            <w:tcW w:w="3980" w:type="dxa"/>
            <w:vAlign w:val="bottom"/>
            <w:tcBorders>
              <w:bottom w:val="single" w:sz="8" w:color="auto"/>
            </w:tcBorders>
            <w:vMerge w:val="continue"/>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282A32"/>
              </w:rPr>
              <w:t>2015</w:t>
            </w:r>
          </w:p>
        </w:tc>
        <w:tc>
          <w:tcPr>
            <w:tcW w:w="4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color w:val="282A32"/>
              </w:rPr>
              <w:t>2014</w:t>
            </w: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color w:val="282A32"/>
              </w:rPr>
              <w:t>Variance</w:t>
            </w: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color w:val="282A32"/>
              </w:rPr>
              <w:t>Currency</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282A32"/>
              </w:rPr>
              <w:t>Currency</w:t>
            </w:r>
          </w:p>
        </w:tc>
        <w:tc>
          <w:tcPr>
            <w:tcW w:w="0" w:type="dxa"/>
            <w:vAlign w:val="bottom"/>
          </w:tcPr>
          <w:p>
            <w:pPr>
              <w:spacing w:after="0"/>
              <w:rPr>
                <w:sz w:val="1"/>
                <w:szCs w:val="1"/>
                <w:color w:val="auto"/>
              </w:rPr>
            </w:pPr>
          </w:p>
        </w:tc>
      </w:tr>
      <w:tr>
        <w:trPr>
          <w:trHeight w:val="166"/>
        </w:trPr>
        <w:tc>
          <w:tcPr>
            <w:tcW w:w="3980" w:type="dxa"/>
            <w:vAlign w:val="bottom"/>
          </w:tcPr>
          <w:p>
            <w:pPr>
              <w:ind w:left="20"/>
              <w:spacing w:after="0"/>
              <w:rPr>
                <w:sz w:val="20"/>
                <w:szCs w:val="20"/>
                <w:color w:val="auto"/>
              </w:rPr>
            </w:pPr>
            <w:r>
              <w:rPr>
                <w:rFonts w:ascii="Arial" w:cs="Arial" w:eastAsia="Arial" w:hAnsi="Arial"/>
                <w:sz w:val="12"/>
                <w:szCs w:val="12"/>
                <w:color w:val="282A32"/>
              </w:rPr>
              <w:t>Revenues from services</w:t>
            </w:r>
          </w:p>
        </w:tc>
        <w:tc>
          <w:tcPr>
            <w:tcW w:w="1640" w:type="dxa"/>
            <w:vAlign w:val="bottom"/>
          </w:tcPr>
          <w:p>
            <w:pPr>
              <w:jc w:val="right"/>
              <w:ind w:right="278"/>
              <w:spacing w:after="0"/>
              <w:rPr>
                <w:sz w:val="20"/>
                <w:szCs w:val="20"/>
                <w:color w:val="auto"/>
              </w:rPr>
            </w:pPr>
            <w:r>
              <w:rPr>
                <w:rFonts w:ascii="Arial" w:cs="Arial" w:eastAsia="Arial" w:hAnsi="Arial"/>
                <w:sz w:val="12"/>
                <w:szCs w:val="12"/>
                <w:color w:val="282A32"/>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282A32"/>
              </w:rPr>
              <w:t>19,329.9</w:t>
            </w:r>
          </w:p>
        </w:tc>
        <w:tc>
          <w:tcPr>
            <w:tcW w:w="440" w:type="dxa"/>
            <w:vAlign w:val="bottom"/>
          </w:tcPr>
          <w:p>
            <w:pPr>
              <w:jc w:val="right"/>
              <w:ind w:right="278"/>
              <w:spacing w:after="0"/>
              <w:rPr>
                <w:sz w:val="20"/>
                <w:szCs w:val="20"/>
                <w:color w:val="auto"/>
              </w:rPr>
            </w:pPr>
            <w:r>
              <w:rPr>
                <w:rFonts w:ascii="Arial" w:cs="Arial" w:eastAsia="Arial" w:hAnsi="Arial"/>
                <w:sz w:val="12"/>
                <w:szCs w:val="12"/>
                <w:color w:val="282A32"/>
              </w:rPr>
              <w:t>$</w:t>
            </w: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20,762.8</w:t>
            </w:r>
          </w:p>
        </w:tc>
        <w:tc>
          <w:tcPr>
            <w:tcW w:w="1160" w:type="dxa"/>
            <w:vAlign w:val="bottom"/>
          </w:tcPr>
          <w:p>
            <w:pPr>
              <w:jc w:val="right"/>
              <w:ind w:right="199"/>
              <w:spacing w:after="0"/>
              <w:rPr>
                <w:sz w:val="20"/>
                <w:szCs w:val="20"/>
                <w:color w:val="auto"/>
              </w:rPr>
            </w:pPr>
            <w:r>
              <w:rPr>
                <w:rFonts w:ascii="Arial" w:cs="Arial" w:eastAsia="Arial" w:hAnsi="Arial"/>
                <w:sz w:val="12"/>
                <w:szCs w:val="12"/>
                <w:color w:val="282A32"/>
              </w:rPr>
              <w:t>(6.9)%</w:t>
            </w:r>
          </w:p>
        </w:tc>
        <w:tc>
          <w:tcPr>
            <w:tcW w:w="1160" w:type="dxa"/>
            <w:vAlign w:val="bottom"/>
          </w:tcPr>
          <w:p>
            <w:pPr>
              <w:jc w:val="right"/>
              <w:ind w:right="200"/>
              <w:spacing w:after="0"/>
              <w:rPr>
                <w:sz w:val="20"/>
                <w:szCs w:val="20"/>
                <w:color w:val="auto"/>
              </w:rPr>
            </w:pPr>
            <w:r>
              <w:rPr>
                <w:rFonts w:ascii="Arial" w:cs="Arial" w:eastAsia="Arial" w:hAnsi="Arial"/>
                <w:sz w:val="12"/>
                <w:szCs w:val="12"/>
                <w:color w:val="282A32"/>
              </w:rPr>
              <w:t>6.6%</w:t>
            </w:r>
          </w:p>
        </w:tc>
        <w:tc>
          <w:tcPr>
            <w:tcW w:w="920" w:type="dxa"/>
            <w:vAlign w:val="bottom"/>
          </w:tcPr>
          <w:p>
            <w:pPr>
              <w:ind w:left="620"/>
              <w:spacing w:after="0"/>
              <w:rPr>
                <w:sz w:val="20"/>
                <w:szCs w:val="20"/>
                <w:color w:val="auto"/>
              </w:rPr>
            </w:pPr>
            <w:r>
              <w:rPr>
                <w:rFonts w:ascii="Arial" w:cs="Arial" w:eastAsia="Arial" w:hAnsi="Arial"/>
                <w:sz w:val="12"/>
                <w:szCs w:val="12"/>
                <w:color w:val="282A32"/>
              </w:rPr>
              <w:t>4.7%</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Cost of services</w:t>
            </w:r>
          </w:p>
        </w:tc>
        <w:tc>
          <w:tcPr>
            <w:tcW w:w="1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282A32"/>
              </w:rPr>
              <w:t>16,034.1</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17,274.6</w:t>
            </w: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282A32"/>
              </w:rPr>
              <w:t>(7.2)</w:t>
            </w: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282A32"/>
              </w:rPr>
              <w:t>6.5</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80" w:type="dxa"/>
            <w:vAlign w:val="bottom"/>
          </w:tcPr>
          <w:p>
            <w:pPr>
              <w:ind w:left="20"/>
              <w:spacing w:after="0"/>
              <w:rPr>
                <w:sz w:val="20"/>
                <w:szCs w:val="20"/>
                <w:color w:val="auto"/>
              </w:rPr>
            </w:pPr>
            <w:r>
              <w:rPr>
                <w:rFonts w:ascii="Arial" w:cs="Arial" w:eastAsia="Arial" w:hAnsi="Arial"/>
                <w:sz w:val="12"/>
                <w:szCs w:val="12"/>
                <w:color w:val="282A32"/>
              </w:rPr>
              <w:t>Gross profit</w:t>
            </w:r>
          </w:p>
        </w:tc>
        <w:tc>
          <w:tcPr>
            <w:tcW w:w="164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282A32"/>
              </w:rPr>
              <w:t>3,295.8</w:t>
            </w:r>
          </w:p>
        </w:tc>
        <w:tc>
          <w:tcPr>
            <w:tcW w:w="440" w:type="dxa"/>
            <w:vAlign w:val="bottom"/>
          </w:tcPr>
          <w:p>
            <w:pPr>
              <w:spacing w:after="0"/>
              <w:rPr>
                <w:sz w:val="14"/>
                <w:szCs w:val="14"/>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3,488.2</w:t>
            </w:r>
          </w:p>
        </w:tc>
        <w:tc>
          <w:tcPr>
            <w:tcW w:w="1160" w:type="dxa"/>
            <w:vAlign w:val="bottom"/>
          </w:tcPr>
          <w:p>
            <w:pPr>
              <w:jc w:val="right"/>
              <w:ind w:right="299"/>
              <w:spacing w:after="0"/>
              <w:rPr>
                <w:sz w:val="20"/>
                <w:szCs w:val="20"/>
                <w:color w:val="auto"/>
              </w:rPr>
            </w:pPr>
            <w:r>
              <w:rPr>
                <w:rFonts w:ascii="Arial" w:cs="Arial" w:eastAsia="Arial" w:hAnsi="Arial"/>
                <w:sz w:val="12"/>
                <w:szCs w:val="12"/>
                <w:color w:val="282A32"/>
              </w:rPr>
              <w:t>(5.5)</w:t>
            </w:r>
          </w:p>
        </w:tc>
        <w:tc>
          <w:tcPr>
            <w:tcW w:w="1160" w:type="dxa"/>
            <w:vAlign w:val="bottom"/>
          </w:tcPr>
          <w:p>
            <w:pPr>
              <w:jc w:val="right"/>
              <w:ind w:right="300"/>
              <w:spacing w:after="0"/>
              <w:rPr>
                <w:sz w:val="20"/>
                <w:szCs w:val="20"/>
                <w:color w:val="auto"/>
              </w:rPr>
            </w:pPr>
            <w:r>
              <w:rPr>
                <w:rFonts w:ascii="Arial" w:cs="Arial" w:eastAsia="Arial" w:hAnsi="Arial"/>
                <w:sz w:val="12"/>
                <w:szCs w:val="12"/>
                <w:color w:val="282A32"/>
              </w:rPr>
              <w:t>7.1</w:t>
            </w:r>
          </w:p>
        </w:tc>
        <w:tc>
          <w:tcPr>
            <w:tcW w:w="920" w:type="dxa"/>
            <w:vAlign w:val="bottom"/>
          </w:tcPr>
          <w:p>
            <w:pPr>
              <w:ind w:left="620"/>
              <w:spacing w:after="0"/>
              <w:rPr>
                <w:sz w:val="20"/>
                <w:szCs w:val="20"/>
                <w:color w:val="auto"/>
              </w:rPr>
            </w:pPr>
            <w:r>
              <w:rPr>
                <w:rFonts w:ascii="Arial" w:cs="Arial" w:eastAsia="Arial" w:hAnsi="Arial"/>
                <w:sz w:val="12"/>
                <w:szCs w:val="12"/>
                <w:color w:val="282A32"/>
              </w:rPr>
              <w:t>4.7</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1"/>
                <w:szCs w:val="11"/>
                <w:i w:val="1"/>
                <w:iCs w:val="1"/>
                <w:color w:val="282A32"/>
              </w:rPr>
              <w:t>Gross profit margin</w:t>
            </w:r>
          </w:p>
        </w:tc>
        <w:tc>
          <w:tcPr>
            <w:tcW w:w="1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1"/>
                <w:szCs w:val="11"/>
                <w:i w:val="1"/>
                <w:iCs w:val="1"/>
                <w:color w:val="282A32"/>
              </w:rPr>
              <w:t>17.1%</w:t>
            </w:r>
          </w:p>
        </w:tc>
        <w:tc>
          <w:tcPr>
            <w:tcW w:w="440" w:type="dxa"/>
            <w:vAlign w:val="bottom"/>
          </w:tcPr>
          <w:p>
            <w:pPr>
              <w:spacing w:after="0"/>
              <w:rPr>
                <w:sz w:val="18"/>
                <w:szCs w:val="18"/>
                <w:color w:val="auto"/>
              </w:rPr>
            </w:pPr>
          </w:p>
        </w:tc>
        <w:tc>
          <w:tcPr>
            <w:tcW w:w="1220" w:type="dxa"/>
            <w:vAlign w:val="bottom"/>
          </w:tcPr>
          <w:p>
            <w:pPr>
              <w:jc w:val="right"/>
              <w:ind w:right="240"/>
              <w:spacing w:after="0"/>
              <w:rPr>
                <w:sz w:val="20"/>
                <w:szCs w:val="20"/>
                <w:color w:val="auto"/>
              </w:rPr>
            </w:pPr>
            <w:r>
              <w:rPr>
                <w:rFonts w:ascii="Arial" w:cs="Arial" w:eastAsia="Arial" w:hAnsi="Arial"/>
                <w:sz w:val="11"/>
                <w:szCs w:val="11"/>
                <w:i w:val="1"/>
                <w:iCs w:val="1"/>
                <w:color w:val="282A32"/>
              </w:rPr>
              <w:t>16.8%</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20"/>
              <w:spacing w:after="0"/>
              <w:rPr>
                <w:sz w:val="20"/>
                <w:szCs w:val="20"/>
                <w:color w:val="auto"/>
              </w:rPr>
            </w:pPr>
            <w:r>
              <w:rPr>
                <w:rFonts w:ascii="Arial" w:cs="Arial" w:eastAsia="Arial" w:hAnsi="Arial"/>
                <w:sz w:val="12"/>
                <w:szCs w:val="12"/>
                <w:color w:val="282A32"/>
              </w:rPr>
              <w:t>Selling and administrative expenses</w:t>
            </w:r>
          </w:p>
        </w:tc>
        <w:tc>
          <w:tcPr>
            <w:tcW w:w="164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282A32"/>
              </w:rPr>
              <w:t>2,606.9</w:t>
            </w:r>
          </w:p>
        </w:tc>
        <w:tc>
          <w:tcPr>
            <w:tcW w:w="440" w:type="dxa"/>
            <w:vAlign w:val="bottom"/>
          </w:tcPr>
          <w:p>
            <w:pPr>
              <w:spacing w:after="0"/>
              <w:rPr>
                <w:sz w:val="15"/>
                <w:szCs w:val="15"/>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2,768.3</w:t>
            </w:r>
          </w:p>
        </w:tc>
        <w:tc>
          <w:tcPr>
            <w:tcW w:w="1160" w:type="dxa"/>
            <w:vAlign w:val="bottom"/>
          </w:tcPr>
          <w:p>
            <w:pPr>
              <w:jc w:val="right"/>
              <w:ind w:right="299"/>
              <w:spacing w:after="0"/>
              <w:rPr>
                <w:sz w:val="20"/>
                <w:szCs w:val="20"/>
                <w:color w:val="auto"/>
              </w:rPr>
            </w:pPr>
            <w:r>
              <w:rPr>
                <w:rFonts w:ascii="Arial" w:cs="Arial" w:eastAsia="Arial" w:hAnsi="Arial"/>
                <w:sz w:val="12"/>
                <w:szCs w:val="12"/>
                <w:color w:val="282A32"/>
              </w:rPr>
              <w:t>(5.8)</w:t>
            </w:r>
          </w:p>
        </w:tc>
        <w:tc>
          <w:tcPr>
            <w:tcW w:w="1160" w:type="dxa"/>
            <w:vAlign w:val="bottom"/>
          </w:tcPr>
          <w:p>
            <w:pPr>
              <w:jc w:val="right"/>
              <w:ind w:right="300"/>
              <w:spacing w:after="0"/>
              <w:rPr>
                <w:sz w:val="20"/>
                <w:szCs w:val="20"/>
                <w:color w:val="auto"/>
              </w:rPr>
            </w:pPr>
            <w:r>
              <w:rPr>
                <w:rFonts w:ascii="Arial" w:cs="Arial" w:eastAsia="Arial" w:hAnsi="Arial"/>
                <w:sz w:val="12"/>
                <w:szCs w:val="12"/>
                <w:color w:val="282A32"/>
              </w:rPr>
              <w:t>6.0</w:t>
            </w:r>
          </w:p>
        </w:tc>
        <w:tc>
          <w:tcPr>
            <w:tcW w:w="920" w:type="dxa"/>
            <w:vAlign w:val="bottom"/>
          </w:tcPr>
          <w:p>
            <w:pPr>
              <w:ind w:left="620"/>
              <w:spacing w:after="0"/>
              <w:rPr>
                <w:sz w:val="20"/>
                <w:szCs w:val="20"/>
                <w:color w:val="auto"/>
              </w:rPr>
            </w:pPr>
            <w:r>
              <w:rPr>
                <w:rFonts w:ascii="Arial" w:cs="Arial" w:eastAsia="Arial" w:hAnsi="Arial"/>
                <w:sz w:val="12"/>
                <w:szCs w:val="12"/>
                <w:color w:val="282A32"/>
              </w:rPr>
              <w:t>3.7</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282A32"/>
              </w:rPr>
              <w:t>Selling and administrative expenses as a % of revenues</w:t>
            </w:r>
          </w:p>
        </w:tc>
        <w:tc>
          <w:tcPr>
            <w:tcW w:w="1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i w:val="1"/>
                <w:iCs w:val="1"/>
                <w:color w:val="282A32"/>
              </w:rPr>
              <w:t>13.5%</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i w:val="1"/>
                <w:iCs w:val="1"/>
                <w:color w:val="282A32"/>
              </w:rPr>
              <w:t>13.3%</w:t>
            </w:r>
          </w:p>
        </w:tc>
        <w:tc>
          <w:tcPr>
            <w:tcW w:w="1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980" w:type="dxa"/>
            <w:vAlign w:val="bottom"/>
          </w:tcPr>
          <w:p>
            <w:pPr>
              <w:ind w:left="20"/>
              <w:spacing w:after="0"/>
              <w:rPr>
                <w:sz w:val="20"/>
                <w:szCs w:val="20"/>
                <w:color w:val="auto"/>
              </w:rPr>
            </w:pPr>
            <w:r>
              <w:rPr>
                <w:rFonts w:ascii="Arial" w:cs="Arial" w:eastAsia="Arial" w:hAnsi="Arial"/>
                <w:sz w:val="12"/>
                <w:szCs w:val="12"/>
                <w:color w:val="282A32"/>
              </w:rPr>
              <w:t>Operating profit</w:t>
            </w:r>
          </w:p>
        </w:tc>
        <w:tc>
          <w:tcPr>
            <w:tcW w:w="164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282A32"/>
              </w:rPr>
              <w:t>688.9</w:t>
            </w:r>
          </w:p>
        </w:tc>
        <w:tc>
          <w:tcPr>
            <w:tcW w:w="440" w:type="dxa"/>
            <w:vAlign w:val="bottom"/>
          </w:tcPr>
          <w:p>
            <w:pPr>
              <w:spacing w:after="0"/>
              <w:rPr>
                <w:sz w:val="14"/>
                <w:szCs w:val="14"/>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719.9</w:t>
            </w:r>
          </w:p>
        </w:tc>
        <w:tc>
          <w:tcPr>
            <w:tcW w:w="1160" w:type="dxa"/>
            <w:vAlign w:val="bottom"/>
          </w:tcPr>
          <w:p>
            <w:pPr>
              <w:jc w:val="right"/>
              <w:ind w:right="299"/>
              <w:spacing w:after="0"/>
              <w:rPr>
                <w:sz w:val="20"/>
                <w:szCs w:val="20"/>
                <w:color w:val="auto"/>
              </w:rPr>
            </w:pPr>
            <w:r>
              <w:rPr>
                <w:rFonts w:ascii="Arial" w:cs="Arial" w:eastAsia="Arial" w:hAnsi="Arial"/>
                <w:sz w:val="12"/>
                <w:szCs w:val="12"/>
                <w:color w:val="282A32"/>
              </w:rPr>
              <w:t>(4.3)</w:t>
            </w:r>
          </w:p>
        </w:tc>
        <w:tc>
          <w:tcPr>
            <w:tcW w:w="1160" w:type="dxa"/>
            <w:vAlign w:val="bottom"/>
          </w:tcPr>
          <w:p>
            <w:pPr>
              <w:jc w:val="right"/>
              <w:ind w:right="300"/>
              <w:spacing w:after="0"/>
              <w:rPr>
                <w:sz w:val="20"/>
                <w:szCs w:val="20"/>
                <w:color w:val="auto"/>
              </w:rPr>
            </w:pPr>
            <w:r>
              <w:rPr>
                <w:rFonts w:ascii="Arial" w:cs="Arial" w:eastAsia="Arial" w:hAnsi="Arial"/>
                <w:sz w:val="12"/>
                <w:szCs w:val="12"/>
                <w:color w:val="282A32"/>
              </w:rPr>
              <w:t>11.2</w:t>
            </w:r>
          </w:p>
        </w:tc>
        <w:tc>
          <w:tcPr>
            <w:tcW w:w="920" w:type="dxa"/>
            <w:vAlign w:val="bottom"/>
          </w:tcPr>
          <w:p>
            <w:pPr>
              <w:ind w:left="620"/>
              <w:spacing w:after="0"/>
              <w:rPr>
                <w:sz w:val="20"/>
                <w:szCs w:val="20"/>
                <w:color w:val="auto"/>
              </w:rPr>
            </w:pPr>
            <w:r>
              <w:rPr>
                <w:rFonts w:ascii="Arial" w:cs="Arial" w:eastAsia="Arial" w:hAnsi="Arial"/>
                <w:sz w:val="12"/>
                <w:szCs w:val="12"/>
                <w:color w:val="282A32"/>
              </w:rPr>
              <w:t>8.6</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1"/>
                <w:szCs w:val="11"/>
                <w:i w:val="1"/>
                <w:iCs w:val="1"/>
                <w:color w:val="282A32"/>
              </w:rPr>
              <w:t>Operating profit margin</w:t>
            </w:r>
          </w:p>
        </w:tc>
        <w:tc>
          <w:tcPr>
            <w:tcW w:w="1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1"/>
                <w:szCs w:val="11"/>
                <w:i w:val="1"/>
                <w:iCs w:val="1"/>
                <w:color w:val="282A32"/>
              </w:rPr>
              <w:t>3.6%</w:t>
            </w:r>
          </w:p>
        </w:tc>
        <w:tc>
          <w:tcPr>
            <w:tcW w:w="440" w:type="dxa"/>
            <w:vAlign w:val="bottom"/>
          </w:tcPr>
          <w:p>
            <w:pPr>
              <w:spacing w:after="0"/>
              <w:rPr>
                <w:sz w:val="18"/>
                <w:szCs w:val="18"/>
                <w:color w:val="auto"/>
              </w:rPr>
            </w:pPr>
          </w:p>
        </w:tc>
        <w:tc>
          <w:tcPr>
            <w:tcW w:w="1220" w:type="dxa"/>
            <w:vAlign w:val="bottom"/>
          </w:tcPr>
          <w:p>
            <w:pPr>
              <w:jc w:val="right"/>
              <w:ind w:right="240"/>
              <w:spacing w:after="0"/>
              <w:rPr>
                <w:sz w:val="20"/>
                <w:szCs w:val="20"/>
                <w:color w:val="auto"/>
              </w:rPr>
            </w:pPr>
            <w:r>
              <w:rPr>
                <w:rFonts w:ascii="Arial" w:cs="Arial" w:eastAsia="Arial" w:hAnsi="Arial"/>
                <w:sz w:val="11"/>
                <w:szCs w:val="11"/>
                <w:i w:val="1"/>
                <w:iCs w:val="1"/>
                <w:color w:val="282A32"/>
              </w:rPr>
              <w:t>3.5%</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80" w:type="dxa"/>
            <w:vAlign w:val="bottom"/>
          </w:tcPr>
          <w:p>
            <w:pPr>
              <w:ind w:left="240"/>
              <w:spacing w:after="0"/>
              <w:rPr>
                <w:sz w:val="20"/>
                <w:szCs w:val="20"/>
                <w:color w:val="auto"/>
              </w:rPr>
            </w:pPr>
            <w:r>
              <w:rPr>
                <w:rFonts w:ascii="Arial" w:cs="Arial" w:eastAsia="Arial" w:hAnsi="Arial"/>
                <w:sz w:val="12"/>
                <w:szCs w:val="12"/>
                <w:color w:val="282A32"/>
              </w:rPr>
              <w:t>Net interest expense</w:t>
            </w:r>
          </w:p>
        </w:tc>
        <w:tc>
          <w:tcPr>
            <w:tcW w:w="1640" w:type="dxa"/>
            <w:vAlign w:val="bottom"/>
          </w:tcPr>
          <w:p>
            <w:pPr>
              <w:spacing w:after="0"/>
              <w:rPr>
                <w:sz w:val="17"/>
                <w:szCs w:val="17"/>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282A32"/>
              </w:rPr>
              <w:t>33.5</w:t>
            </w:r>
          </w:p>
        </w:tc>
        <w:tc>
          <w:tcPr>
            <w:tcW w:w="440" w:type="dxa"/>
            <w:vAlign w:val="bottom"/>
          </w:tcPr>
          <w:p>
            <w:pPr>
              <w:spacing w:after="0"/>
              <w:rPr>
                <w:sz w:val="17"/>
                <w:szCs w:val="17"/>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31.5</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282A32"/>
              </w:rPr>
              <w:t>Other (income) expense</w:t>
            </w:r>
          </w:p>
        </w:tc>
        <w:tc>
          <w:tcPr>
            <w:tcW w:w="1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282A32"/>
              </w:rPr>
              <w:t>(5.3)</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6.8</w:t>
            </w:r>
          </w:p>
        </w:tc>
        <w:tc>
          <w:tcPr>
            <w:tcW w:w="1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Arial" w:cs="Arial" w:eastAsia="Arial" w:hAnsi="Arial"/>
                <w:sz w:val="12"/>
                <w:szCs w:val="12"/>
                <w:color w:val="282A32"/>
              </w:rPr>
              <w:t>Earnings before income taxes</w:t>
            </w:r>
          </w:p>
        </w:tc>
        <w:tc>
          <w:tcPr>
            <w:tcW w:w="1640" w:type="dxa"/>
            <w:vAlign w:val="bottom"/>
          </w:tcPr>
          <w:p>
            <w:pPr>
              <w:spacing w:after="0"/>
              <w:rPr>
                <w:sz w:val="16"/>
                <w:szCs w:val="16"/>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282A32"/>
              </w:rPr>
              <w:t>660.7</w:t>
            </w:r>
          </w:p>
        </w:tc>
        <w:tc>
          <w:tcPr>
            <w:tcW w:w="440" w:type="dxa"/>
            <w:vAlign w:val="bottom"/>
          </w:tcPr>
          <w:p>
            <w:pPr>
              <w:spacing w:after="0"/>
              <w:rPr>
                <w:sz w:val="16"/>
                <w:szCs w:val="16"/>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681.6</w:t>
            </w:r>
          </w:p>
        </w:tc>
        <w:tc>
          <w:tcPr>
            <w:tcW w:w="1160" w:type="dxa"/>
            <w:vAlign w:val="bottom"/>
          </w:tcPr>
          <w:p>
            <w:pPr>
              <w:jc w:val="right"/>
              <w:ind w:right="299"/>
              <w:spacing w:after="0"/>
              <w:rPr>
                <w:sz w:val="20"/>
                <w:szCs w:val="20"/>
                <w:color w:val="auto"/>
              </w:rPr>
            </w:pPr>
            <w:r>
              <w:rPr>
                <w:rFonts w:ascii="Arial" w:cs="Arial" w:eastAsia="Arial" w:hAnsi="Arial"/>
                <w:sz w:val="12"/>
                <w:szCs w:val="12"/>
                <w:color w:val="282A32"/>
              </w:rPr>
              <w:t>(3.1)</w:t>
            </w:r>
          </w:p>
        </w:tc>
        <w:tc>
          <w:tcPr>
            <w:tcW w:w="1160" w:type="dxa"/>
            <w:vAlign w:val="bottom"/>
          </w:tcPr>
          <w:p>
            <w:pPr>
              <w:jc w:val="right"/>
              <w:ind w:right="300"/>
              <w:spacing w:after="0"/>
              <w:rPr>
                <w:sz w:val="20"/>
                <w:szCs w:val="20"/>
                <w:color w:val="auto"/>
              </w:rPr>
            </w:pPr>
            <w:r>
              <w:rPr>
                <w:rFonts w:ascii="Arial" w:cs="Arial" w:eastAsia="Arial" w:hAnsi="Arial"/>
                <w:sz w:val="12"/>
                <w:szCs w:val="12"/>
                <w:color w:val="282A32"/>
              </w:rPr>
              <w:t>12.2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80" w:type="dxa"/>
            <w:vAlign w:val="bottom"/>
          </w:tcPr>
          <w:p>
            <w:pPr>
              <w:ind w:left="240"/>
              <w:spacing w:after="0"/>
              <w:rPr>
                <w:sz w:val="20"/>
                <w:szCs w:val="20"/>
                <w:color w:val="auto"/>
              </w:rPr>
            </w:pPr>
            <w:r>
              <w:rPr>
                <w:rFonts w:ascii="Arial" w:cs="Arial" w:eastAsia="Arial" w:hAnsi="Arial"/>
                <w:sz w:val="12"/>
                <w:szCs w:val="12"/>
                <w:color w:val="282A32"/>
              </w:rPr>
              <w:t>Provision for income taxes</w:t>
            </w:r>
          </w:p>
        </w:tc>
        <w:tc>
          <w:tcPr>
            <w:tcW w:w="1640" w:type="dxa"/>
            <w:vAlign w:val="bottom"/>
          </w:tcPr>
          <w:p>
            <w:pPr>
              <w:spacing w:after="0"/>
              <w:rPr>
                <w:sz w:val="17"/>
                <w:szCs w:val="17"/>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282A32"/>
              </w:rPr>
              <w:t>241.5</w:t>
            </w:r>
          </w:p>
        </w:tc>
        <w:tc>
          <w:tcPr>
            <w:tcW w:w="440" w:type="dxa"/>
            <w:vAlign w:val="bottom"/>
          </w:tcPr>
          <w:p>
            <w:pPr>
              <w:spacing w:after="0"/>
              <w:rPr>
                <w:sz w:val="17"/>
                <w:szCs w:val="17"/>
                <w:color w:val="auto"/>
              </w:rPr>
            </w:pPr>
          </w:p>
        </w:tc>
        <w:tc>
          <w:tcPr>
            <w:tcW w:w="1220" w:type="dxa"/>
            <w:vAlign w:val="bottom"/>
          </w:tcPr>
          <w:p>
            <w:pPr>
              <w:jc w:val="right"/>
              <w:ind w:right="340"/>
              <w:spacing w:after="0"/>
              <w:rPr>
                <w:sz w:val="20"/>
                <w:szCs w:val="20"/>
                <w:color w:val="auto"/>
              </w:rPr>
            </w:pPr>
            <w:r>
              <w:rPr>
                <w:rFonts w:ascii="Arial" w:cs="Arial" w:eastAsia="Arial" w:hAnsi="Arial"/>
                <w:sz w:val="12"/>
                <w:szCs w:val="12"/>
                <w:color w:val="282A32"/>
              </w:rPr>
              <w:t>254.0</w:t>
            </w:r>
          </w:p>
        </w:tc>
        <w:tc>
          <w:tcPr>
            <w:tcW w:w="1160" w:type="dxa"/>
            <w:vAlign w:val="bottom"/>
          </w:tcPr>
          <w:p>
            <w:pPr>
              <w:jc w:val="right"/>
              <w:ind w:right="299"/>
              <w:spacing w:after="0"/>
              <w:rPr>
                <w:sz w:val="20"/>
                <w:szCs w:val="20"/>
                <w:color w:val="auto"/>
              </w:rPr>
            </w:pPr>
            <w:r>
              <w:rPr>
                <w:rFonts w:ascii="Arial" w:cs="Arial" w:eastAsia="Arial" w:hAnsi="Arial"/>
                <w:sz w:val="12"/>
                <w:szCs w:val="12"/>
                <w:color w:val="282A32"/>
              </w:rPr>
              <w:t>(4.9)</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80" w:type="dxa"/>
            <w:vAlign w:val="bottom"/>
            <w:tcBorders>
              <w:bottom w:val="single" w:sz="8" w:color="auto"/>
            </w:tcBorders>
          </w:tcPr>
          <w:p>
            <w:pPr>
              <w:ind w:left="240"/>
              <w:spacing w:after="0"/>
              <w:rPr>
                <w:sz w:val="20"/>
                <w:szCs w:val="20"/>
                <w:color w:val="auto"/>
              </w:rPr>
            </w:pPr>
            <w:r>
              <w:rPr>
                <w:rFonts w:ascii="Arial" w:cs="Arial" w:eastAsia="Arial" w:hAnsi="Arial"/>
                <w:sz w:val="11"/>
                <w:szCs w:val="11"/>
                <w:i w:val="1"/>
                <w:iCs w:val="1"/>
                <w:color w:val="282A32"/>
              </w:rPr>
              <w:t>Effective income tax rate</w:t>
            </w:r>
          </w:p>
        </w:tc>
        <w:tc>
          <w:tcPr>
            <w:tcW w:w="1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i w:val="1"/>
                <w:iCs w:val="1"/>
                <w:color w:val="282A32"/>
              </w:rPr>
              <w:t>36.5%</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i w:val="1"/>
                <w:iCs w:val="1"/>
                <w:color w:val="282A32"/>
              </w:rPr>
              <w:t>37.3%</w:t>
            </w:r>
          </w:p>
        </w:tc>
        <w:tc>
          <w:tcPr>
            <w:tcW w:w="1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w:t>
            </w:r>
          </w:p>
        </w:tc>
        <w:tc>
          <w:tcPr>
            <w:tcW w:w="16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282A32"/>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282A32"/>
              </w:rPr>
              <w:t>419.2</w:t>
            </w:r>
          </w:p>
        </w:tc>
        <w:tc>
          <w:tcPr>
            <w:tcW w:w="4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282A32"/>
              </w:rPr>
              <w:t>$</w:t>
            </w: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427.6</w:t>
            </w: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282A32"/>
              </w:rPr>
              <w:t>(2.0)</w:t>
            </w: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282A32"/>
              </w:rPr>
              <w:t>12.8</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 per share — diluted</w:t>
            </w:r>
          </w:p>
        </w:tc>
        <w:tc>
          <w:tcPr>
            <w:tcW w:w="16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282A32"/>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282A32"/>
              </w:rPr>
              <w:t>5.40</w:t>
            </w:r>
          </w:p>
        </w:tc>
        <w:tc>
          <w:tcPr>
            <w:tcW w:w="4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282A32"/>
              </w:rPr>
              <w:t>$</w:t>
            </w: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5.30</w:t>
            </w: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282A32"/>
              </w:rPr>
              <w:t>1.9</w:t>
            </w: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282A32"/>
              </w:rPr>
              <w:t>17.2</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Weighted average shares — diluted</w:t>
            </w:r>
          </w:p>
        </w:tc>
        <w:tc>
          <w:tcPr>
            <w:tcW w:w="1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282A32"/>
              </w:rPr>
              <w:t>77.7</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80.7</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282A32"/>
              </w:rPr>
              <w:t>(3.8)%</w:t>
            </w:r>
          </w:p>
        </w:tc>
        <w:tc>
          <w:tcPr>
            <w:tcW w:w="1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21</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282A32"/>
        </w:rPr>
        <w:t>The year-over-year decrease in revenues from services of 6.9% (increase of 6.6% in constant currency and 4.7% in organic constant currency) was attributed to:</w:t>
      </w:r>
    </w:p>
    <w:p>
      <w:pPr>
        <w:spacing w:after="0" w:line="152" w:lineRule="exact"/>
        <w:rPr>
          <w:sz w:val="20"/>
          <w:szCs w:val="20"/>
          <w:color w:val="auto"/>
        </w:rPr>
      </w:pPr>
    </w:p>
    <w:p>
      <w:pPr>
        <w:ind w:left="80" w:hanging="77"/>
        <w:spacing w:after="0"/>
        <w:tabs>
          <w:tab w:leader="none" w:pos="80" w:val="left"/>
        </w:tabs>
        <w:numPr>
          <w:ilvl w:val="0"/>
          <w:numId w:val="44"/>
        </w:numPr>
        <w:rPr>
          <w:rFonts w:ascii="Arial" w:cs="Arial" w:eastAsia="Arial" w:hAnsi="Arial"/>
          <w:sz w:val="12"/>
          <w:szCs w:val="12"/>
          <w:color w:val="2989B9"/>
        </w:rPr>
      </w:pPr>
      <w:r>
        <w:rPr>
          <w:rFonts w:ascii="Arial" w:cs="Arial" w:eastAsia="Arial" w:hAnsi="Arial"/>
          <w:sz w:val="12"/>
          <w:szCs w:val="12"/>
          <w:color w:val="282A32"/>
        </w:rPr>
        <w:t>a 13.5% decrease due to the impact of changes in the currency exchange rates;</w:t>
      </w:r>
    </w:p>
    <w:p>
      <w:pPr>
        <w:spacing w:after="0" w:line="151" w:lineRule="exact"/>
        <w:rPr>
          <w:rFonts w:ascii="Arial" w:cs="Arial" w:eastAsia="Arial" w:hAnsi="Arial"/>
          <w:sz w:val="12"/>
          <w:szCs w:val="12"/>
          <w:color w:val="2989B9"/>
        </w:rPr>
      </w:pPr>
    </w:p>
    <w:p>
      <w:pPr>
        <w:ind w:left="60" w:hanging="57"/>
        <w:spacing w:after="0" w:line="269" w:lineRule="auto"/>
        <w:tabs>
          <w:tab w:leader="none" w:pos="80" w:val="left"/>
        </w:tabs>
        <w:numPr>
          <w:ilvl w:val="0"/>
          <w:numId w:val="44"/>
        </w:numPr>
        <w:rPr>
          <w:rFonts w:ascii="Arial" w:cs="Arial" w:eastAsia="Arial" w:hAnsi="Arial"/>
          <w:sz w:val="12"/>
          <w:szCs w:val="12"/>
          <w:color w:val="2989B9"/>
        </w:rPr>
      </w:pPr>
      <w:r>
        <w:rPr>
          <w:rFonts w:ascii="Arial" w:cs="Arial" w:eastAsia="Arial" w:hAnsi="Arial"/>
          <w:sz w:val="12"/>
          <w:szCs w:val="12"/>
          <w:color w:val="282A32"/>
        </w:rPr>
        <w:t>revenue decrease in the United States of 2.6% primarily driven by a decline in demand for our staffing/interim services in the industrial, engineering and finance markets, partially offset by solid growth in our permanent recruitment business and in our MSP and RPO offerings within the ManpowerGroup Solutions business; and</w:t>
      </w:r>
    </w:p>
    <w:p>
      <w:pPr>
        <w:spacing w:after="0" w:line="125" w:lineRule="exact"/>
        <w:rPr>
          <w:rFonts w:ascii="Arial" w:cs="Arial" w:eastAsia="Arial" w:hAnsi="Arial"/>
          <w:sz w:val="12"/>
          <w:szCs w:val="12"/>
          <w:color w:val="2989B9"/>
        </w:rPr>
      </w:pPr>
    </w:p>
    <w:p>
      <w:pPr>
        <w:ind w:left="80" w:hanging="77"/>
        <w:spacing w:after="0"/>
        <w:tabs>
          <w:tab w:leader="none" w:pos="80" w:val="left"/>
        </w:tabs>
        <w:numPr>
          <w:ilvl w:val="0"/>
          <w:numId w:val="44"/>
        </w:numPr>
        <w:rPr>
          <w:rFonts w:ascii="Arial" w:cs="Arial" w:eastAsia="Arial" w:hAnsi="Arial"/>
          <w:sz w:val="12"/>
          <w:szCs w:val="12"/>
          <w:color w:val="2989B9"/>
        </w:rPr>
      </w:pPr>
      <w:r>
        <w:rPr>
          <w:rFonts w:ascii="Arial" w:cs="Arial" w:eastAsia="Arial" w:hAnsi="Arial"/>
          <w:sz w:val="12"/>
          <w:szCs w:val="12"/>
          <w:color w:val="282A32"/>
        </w:rPr>
        <w:t>revenue decrease of 5.4% in constant currency (-12.0% as reported) in our talent management business at Right Management; partially offset by</w:t>
      </w:r>
    </w:p>
    <w:p>
      <w:pPr>
        <w:spacing w:after="0" w:line="151" w:lineRule="exact"/>
        <w:rPr>
          <w:rFonts w:ascii="Arial" w:cs="Arial" w:eastAsia="Arial" w:hAnsi="Arial"/>
          <w:sz w:val="12"/>
          <w:szCs w:val="12"/>
          <w:color w:val="2989B9"/>
        </w:rPr>
      </w:pPr>
    </w:p>
    <w:p>
      <w:pPr>
        <w:ind w:left="60" w:right="60" w:hanging="57"/>
        <w:spacing w:after="0" w:line="256" w:lineRule="auto"/>
        <w:tabs>
          <w:tab w:leader="none" w:pos="76" w:val="left"/>
        </w:tabs>
        <w:numPr>
          <w:ilvl w:val="0"/>
          <w:numId w:val="44"/>
        </w:numPr>
        <w:rPr>
          <w:rFonts w:ascii="Arial" w:cs="Arial" w:eastAsia="Arial" w:hAnsi="Arial"/>
          <w:sz w:val="12"/>
          <w:szCs w:val="12"/>
          <w:color w:val="2989B9"/>
        </w:rPr>
      </w:pPr>
      <w:r>
        <w:rPr>
          <w:rFonts w:ascii="Arial" w:cs="Arial" w:eastAsia="Arial" w:hAnsi="Arial"/>
          <w:sz w:val="12"/>
          <w:szCs w:val="12"/>
          <w:color w:val="282A32"/>
        </w:rPr>
        <w:t>increased demand for services in several of our markets within Southern Europe and Northern Europe, where in constant currency revenues increased 8.1% (-9.2% as reported) and 6.2% (2.9% in organic constant currency; -8.9% as reported), respectively. This included a constant currency revenue increase in France of 4.3% (-12.9% as reported) primarily due to the staffing market, which showed some growth during 2015. This increase also included a constant currency revenue increase in Italy of 24.5% (4.0% as reported) due to improved demand and our contract with the Milan Expo. We experienced constant currency revenue growth in Spain, the United Kingdom, Germany, and the Nordics of 30.3%, 6.0%, 26.1%, and 0.6%, respectively (9.0%, -1.7%, 6.1%, and -19.2%, respectively, as reported; 7.6% in organic constant currency in Germany);</w:t>
      </w:r>
    </w:p>
    <w:p>
      <w:pPr>
        <w:spacing w:after="0" w:line="133" w:lineRule="exact"/>
        <w:rPr>
          <w:rFonts w:ascii="Arial" w:cs="Arial" w:eastAsia="Arial" w:hAnsi="Arial"/>
          <w:sz w:val="12"/>
          <w:szCs w:val="12"/>
          <w:color w:val="2989B9"/>
        </w:rPr>
      </w:pPr>
    </w:p>
    <w:p>
      <w:pPr>
        <w:ind w:left="60" w:right="440" w:hanging="57"/>
        <w:spacing w:after="0" w:line="269" w:lineRule="auto"/>
        <w:tabs>
          <w:tab w:leader="none" w:pos="76" w:val="left"/>
        </w:tabs>
        <w:numPr>
          <w:ilvl w:val="0"/>
          <w:numId w:val="44"/>
        </w:numPr>
        <w:rPr>
          <w:rFonts w:ascii="Arial" w:cs="Arial" w:eastAsia="Arial" w:hAnsi="Arial"/>
          <w:sz w:val="12"/>
          <w:szCs w:val="12"/>
          <w:color w:val="2989B9"/>
        </w:rPr>
      </w:pPr>
      <w:r>
        <w:rPr>
          <w:rFonts w:ascii="Arial" w:cs="Arial" w:eastAsia="Arial" w:hAnsi="Arial"/>
          <w:sz w:val="12"/>
          <w:szCs w:val="12"/>
          <w:color w:val="282A32"/>
        </w:rPr>
        <w:t>revenue increase in APME of 7.9% in constant currency (4.1% in organic constant currency; -3.8% as reported) primarily due to an increase in our staffing/interim revenues, a 12.5% constant currency increase (-0.3% as reported) in our permanent recruitment business and an increase in our ManpowerGroup Solutions business;</w:t>
      </w:r>
    </w:p>
    <w:p>
      <w:pPr>
        <w:spacing w:after="0" w:line="125" w:lineRule="exact"/>
        <w:rPr>
          <w:rFonts w:ascii="Arial" w:cs="Arial" w:eastAsia="Arial" w:hAnsi="Arial"/>
          <w:sz w:val="12"/>
          <w:szCs w:val="12"/>
          <w:color w:val="2989B9"/>
        </w:rPr>
      </w:pPr>
    </w:p>
    <w:p>
      <w:pPr>
        <w:ind w:left="80" w:hanging="77"/>
        <w:spacing w:after="0"/>
        <w:tabs>
          <w:tab w:leader="none" w:pos="80" w:val="left"/>
        </w:tabs>
        <w:numPr>
          <w:ilvl w:val="0"/>
          <w:numId w:val="44"/>
        </w:numPr>
        <w:rPr>
          <w:rFonts w:ascii="Arial" w:cs="Arial" w:eastAsia="Arial" w:hAnsi="Arial"/>
          <w:sz w:val="12"/>
          <w:szCs w:val="12"/>
          <w:color w:val="2989B9"/>
        </w:rPr>
      </w:pPr>
      <w:r>
        <w:rPr>
          <w:rFonts w:ascii="Arial" w:cs="Arial" w:eastAsia="Arial" w:hAnsi="Arial"/>
          <w:sz w:val="12"/>
          <w:szCs w:val="12"/>
          <w:color w:val="282A32"/>
        </w:rPr>
        <w:t>increased demand for outplacement services at Right Management, where revenues increased 3.2% in constant currency (-4.8% as reported);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4"/>
        </w:numPr>
        <w:rPr>
          <w:rFonts w:ascii="Arial" w:cs="Arial" w:eastAsia="Arial" w:hAnsi="Arial"/>
          <w:sz w:val="12"/>
          <w:szCs w:val="12"/>
          <w:color w:val="2989B9"/>
        </w:rPr>
      </w:pPr>
      <w:r>
        <w:rPr>
          <w:rFonts w:ascii="Arial" w:cs="Arial" w:eastAsia="Arial" w:hAnsi="Arial"/>
          <w:sz w:val="12"/>
          <w:szCs w:val="12"/>
          <w:color w:val="282A32"/>
        </w:rPr>
        <w:t>our acquisitions in the Americas, Southern Europe, Northern Europe and APME, which added approximately 1.9% revenue growth to our consolidated results.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The year-over-year 30 basis point (0.30%) increase in gross profit margin was primarily attributed to:</w:t>
      </w:r>
    </w:p>
    <w:p>
      <w:pPr>
        <w:spacing w:after="0" w:line="152" w:lineRule="exact"/>
        <w:rPr>
          <w:sz w:val="20"/>
          <w:szCs w:val="20"/>
          <w:color w:val="auto"/>
        </w:rPr>
      </w:pPr>
    </w:p>
    <w:p>
      <w:pPr>
        <w:ind w:left="80" w:hanging="77"/>
        <w:spacing w:after="0"/>
        <w:tabs>
          <w:tab w:leader="none" w:pos="80" w:val="left"/>
        </w:tabs>
        <w:numPr>
          <w:ilvl w:val="0"/>
          <w:numId w:val="45"/>
        </w:numPr>
        <w:rPr>
          <w:rFonts w:ascii="Arial" w:cs="Arial" w:eastAsia="Arial" w:hAnsi="Arial"/>
          <w:sz w:val="12"/>
          <w:szCs w:val="12"/>
          <w:color w:val="2989B9"/>
        </w:rPr>
      </w:pPr>
      <w:r>
        <w:rPr>
          <w:rFonts w:ascii="Arial" w:cs="Arial" w:eastAsia="Arial" w:hAnsi="Arial"/>
          <w:sz w:val="12"/>
          <w:szCs w:val="12"/>
          <w:color w:val="282A32"/>
        </w:rPr>
        <w:t>a 20 basis point (0.20%) favorable impact due to the 15.8% constant currency growth (3.2% as reported) in our permanent recruitment business;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5"/>
        </w:numPr>
        <w:rPr>
          <w:rFonts w:ascii="Arial" w:cs="Arial" w:eastAsia="Arial" w:hAnsi="Arial"/>
          <w:sz w:val="12"/>
          <w:szCs w:val="12"/>
          <w:color w:val="2989B9"/>
        </w:rPr>
      </w:pPr>
      <w:r>
        <w:rPr>
          <w:rFonts w:ascii="Arial" w:cs="Arial" w:eastAsia="Arial" w:hAnsi="Arial"/>
          <w:sz w:val="12"/>
          <w:szCs w:val="12"/>
          <w:color w:val="282A32"/>
        </w:rPr>
        <w:t>a 20 basis point (0.20%) increase due to the impact on business mix of the changes in currency exchange rates; partially offset by</w:t>
      </w:r>
    </w:p>
    <w:p>
      <w:pPr>
        <w:spacing w:after="0" w:line="151" w:lineRule="exact"/>
        <w:rPr>
          <w:rFonts w:ascii="Arial" w:cs="Arial" w:eastAsia="Arial" w:hAnsi="Arial"/>
          <w:sz w:val="12"/>
          <w:szCs w:val="12"/>
          <w:color w:val="2989B9"/>
        </w:rPr>
      </w:pPr>
    </w:p>
    <w:p>
      <w:pPr>
        <w:jc w:val="both"/>
        <w:ind w:left="60" w:hanging="57"/>
        <w:spacing w:after="0" w:line="257" w:lineRule="auto"/>
        <w:tabs>
          <w:tab w:leader="none" w:pos="86" w:val="left"/>
        </w:tabs>
        <w:numPr>
          <w:ilvl w:val="0"/>
          <w:numId w:val="45"/>
        </w:numPr>
        <w:rPr>
          <w:rFonts w:ascii="Arial" w:cs="Arial" w:eastAsia="Arial" w:hAnsi="Arial"/>
          <w:sz w:val="12"/>
          <w:szCs w:val="12"/>
          <w:color w:val="2989B9"/>
        </w:rPr>
      </w:pPr>
      <w:r>
        <w:rPr>
          <w:rFonts w:ascii="Arial" w:cs="Arial" w:eastAsia="Arial" w:hAnsi="Arial"/>
          <w:sz w:val="12"/>
          <w:szCs w:val="12"/>
          <w:color w:val="282A32"/>
        </w:rPr>
        <w:t>a 10 basis point (-0.10%) unfavorable impact from the decline in our staffing margin due to general pricing pressures in certain markets and the impact of business mix as we saw higher growth from our lower-margin markets as well as higher growth from our lower-margin business in certain markets, partially offset by improved margins in the United States and France. The increase in the United States was due to strong price discipline, effective management of workers' compensation and health care costs, and lower state unemployment tax rates. The improvement in France was due to strong price discipline and an increase in subsidies.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282A32"/>
        </w:rPr>
        <w:t>The 5.8% decline in selling and administrative expenses in 2015 (increase of 6.0% in constant currency and 3.7% in organic constant currency) was attributed to:</w:t>
      </w:r>
    </w:p>
    <w:p>
      <w:pPr>
        <w:spacing w:after="0" w:line="152" w:lineRule="exact"/>
        <w:rPr>
          <w:sz w:val="20"/>
          <w:szCs w:val="20"/>
          <w:color w:val="auto"/>
        </w:rPr>
      </w:pPr>
    </w:p>
    <w:p>
      <w:pPr>
        <w:ind w:left="80" w:hanging="77"/>
        <w:spacing w:after="0"/>
        <w:tabs>
          <w:tab w:leader="none" w:pos="80" w:val="left"/>
        </w:tabs>
        <w:numPr>
          <w:ilvl w:val="0"/>
          <w:numId w:val="46"/>
        </w:numPr>
        <w:rPr>
          <w:rFonts w:ascii="Arial" w:cs="Arial" w:eastAsia="Arial" w:hAnsi="Arial"/>
          <w:sz w:val="12"/>
          <w:szCs w:val="12"/>
          <w:color w:val="2989B9"/>
        </w:rPr>
      </w:pPr>
      <w:r>
        <w:rPr>
          <w:rFonts w:ascii="Arial" w:cs="Arial" w:eastAsia="Arial" w:hAnsi="Arial"/>
          <w:sz w:val="12"/>
          <w:szCs w:val="12"/>
          <w:color w:val="282A32"/>
        </w:rPr>
        <w:t>an 11.8% decrease due to the impact of changes in the currency exchange rates;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6"/>
        </w:numPr>
        <w:rPr>
          <w:rFonts w:ascii="Arial" w:cs="Arial" w:eastAsia="Arial" w:hAnsi="Arial"/>
          <w:sz w:val="12"/>
          <w:szCs w:val="12"/>
          <w:color w:val="2989B9"/>
        </w:rPr>
      </w:pPr>
      <w:r>
        <w:rPr>
          <w:rFonts w:ascii="Arial" w:cs="Arial" w:eastAsia="Arial" w:hAnsi="Arial"/>
          <w:sz w:val="12"/>
          <w:szCs w:val="12"/>
          <w:color w:val="282A32"/>
        </w:rPr>
        <w:t>legal costs of $9.0 million in the United States related to a settlement agreement in 2014, which we did not incur in 2015; partially offset by</w:t>
      </w:r>
    </w:p>
    <w:p>
      <w:pPr>
        <w:spacing w:after="0" w:line="151" w:lineRule="exact"/>
        <w:rPr>
          <w:rFonts w:ascii="Arial" w:cs="Arial" w:eastAsia="Arial" w:hAnsi="Arial"/>
          <w:sz w:val="12"/>
          <w:szCs w:val="12"/>
          <w:color w:val="2989B9"/>
        </w:rPr>
      </w:pPr>
    </w:p>
    <w:p>
      <w:pPr>
        <w:ind w:left="60" w:hanging="57"/>
        <w:spacing w:after="0" w:line="269" w:lineRule="auto"/>
        <w:tabs>
          <w:tab w:leader="none" w:pos="84" w:val="left"/>
        </w:tabs>
        <w:numPr>
          <w:ilvl w:val="0"/>
          <w:numId w:val="46"/>
        </w:numPr>
        <w:rPr>
          <w:rFonts w:ascii="Arial" w:cs="Arial" w:eastAsia="Arial" w:hAnsi="Arial"/>
          <w:sz w:val="12"/>
          <w:szCs w:val="12"/>
          <w:color w:val="2989B9"/>
        </w:rPr>
      </w:pPr>
      <w:r>
        <w:rPr>
          <w:rFonts w:ascii="Arial" w:cs="Arial" w:eastAsia="Arial" w:hAnsi="Arial"/>
          <w:sz w:val="12"/>
          <w:szCs w:val="12"/>
          <w:color w:val="282A32"/>
        </w:rPr>
        <w:t>a 3.5% increase in constant currency (-7.8% as reported) in organic salary-related costs primarily because of additional headcount to support an increased demand for our services and an increase in our variable incentive-based costs due to improved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22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ind w:left="80" w:hanging="77"/>
        <w:spacing w:after="0"/>
        <w:tabs>
          <w:tab w:leader="none" w:pos="80" w:val="left"/>
        </w:tabs>
        <w:numPr>
          <w:ilvl w:val="0"/>
          <w:numId w:val="47"/>
        </w:numPr>
        <w:rPr>
          <w:rFonts w:ascii="Arial" w:cs="Arial" w:eastAsia="Arial" w:hAnsi="Arial"/>
          <w:sz w:val="12"/>
          <w:szCs w:val="12"/>
          <w:color w:val="2989B9"/>
        </w:rPr>
      </w:pPr>
      <w:r>
        <w:rPr>
          <w:rFonts w:ascii="Arial" w:cs="Arial" w:eastAsia="Arial" w:hAnsi="Arial"/>
          <w:sz w:val="12"/>
          <w:szCs w:val="12"/>
          <w:color w:val="282A32"/>
        </w:rPr>
        <w:t>an increase in other non-personnel related costs, excluding the legal costs noted above and restructuring costs, as a result of increased demand for our services;</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7"/>
        </w:numPr>
        <w:rPr>
          <w:rFonts w:ascii="Arial" w:cs="Arial" w:eastAsia="Arial" w:hAnsi="Arial"/>
          <w:sz w:val="12"/>
          <w:szCs w:val="12"/>
          <w:color w:val="2989B9"/>
        </w:rPr>
      </w:pPr>
      <w:r>
        <w:rPr>
          <w:rFonts w:ascii="Arial" w:cs="Arial" w:eastAsia="Arial" w:hAnsi="Arial"/>
          <w:sz w:val="12"/>
          <w:szCs w:val="12"/>
          <w:color w:val="282A32"/>
        </w:rPr>
        <w:t>the additional recurring selling and administrative costs incurred as a result of the acquisitions in the Americas, Southern Europe, Northern Europe and APME;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7"/>
        </w:numPr>
        <w:rPr>
          <w:rFonts w:ascii="Arial" w:cs="Arial" w:eastAsia="Arial" w:hAnsi="Arial"/>
          <w:sz w:val="12"/>
          <w:szCs w:val="12"/>
          <w:color w:val="2989B9"/>
        </w:rPr>
      </w:pPr>
      <w:r>
        <w:rPr>
          <w:rFonts w:ascii="Arial" w:cs="Arial" w:eastAsia="Arial" w:hAnsi="Arial"/>
          <w:sz w:val="12"/>
          <w:szCs w:val="12"/>
          <w:color w:val="282A32"/>
        </w:rPr>
        <w:t>restructuring costs of $16.4 million incurred in 2015.</w:t>
      </w:r>
    </w:p>
    <w:p>
      <w:pPr>
        <w:spacing w:after="0" w:line="152" w:lineRule="exact"/>
        <w:rPr>
          <w:sz w:val="20"/>
          <w:szCs w:val="20"/>
          <w:color w:val="auto"/>
        </w:rPr>
      </w:pPr>
    </w:p>
    <w:p>
      <w:pPr>
        <w:ind w:right="440"/>
        <w:spacing w:after="0" w:line="269" w:lineRule="auto"/>
        <w:rPr>
          <w:sz w:val="20"/>
          <w:szCs w:val="20"/>
          <w:color w:val="auto"/>
        </w:rPr>
      </w:pPr>
      <w:r>
        <w:rPr>
          <w:rFonts w:ascii="Arial" w:cs="Arial" w:eastAsia="Arial" w:hAnsi="Arial"/>
          <w:sz w:val="12"/>
          <w:szCs w:val="12"/>
          <w:color w:val="282A32"/>
        </w:rPr>
        <w:t>Selling and administrative expenses as a percent of revenues increased 20 basis points (0.20%) in 2015 compared to 2014. The change in selling and administrative expenses as a percent of revenues consisted of:</w:t>
      </w:r>
    </w:p>
    <w:p>
      <w:pPr>
        <w:spacing w:after="0" w:line="125" w:lineRule="exact"/>
        <w:rPr>
          <w:sz w:val="20"/>
          <w:szCs w:val="20"/>
          <w:color w:val="auto"/>
        </w:rPr>
      </w:pPr>
    </w:p>
    <w:p>
      <w:pPr>
        <w:ind w:left="80" w:hanging="77"/>
        <w:spacing w:after="0"/>
        <w:tabs>
          <w:tab w:leader="none" w:pos="80" w:val="left"/>
        </w:tabs>
        <w:numPr>
          <w:ilvl w:val="0"/>
          <w:numId w:val="48"/>
        </w:numPr>
        <w:rPr>
          <w:rFonts w:ascii="Arial" w:cs="Arial" w:eastAsia="Arial" w:hAnsi="Arial"/>
          <w:sz w:val="12"/>
          <w:szCs w:val="12"/>
          <w:color w:val="2989B9"/>
        </w:rPr>
      </w:pPr>
      <w:r>
        <w:rPr>
          <w:rFonts w:ascii="Arial" w:cs="Arial" w:eastAsia="Arial" w:hAnsi="Arial"/>
          <w:sz w:val="12"/>
          <w:szCs w:val="12"/>
          <w:color w:val="282A32"/>
        </w:rPr>
        <w:t>a 20 basis point (0.20%) unfavorable impact from business mix changes due to the changes in currency exchange rates; and</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8"/>
        </w:numPr>
        <w:rPr>
          <w:rFonts w:ascii="Arial" w:cs="Arial" w:eastAsia="Arial" w:hAnsi="Arial"/>
          <w:sz w:val="12"/>
          <w:szCs w:val="12"/>
          <w:color w:val="2989B9"/>
        </w:rPr>
      </w:pPr>
      <w:r>
        <w:rPr>
          <w:rFonts w:ascii="Arial" w:cs="Arial" w:eastAsia="Arial" w:hAnsi="Arial"/>
          <w:sz w:val="12"/>
          <w:szCs w:val="12"/>
          <w:color w:val="282A32"/>
        </w:rPr>
        <w:t>a 10 basis point (0.10%) unfavorable impact due to the restructuring costs of $16.4 million incurred in 2015; partially offset by</w:t>
      </w:r>
    </w:p>
    <w:p>
      <w:pPr>
        <w:spacing w:after="0" w:line="151" w:lineRule="exact"/>
        <w:rPr>
          <w:rFonts w:ascii="Arial" w:cs="Arial" w:eastAsia="Arial" w:hAnsi="Arial"/>
          <w:sz w:val="12"/>
          <w:szCs w:val="12"/>
          <w:color w:val="2989B9"/>
        </w:rPr>
      </w:pPr>
    </w:p>
    <w:p>
      <w:pPr>
        <w:ind w:left="80" w:hanging="77"/>
        <w:spacing w:after="0"/>
        <w:tabs>
          <w:tab w:leader="none" w:pos="80" w:val="left"/>
        </w:tabs>
        <w:numPr>
          <w:ilvl w:val="0"/>
          <w:numId w:val="48"/>
        </w:numPr>
        <w:rPr>
          <w:rFonts w:ascii="Arial" w:cs="Arial" w:eastAsia="Arial" w:hAnsi="Arial"/>
          <w:sz w:val="12"/>
          <w:szCs w:val="12"/>
          <w:color w:val="2989B9"/>
        </w:rPr>
      </w:pPr>
      <w:r>
        <w:rPr>
          <w:rFonts w:ascii="Arial" w:cs="Arial" w:eastAsia="Arial" w:hAnsi="Arial"/>
          <w:sz w:val="12"/>
          <w:szCs w:val="12"/>
          <w:color w:val="282A32"/>
        </w:rPr>
        <w:t>a 10 basis point (-0.10%) favorable impact from better expense leverage.</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Interest and other expenses are comprised of interest, foreign exchange gains and losses and other miscellaneous non-operating income and expenses. Interest and other expenses were $28.2 million in 2015 compared to $38.3 million in 2014. Net interest expense increased $2.0 million in 2015 to $33.5 million from $31.5 million in 2014 due to higher debt levels as we issued €400.0 million Notes in September of 2015, partially offset by the favorable impact of currency exchange rates. Foreign exchange gains in 2015 were $4.7 million compared to $2.2 million in 2014. The foreign exchange gains in 2015 were primarily due to a favorable foreign currency impact on an income tax settlement. The foreign exchange gains in 2014 were primarily due to payments received in Venezuela in foreign currencies other than BsF and translated at favorable exchange rates other than the official exchange rate and translation gains resulting from intercompany transactions between our foreign subsidiaries and the United States. Miscellaneous income was $0.6 million in 2015 compared to miscellaneous expense of $9.0 million in 2014. The variance between 2015 and 2014 was primarily due to a gain on the sale of an equity investment in 2015.</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 recorded income tax expense at an effective rate of 36.5% in 2015, as compared to an effective rate of 37.3% in 2014. The 36.5% effective tax rate for 2015 was higher than the United States Federal statutory rate of 35% due primarily to the French business tax, expected repatriations, valuation allowances and other permanent items, partially offset by the favorable impact of WOTC.</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282A32"/>
        </w:rPr>
        <w:t>Net earnings per share — diluted was $5.40 in 2015 compared to $5.30 in 2014. Foreign currency exchange rates unfavorably impacted net earnings per share — diluted by approximately $0.81 in 2015.</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Weighted average shares — diluted decreased 3.8% to 77.7 million in 2015 from 80.7 million in 2014. This decrease was due to the impact of share repurchases completed in 2015, partially offset by shares issued as a result of exercises and vesting of share-based awards in 2015.</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989B9"/>
        </w:rPr>
        <w:t>Segment Results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25" w:lineRule="exact"/>
        <w:rPr>
          <w:sz w:val="20"/>
          <w:szCs w:val="20"/>
          <w:color w:val="auto"/>
        </w:rPr>
      </w:pPr>
    </w:p>
    <w:p>
      <w:pPr>
        <w:ind w:right="520"/>
        <w:spacing w:after="0" w:line="269" w:lineRule="auto"/>
        <w:rPr>
          <w:sz w:val="20"/>
          <w:szCs w:val="20"/>
          <w:color w:val="auto"/>
        </w:rPr>
      </w:pPr>
      <w:r>
        <w:rPr>
          <w:rFonts w:ascii="Arial" w:cs="Arial" w:eastAsia="Arial" w:hAnsi="Arial"/>
          <w:sz w:val="12"/>
          <w:szCs w:val="12"/>
          <w:color w:val="282A32"/>
        </w:rPr>
        <w:t>Effective January 1, 2016, we realigned our organizational structure in Europe. As a result, Other Southern Europe now includes several countries that were previously reported in Northern Europe. All previously reported results have been restated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23</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48" w:name="page49"/>
    <w:bookmarkEnd w:id="48"/>
    <w:p>
      <w:pPr>
        <w:jc w:val="both"/>
        <w:ind w:left="4980" w:right="80"/>
        <w:spacing w:after="0" w:line="255" w:lineRule="auto"/>
        <w:rPr>
          <w:sz w:val="20"/>
          <w:szCs w:val="20"/>
          <w:color w:val="auto"/>
        </w:rPr>
      </w:pPr>
      <w:r>
        <w:rPr>
          <w:rFonts w:ascii="Arial" w:cs="Arial" w:eastAsia="Arial" w:hAnsi="Arial"/>
          <w:sz w:val="12"/>
          <w:szCs w:val="12"/>
          <w:i w:val="1"/>
          <w:iCs w:val="1"/>
          <w:color w:val="2989B9"/>
        </w:rPr>
        <w:t xml:space="preserve">Americas </w:t>
      </w:r>
      <w:r>
        <w:rPr>
          <w:rFonts w:ascii="Arial" w:cs="Arial" w:eastAsia="Arial" w:hAnsi="Arial"/>
          <w:sz w:val="12"/>
          <w:szCs w:val="12"/>
          <w:color w:val="282A32"/>
        </w:rPr>
        <w:t>— The Americas segment is comprised of 631 Company-owned branch offices and 180 stand-alone</w:t>
      </w:r>
      <w:r>
        <w:rPr>
          <w:rFonts w:ascii="Arial" w:cs="Arial" w:eastAsia="Arial" w:hAnsi="Arial"/>
          <w:sz w:val="12"/>
          <w:szCs w:val="12"/>
          <w:i w:val="1"/>
          <w:iCs w:val="1"/>
          <w:color w:val="2989B9"/>
        </w:rPr>
        <w:t xml:space="preserve"> </w:t>
      </w:r>
      <w:r>
        <w:rPr>
          <w:rFonts w:ascii="Arial" w:cs="Arial" w:eastAsia="Arial" w:hAnsi="Arial"/>
          <w:sz w:val="12"/>
          <w:szCs w:val="12"/>
          <w:color w:val="282A32"/>
        </w:rPr>
        <w:t>franchise offices. In the Americas, revenues from services decreased 4.3% (increase of 0.9% in constant currency) in 2016 compared to 2015. In the United States, revenues from services decreased 5.6% in 2016 compared to 2015, primarily driven by a decline in demand for our Manpower staffing services, mainly due to the prolonged weakness in the manufacturing sector of the economy, and a decrease in our Experis interim services, specifically within the IT sector due to decreased demand at several large clients, and the anniversarying of 2015 new business. This decline was partially offset by a 7.0% increase in our permanent recruitment business and solid growth in our MSP and RPO offerings within the ManpowerGroup Solutions business. In Other Americas, revenues from services decreased 1.7% (increase of 14.1% in constant currency) in 2016 compared to 2015. We experienced constant currency revenue growth in Mexico, Canada, Argentina, Colombia, Peru and Brazil of 7.6%, 35.0%, 15.5%, 9.4%, 19.2% and 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-923925</wp:posOffset>
            </wp:positionV>
            <wp:extent cx="1563370" cy="196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337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respectively (-8.5%, 30.4%, -27.7%, -2.0%, 12.6% and 36.8%, respectively, as reported; 1.7% in organic constant currency in Canada). The constant currency increase in Argentina was primarily due to inflation. The significant revenue increase in Brazil was due to increased business associated with the Rio Olympics in 2016.</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In 2015, revenues from services decreased 2.0% (increase of 4.0% in constant currency) compared to 2014. In the United States, revenues from services decreased 2.6% in 2015 compared to 2014, primarily driven by a decline in demand for our Manpower staffing services, due to the winter storms in the first quarter of 2015, a longshoreman’s strike on the West Coast in the first quarter of 2015, the strengthening of the United States dollar impacting demand in certain industries, and a change in specific client mix within our industrial sector. We also experienced a decline in our interim service revenues within our Experis business due to declines in our engineering and finance sectors and stronger price discipline. These declines were partially offset by a 22.5% increase in our permanent recruitment business and strong growth in our MSP and RPO offerings within the ManpowerGroup Solutions business. In Other Americas, revenues from services decreased 0.7% (increase of 17.6% in constant currency) in 2015 compared to 2014. We experienced constant currency revenue growth in Mexico, Canada, Argentina, Colombia and Peru of 14.2%, 13.0%, 40.8%, 11.2% and 24.0%, respectively (-4.3%, -2.5%, 23.7%, -18.4% and 10.5%, respectively, as reported; 1.0% in organic constant currency in Canada). The increase in Argentina was primarily due to inflation, although we did experience volume growth with an 8.1% increase in billable hours.</w:t>
      </w:r>
    </w:p>
    <w:p>
      <w:pPr>
        <w:spacing w:after="0" w:line="30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Gross profit margin increased in 2016 compared to 2015 as a result of the favorable impact from growth in our permanent recruitment and ManpowerGroup Solutions businesses, partially offset by decreases in our staffing/interim margins in the United States and within some of our markets in Other Americas due to business mix changes and general pricing pressures. In 2015, gross profit margin increased compared to 2014 as a result of the favorable impact from the growth in our permanent recruitment and ManpowerGroup Solutions businesses, and improved staffing/interim margins in the United States due to strong price discipline, effective management of workers' compensation and health care costs, and lower unemployment tax rates. These increases were partially offset by decreases in our staffing/interim margins within some of our markets in the Other Americas due to general pricing pressures and client mix changes.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 2016, selling and administrative expenses decreased 3.7% (flat in constant currency) primarily due to a decrease in our variable incentive-based costs due to the operating results of our staffing/interim services in the United States, $3.2 million of restructuring costs recorded in 2015 that did not recur in 2016, and the cost savings resulting from these restructuring actions taken in 2015. This decrease was partially offset by an increase in salary-related costs in certain markets within Other Americas because of additional headcount to support the increase in revenues and the additional recurring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24 </w:t>
      </w:r>
      <w:r>
        <w:rPr>
          <w:rFonts w:ascii="Arial" w:cs="Arial" w:eastAsia="Arial" w:hAnsi="Arial"/>
          <w:sz w:val="8"/>
          <w:szCs w:val="8"/>
          <w:color w:val="auto"/>
        </w:rPr>
        <w:t>| ManpowerGroup</w:t>
      </w:r>
    </w:p>
    <w:p>
      <w:pPr>
        <w:sectPr>
          <w:pgSz w:w="11900" w:h="16838" w:orient="portrait"/>
          <w:cols w:equalWidth="0" w:num="1">
            <w:col w:w="11460"/>
          </w:cols>
          <w:pgMar w:left="220" w:top="439" w:right="21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and administrative costs incurred as a result of acquisitions. In 2015, selling and administrative expenses decreased 0.5% (increase of 3.5% in constant currency) primarily due to the legal costs of $9.0 million in the United States related to a settlement agreement in 2014, which we did not incur in 2015. This favorable impact was partially offset by the increase in salary-related costs due to additional headcount in Other Americas, to support an increased demand for our services, an increase in our variable incentive-based costs due to improved operating results, and the restructuring costs in 2015.</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OUP margin in the Americas was 4.6%, 4.5% and 4.0% for 2016, 2015 and 2014, respectively. In the United States, OUP margin was 5.0%, 4.8% and 4.1% in 2016, 2015 and 2014, respectively. The margin increase in 2016 in the United States was primarily due to the improvement in the gross profit margin, partially offset by expense deleveraging, as we were not able to decrease expenses at the same rate as the revenue decrease. Other Americas OUP margin was 3.7%, 3.8% and 3.8% in 2016, 2015 and 2014, respectively. The margin decreased in Other Americas in 2016 compared to 2015 due to a decline in the gross profit margin, partially offset by better operational leverage, because we were able to support a constant currency increase in revenues without a similar increase in expenses. The margin increase in the Americas in 2015 was primarily due to the United States as a result of the improvement in the gross profit margin.</w:t>
      </w:r>
    </w:p>
    <w:p>
      <w:pPr>
        <w:spacing w:after="0" w:line="245" w:lineRule="exact"/>
        <w:rPr>
          <w:sz w:val="20"/>
          <w:szCs w:val="20"/>
          <w:color w:val="auto"/>
        </w:rPr>
      </w:pPr>
    </w:p>
    <w:p>
      <w:pPr>
        <w:jc w:val="both"/>
        <w:ind w:left="4080" w:right="80"/>
        <w:spacing w:after="0" w:line="256" w:lineRule="auto"/>
        <w:rPr>
          <w:sz w:val="20"/>
          <w:szCs w:val="20"/>
          <w:color w:val="auto"/>
        </w:rPr>
      </w:pPr>
      <w:r>
        <w:rPr>
          <w:rFonts w:ascii="Arial" w:cs="Arial" w:eastAsia="Arial" w:hAnsi="Arial"/>
          <w:sz w:val="12"/>
          <w:szCs w:val="12"/>
          <w:i w:val="1"/>
          <w:iCs w:val="1"/>
          <w:color w:val="2989B9"/>
        </w:rPr>
        <w:t xml:space="preserve">Southern Europe </w:t>
      </w:r>
      <w:r>
        <w:rPr>
          <w:rFonts w:ascii="Arial" w:cs="Arial" w:eastAsia="Arial" w:hAnsi="Arial"/>
          <w:sz w:val="12"/>
          <w:szCs w:val="12"/>
          <w:color w:val="282A32"/>
        </w:rPr>
        <w:t>— In 2016, revenues from services in Southern Europe, which includes operations in France and Italy, increased</w:t>
      </w:r>
      <w:r>
        <w:rPr>
          <w:rFonts w:ascii="Arial" w:cs="Arial" w:eastAsia="Arial" w:hAnsi="Arial"/>
          <w:sz w:val="12"/>
          <w:szCs w:val="12"/>
          <w:i w:val="1"/>
          <w:iCs w:val="1"/>
          <w:color w:val="2989B9"/>
        </w:rPr>
        <w:t xml:space="preserve"> </w:t>
      </w:r>
      <w:r>
        <w:rPr>
          <w:rFonts w:ascii="Arial" w:cs="Arial" w:eastAsia="Arial" w:hAnsi="Arial"/>
          <w:sz w:val="12"/>
          <w:szCs w:val="12"/>
          <w:color w:val="282A32"/>
        </w:rPr>
        <w:t>2.8% (3.0% in constant currency) compared to 2015. In 2016, revenues from services increased 3.8% (4.0% in constant currency) in France (which represents 64.5% of Southern Europe’s revenues) and decreased 4.8% (-4.5% in constant currency) in Italy (which represents 15.6% of Southern Europe’s revenues). The increase in France was primarily due to the growth in the staffing market and a 12.2% increase (12.5% in constant currency) in the permanent recruitment business. The decrease in Italy was due to decreased demand for our Manpower staffing services and ManpowerGroup Solutions offerings primarily due to the non-recurrence of the Milan Expo related business, which ended in the fourth quarter of 2015, partially offset by a 21.2% increase (21.3% in constant currency) in the permanent recruitment business. In Other Southern Europe, revenues from services increased 6.3% (6.5% in constant currency) in 2016 compared to 2015, primarily driven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-833755</wp:posOffset>
            </wp:positionV>
            <wp:extent cx="1300480" cy="1688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048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9.9% increase (10.1% in constant currency) in Spain due to strong sales execution on an increasingly larger client base, and a 26.8% increase (27.0% in constant currency) in the permanent recruitment business.</w:t>
      </w: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In 2015, revenues from services in Southern Europe, which includes operations in France and Italy, decreased 9.2% (increase of 8.1% in constant currency) compared to 2014. In 2015, revenues from services decreased 12.9% (increase of 4.3% in constant currency) in France and increased 4.0% (24.5% in constant currency) in Italy. The constant currency increase in France was primarily due to the staffing market, which showed some growth, particularly in the fourth quarter of 2015. The increase in Italy was mostly due to increased demand for our Manpower staffing services due to improving economic conditions during 2015 and the contract with the Milan Expo, a 19.1% increase (42.5% in constant currency) in the permanent recruitment business, and strong growth in our ManpowerGroup Solutions business partly due to the contract with the Milan Expo. In Other Southern Europe, revenues from services decreased 6.5% (increase of 9.1% in constant currency and 7.5% in organic constant currency) in 2015 compared to 2014. The constant currency increase was primarily driven by the 9.0% increase (30.3% in constant currency) in Spain due to improving economic conditions in 2015 and strong execution in selling clients our full range of services.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Gross profit margin decreased in 2016 compared to 2015 primarily due to a decrease in France's staffing/interim margin primarily as a result of direct cost increases, such as complementary health care costs for our staffing/interim associates in France as a result of new legislation, a shift in business mix due to increased business volume with certain larger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25</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2"/>
          <w:szCs w:val="12"/>
          <w:color w:val="282A32"/>
        </w:rPr>
        <w:t>accounts with lower margins, and reduced pricing on certain accounts in response to market pressures, partially offset by lower Family Welfare Tax in France related to the Responsibility Pact that was effective April 1, 2016. This decrease was partially offset by an increase in Italy's staffing/interim margin, partly due to subsidies, and an increase of 14.3% (14.6% in constant currency) in our permanent recruitment business. In 2015, gross profit margin increased compared to 2014 primarily due to a 15.5% constant currency increase (-2.6% as reported) in our permanent recruitment business and growth in our higher-margin ManpowerGroup Solutions business, partially offset by the continued pricing pressures on our staffing/interim margins in some markets.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In 2016, selling and administrative expenses increased 1.2% (1.5% in constant currency) compared to 2015, primarily due to an increase in salary-related costs because of additional headcount to support the increase in revenues, partially offset by a decrease in variable incentive costs due to a decline in profitability in certain markets and a decrease in marketing expenses related to the non-recurrence of the Milan Expo in Italy. In 2015, selling and administrative expenses decreased 10.6% (increase of 6.4% in constant currency and 5.2% in organic constant currency) compared to 2014. The constant currency increase was due to an increase in organic salary-related costs because of additional headcount, and other non-personnel related costs to support the constant currency revenue growth, and additional recurring selling and administrative costs incurred as a result of acquisitions.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OUP margin in Southern Europe was 5.0%, 5.1% and 4.8% in 2016, 2015 and 2014, respectively. OUP margin changed over the period primarily due to France, where the OUP margin was 5.2%, 5.6% and 5.1% in 2016, 2015 and 2014, respectively. France's margin decrease in 2016 was primarily due to the decline in gross profit margin, partially offset by improved operational leverage, as we were able to support an increase in revenues without a similar increase in expenses. Italy’s OUP margin was 6.8%, 5.8% and 5.4% in 2016, 2015 and 2014, respectively. Italy’s margin increase in 2016 was due to an increase in our gross profit margin and a decrease in marketing expenses related to the non-recurrence of the Milan Expo, which took place in 2015. Other Southern Europe’s OUP margin was 3.2%, 2.8% and 2.9% in 2016, 2015 and 2014, respectively. The margin increase in 2016 was due to an increase in the gross profit margin and improved operational leverage, as we were able to support an increase in revenues without a similar increase in expenses. The margin increase in Southern Europe in 2015 was due to an increase in the gross profit margin and improved operational leverage, as we were able to support a constant currency increase in revenues without a similar constant currency increase in expenses.</w:t>
      </w:r>
    </w:p>
    <w:p>
      <w:pPr>
        <w:spacing w:after="0" w:line="104" w:lineRule="exact"/>
        <w:rPr>
          <w:sz w:val="20"/>
          <w:szCs w:val="20"/>
          <w:color w:val="auto"/>
        </w:rPr>
      </w:pPr>
    </w:p>
    <w:p>
      <w:pPr>
        <w:jc w:val="both"/>
        <w:ind w:left="4640" w:right="80"/>
        <w:spacing w:after="0" w:line="255" w:lineRule="auto"/>
        <w:rPr>
          <w:sz w:val="20"/>
          <w:szCs w:val="20"/>
          <w:color w:val="auto"/>
        </w:rPr>
      </w:pPr>
      <w:r>
        <w:rPr>
          <w:rFonts w:ascii="Arial" w:cs="Arial" w:eastAsia="Arial" w:hAnsi="Arial"/>
          <w:sz w:val="12"/>
          <w:szCs w:val="12"/>
          <w:i w:val="1"/>
          <w:iCs w:val="1"/>
          <w:color w:val="2989B9"/>
        </w:rPr>
        <w:t xml:space="preserve">Northern Europe </w:t>
      </w:r>
      <w:r>
        <w:rPr>
          <w:rFonts w:ascii="Arial" w:cs="Arial" w:eastAsia="Arial" w:hAnsi="Arial"/>
          <w:sz w:val="12"/>
          <w:szCs w:val="12"/>
          <w:color w:val="282A32"/>
        </w:rPr>
        <w:t>— In Northern Europe, which includes operations in the United Kingdom, Germany, the Nordics, the</w:t>
      </w:r>
      <w:r>
        <w:rPr>
          <w:rFonts w:ascii="Arial" w:cs="Arial" w:eastAsia="Arial" w:hAnsi="Arial"/>
          <w:sz w:val="12"/>
          <w:szCs w:val="12"/>
          <w:i w:val="1"/>
          <w:iCs w:val="1"/>
          <w:color w:val="2989B9"/>
        </w:rPr>
        <w:t xml:space="preserve"> </w:t>
      </w:r>
      <w:r>
        <w:rPr>
          <w:rFonts w:ascii="Arial" w:cs="Arial" w:eastAsia="Arial" w:hAnsi="Arial"/>
          <w:sz w:val="12"/>
          <w:szCs w:val="12"/>
          <w:color w:val="282A32"/>
        </w:rPr>
        <w:t>Netherlands and Belgium (comprising 34.8%, 19.7%, 19.4%, 12.3% and 7.7%, respectively, of Northern Europe’s revenues), revenues from services increased 1.9% (7.3% in constant currency and 1.2% in organic constant currency) in 2016 as compared to 2015. We experienced constant currency revenue growth in Germany, the Nordics, the Netherlands and Belgium of 32.9%, 1.1%, 25.0%, and 18.1%, respectively (32.6%, -1.1%, 24.7% and 17.7%, respectively, as reported; 5.9%, 0.2%, 17.1%, and 14.4% in organic constant currency) and a constant currency decline in the United Kingdom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-551180</wp:posOffset>
            </wp:positionV>
            <wp:extent cx="1478280" cy="1760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8280" cy="1760855"/>
                    </a:xfrm>
                    <a:prstGeom prst="rect">
                      <a:avLst/>
                    </a:prstGeom>
                    <a:noFill/>
                  </pic:spPr>
                </pic:pic>
              </a:graphicData>
            </a:graphic>
          </wp:anchor>
        </w:drawing>
      </w:r>
    </w:p>
    <w:p>
      <w:pPr>
        <w:jc w:val="both"/>
        <w:ind w:left="4640" w:right="80"/>
        <w:spacing w:after="0" w:line="257" w:lineRule="auto"/>
        <w:rPr>
          <w:sz w:val="20"/>
          <w:szCs w:val="20"/>
          <w:color w:val="auto"/>
        </w:rPr>
      </w:pPr>
      <w:r>
        <w:rPr>
          <w:rFonts w:ascii="Arial" w:cs="Arial" w:eastAsia="Arial" w:hAnsi="Arial"/>
          <w:sz w:val="12"/>
          <w:szCs w:val="12"/>
          <w:color w:val="282A32"/>
        </w:rPr>
        <w:t>3.1% (-14.1% as reported; -4.9% in organic constant currency). The organic constant currency revenue increase was primarily due to a 3.2% organic constant currency increase (1.0% as reported; 8.1% in constant currency) in our permanent recruitment business, mostly due to growth in the United Kingdom, growth in our ManpowerGroup Solutions Proservia business due to a large client win in Germany, an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in the Netherlands' and the Nordics' staffing/interim revenues, due to recent client wins and the lower level of growth in the comparable prior year period, and an increase in Belgium's Manpower staffing revenues. These increases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26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partially offset by a decline in our Manpower staffing business in the United Kingdom due to lower demand under one of our large client contracts during the first three quarters of the year and decreased demand within the public sector.</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In 2015, revenues from services decreased 8.9% (increase of 6.2% in constant currency and 2.9% in organic constant currency) as compared to 2014. We experienced constant currency revenue growth in the United Kingdom, the Nordics, Germany, and the Netherlands of 6.0%, 0.6%, 26.1%, and 1.3%, respectively (-1.7%, -19.2%, 6.1%, and -15.3%, respectively, as reported; 7.6% in organic constant currency in Germany). The organic constant currency increase in revenues from services was primarily attributable to the increase in our staffing/interim services and a 13.4% organic constant currency increase (1.3% as reported; 16.1% in constant currency) in our permanent recruitment business, mostly due to growth in the United Kingdom. The revenue increase in the Nordics was mostly due to the 9.1% constant currency growth (-11.3% as reported) in Sweden, which was partially offset by the 6.5% constant currency decline (-27.0% as reported) in Norway due to the dependence on the struggling oil and gas industry.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Gross profit margin increased in 2016 compared to 2015 due primarily to the increases in our staffing/interim margin because of the 7S Group GmbH acquisition in Germany in the third quarter of 2015. The organic gross profit margins decreased due to business mix changes, as higher growth came from our lower-margin clients and markets, and general pricing pressures in several markets, partially offset by the organic constant currency increase in our permanent recruitment business. In 2015, gross profit margin decreased due to the decline in our staffing/interim margins because of business mix changes in our staffing/interim revenues and general pricing pressures in several markets, partially offset by the increase in our permanent recruitment business.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Selling and administrative expenses increased 1.1% (5.2% in constant currency; -3.2% in organic constant currency) in 2016 compared to 2015 due to the additional recurring selling and administrative costs incurred as a result of the acquisitions in Germany, the Netherlands, Norway and Belgium. The organic constant currency decrease in selling and administrative expenses was due primarily to the pension curtailment and favorable lease termination gains recognized in 2016 totaling $8.1 million, restructuring costs of $9.0 million incurred in 2015 that did not recur in 2016, and the decrease in organic salary-related costs and non-personnel related costs as a result of these restructuring actions taken in 2015. In 2015, selling and administrative expenses decreased 7.9% (increase of 8.2% in constant currency and 3.4% in organic constant currency) compared to 2014. The constant currency increase in selling and administrative expenses in 2015 compared to 2014 was due primarily to the increase in organic salary-related costs because of permanent recruiters added to support the increase in the permanent recruitment business, restructuring costs incurred in 2015, and the additional recurring selling and administrative costs incurred as a result of acquisitions.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OUP margin for Northern Europe was 3.4%, 2.9% and 3.2% in 2016, 2015 and 2014, respectively. The increase in 2016 was due primarily to the increase in the gross profit margin, the pension curtailment and favorable lease termination gains, and the restructuring costs in 2015. The OUP margin decreased in 2015 primarily due to the decline in the gross profit margin and the restructuring costs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27</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52" w:name="page53"/>
    <w:bookmarkEnd w:id="52"/>
    <w:p>
      <w:pPr>
        <w:jc w:val="both"/>
        <w:ind w:left="4320" w:right="140"/>
        <w:spacing w:after="0" w:line="256" w:lineRule="auto"/>
        <w:rPr>
          <w:sz w:val="20"/>
          <w:szCs w:val="20"/>
          <w:color w:val="auto"/>
        </w:rPr>
      </w:pPr>
      <w:r>
        <w:rPr>
          <w:rFonts w:ascii="Arial" w:cs="Arial" w:eastAsia="Arial" w:hAnsi="Arial"/>
          <w:sz w:val="12"/>
          <w:szCs w:val="12"/>
          <w:i w:val="1"/>
          <w:iCs w:val="1"/>
          <w:color w:val="2989B9"/>
        </w:rPr>
        <w:t xml:space="preserve">APME </w:t>
      </w:r>
      <w:r>
        <w:rPr>
          <w:rFonts w:ascii="Arial" w:cs="Arial" w:eastAsia="Arial" w:hAnsi="Arial"/>
          <w:sz w:val="12"/>
          <w:szCs w:val="12"/>
          <w:color w:val="282A32"/>
        </w:rPr>
        <w:t>— Revenues from services increased 10.4% (8.1% in constant currency and 5.8% in organic constant currency) in 2016</w:t>
      </w:r>
      <w:r>
        <w:rPr>
          <w:rFonts w:ascii="Arial" w:cs="Arial" w:eastAsia="Arial" w:hAnsi="Arial"/>
          <w:sz w:val="12"/>
          <w:szCs w:val="12"/>
          <w:i w:val="1"/>
          <w:iCs w:val="1"/>
          <w:color w:val="2989B9"/>
        </w:rPr>
        <w:t xml:space="preserve"> </w:t>
      </w:r>
      <w:r>
        <w:rPr>
          <w:rFonts w:ascii="Arial" w:cs="Arial" w:eastAsia="Arial" w:hAnsi="Arial"/>
          <w:sz w:val="12"/>
          <w:szCs w:val="12"/>
          <w:color w:val="282A32"/>
        </w:rPr>
        <w:t>compared to 2015. In Japan and Australia (which represent 34.7% and 22.3% of APME’s revenues, respectively), revenues from services increased 15.0% and 10.0%, respectively (3.1% and 11.1%, respectively, in constant currency; 0.5% in organic constant currency in Australia). The increase in Japan was due to the increase in our Manpower staffing services, partially offset by a decrease in our ManpowerGroup Solutions business. The organic constant currency increase in Australia was due to the increase in our ManpowerGroup Solutions business and stable demand for our Experis interim services, even though there are still challenges in the resources and energy related sectors within this economy, offset by a decrease in demand for our Manpower staffing services due to challenging economic conditions impacting various industrial sectors. The revenue increase in the remaining markets in APME was due to an increase in our Manpower staffing service revenues, primarily in Korea, India,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-927100</wp:posOffset>
            </wp:positionV>
            <wp:extent cx="1268095" cy="1661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8095"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282A32"/>
        </w:rPr>
        <w:t>Taiwan and the Philippines, and growth in our ManpowerGroup Solutions and permanent recruitment businesses.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In 2015, revenues from services for APME decreased 3.8% (increase of 7.9% in constant currency and 4.1% in organic constant currency) compared to 2014. In Japan, revenues from services increased 2.2% in constant currency (-10.8% as reported) due to the increased demand for our Manpower staffing services and a 17.4% constant currency increase (2.0% as reported) in our permanent recruitment business. In Australia, revenues from services were down 2.8% in organic constant currency (13.5% increase in constant currency; -5.7% as reported) in 2015 compared to 2014 due to the decreased demand for our Manpower staffing services due to the challenging conditions in this commodity-based economy, partially offset by growth in our ManpowerGroup Solutions business. The constant currency revenue increase in the remaining markets in APME was due to an increase in our Manpower staffing service revenues, mostly in Korea, India and Taiwan, and strong growth in our ManpowerGroup Solutions and permanent recruitment businesses.</w:t>
      </w:r>
    </w:p>
    <w:p>
      <w:pPr>
        <w:spacing w:after="0" w:line="278"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282A32"/>
        </w:rPr>
        <w:t>Gross profit margin decreased in 2016 compared to 2015 due to the decrease in our staffing/interim margins as a result of direct cost increases in certain markets and changes in business mix, partially offset by an increase of 6.0% in our permanent recruitment business (7.0% in constant currency and 5.2% in organic constant currency) and growth in our higher-margin ManpowerGroup Solutions business. In 2015, gross profit margin was flat compared to 2014 as the constant currency increase in our permanent recruitment business of 12.5% (-0.3% as reported) and growth in our higher-margin ManpowerGroup Solutions business was offset by the decrease in our staffing/interim gross profit margins due to business mix changes.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Selling and administrative expenses increased 7.3% (5.3% in constant currency and 3.3% in organic constant currency) in 2016 compared to 2015. The increase was due to the increase in organic salary-related costs because of higher headcount to support the organic constant currency increase in revenues and additional recurring selling and administrative costs incurred as a result of acquisitions, partially offset by restructuring costs of $2.9 million incurred in 2015 that did not recur in 2016. In 2015, selling and administrative expenses decreased 3.3% (increase of 9.0% in constant currency and 5.2% in organic constant currency) compared to 2014. The constant currency increase was due to the increase in organic salary-related costs because of higher headcount to support the constant currency increase in revenues, the additional recurring selling and administrative costs incurred as a result of acquisitions, and restructuring costs incurred in 2015.</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282A32"/>
        </w:rPr>
        <w:t>OUP margin for APME was 3.6%, 3.5% and 3.6% in 2016, 2015 and 2014, respectively. The OUP margin increase in 2016 was due to expense management and improved operational leverage, as we were able to support an increase in revenues without a similar increase in expenses, partially offset by a decline in our gross profit margin. The OUP margin decrease in 2015 was due to the restructuring costs incurred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28 </w:t>
      </w:r>
      <w:r>
        <w:rPr>
          <w:rFonts w:ascii="Arial" w:cs="Arial" w:eastAsia="Arial" w:hAnsi="Arial"/>
          <w:sz w:val="8"/>
          <w:szCs w:val="8"/>
          <w:color w:val="auto"/>
        </w:rPr>
        <w:t>| ManpowerGroup</w:t>
      </w:r>
    </w:p>
    <w:p>
      <w:pPr>
        <w:sectPr>
          <w:pgSz w:w="11900" w:h="16838" w:orient="portrait"/>
          <w:cols w:equalWidth="0" w:num="1">
            <w:col w:w="11460"/>
          </w:cols>
          <w:pgMar w:left="220" w:top="439" w:right="21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347" w:lineRule="exact"/>
        <w:rPr>
          <w:sz w:val="20"/>
          <w:szCs w:val="20"/>
          <w:color w:val="auto"/>
        </w:rPr>
      </w:pPr>
    </w:p>
    <w:p>
      <w:pPr>
        <w:ind w:left="4520" w:right="420"/>
        <w:spacing w:after="0" w:line="290" w:lineRule="auto"/>
        <w:rPr>
          <w:sz w:val="20"/>
          <w:szCs w:val="20"/>
          <w:color w:val="auto"/>
        </w:rPr>
      </w:pPr>
      <w:r>
        <w:rPr>
          <w:rFonts w:ascii="Arial" w:cs="Arial" w:eastAsia="Arial" w:hAnsi="Arial"/>
          <w:sz w:val="12"/>
          <w:szCs w:val="12"/>
          <w:i w:val="1"/>
          <w:iCs w:val="1"/>
          <w:color w:val="2989B9"/>
        </w:rPr>
        <w:t xml:space="preserve">Right Management </w:t>
      </w:r>
      <w:r>
        <w:rPr>
          <w:rFonts w:ascii="Arial" w:cs="Arial" w:eastAsia="Arial" w:hAnsi="Arial"/>
          <w:sz w:val="12"/>
          <w:szCs w:val="12"/>
          <w:color w:val="282A32"/>
        </w:rPr>
        <w:t>— Right Management is a leading global provider of talent and career management (also known as</w:t>
      </w:r>
      <w:r>
        <w:rPr>
          <w:rFonts w:ascii="Arial" w:cs="Arial" w:eastAsia="Arial" w:hAnsi="Arial"/>
          <w:sz w:val="12"/>
          <w:szCs w:val="12"/>
          <w:i w:val="1"/>
          <w:iCs w:val="1"/>
          <w:color w:val="2989B9"/>
        </w:rPr>
        <w:t xml:space="preserve"> </w:t>
      </w:r>
      <w:r>
        <w:rPr>
          <w:rFonts w:ascii="Arial" w:cs="Arial" w:eastAsia="Arial" w:hAnsi="Arial"/>
          <w:sz w:val="12"/>
          <w:szCs w:val="12"/>
          <w:color w:val="282A32"/>
        </w:rPr>
        <w:t>outplacement services) workforce solutions, operating in 94 offices in 48 countries and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-204470</wp:posOffset>
            </wp:positionV>
            <wp:extent cx="1431925" cy="1852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1925" cy="1852295"/>
                    </a:xfrm>
                    <a:prstGeom prst="rect">
                      <a:avLst/>
                    </a:prstGeom>
                    <a:noFill/>
                  </pic:spPr>
                </pic:pic>
              </a:graphicData>
            </a:graphic>
          </wp:anchor>
        </w:drawing>
      </w:r>
    </w:p>
    <w:p>
      <w:pPr>
        <w:spacing w:after="0" w:line="93" w:lineRule="exact"/>
        <w:rPr>
          <w:sz w:val="20"/>
          <w:szCs w:val="20"/>
          <w:color w:val="auto"/>
        </w:rPr>
      </w:pPr>
    </w:p>
    <w:p>
      <w:pPr>
        <w:ind w:left="4520" w:right="100"/>
        <w:spacing w:after="0" w:line="256" w:lineRule="auto"/>
        <w:rPr>
          <w:sz w:val="20"/>
          <w:szCs w:val="20"/>
          <w:color w:val="auto"/>
        </w:rPr>
      </w:pPr>
      <w:r>
        <w:rPr>
          <w:rFonts w:ascii="Arial" w:cs="Arial" w:eastAsia="Arial" w:hAnsi="Arial"/>
          <w:sz w:val="12"/>
          <w:szCs w:val="12"/>
          <w:color w:val="282A32"/>
        </w:rPr>
        <w:t>In 2016, revenues from services decreased 5.4% (-3.4% in constant currency). The decrease was primarily due to the 21.2% decrease (-19.5% in constant currency) in our talent management business in 2016 compared to 2015 due to softening demand in all of our markets. Our outplacement services increased 1.1% (3.2% in constant currency) in 2016 compared to 2015 due mostly to growth in our Americas markets, primarily driven by strong sales execution in the United States and opportunities in the energy sector through the first half of the year, partially offset by softer demand in the second half of 2016.</w:t>
      </w:r>
    </w:p>
    <w:p>
      <w:pPr>
        <w:spacing w:after="0" w:line="278" w:lineRule="exact"/>
        <w:rPr>
          <w:sz w:val="20"/>
          <w:szCs w:val="20"/>
          <w:color w:val="auto"/>
        </w:rPr>
      </w:pPr>
    </w:p>
    <w:p>
      <w:pPr>
        <w:ind w:left="4520" w:right="200"/>
        <w:spacing w:after="0" w:line="269" w:lineRule="auto"/>
        <w:rPr>
          <w:sz w:val="20"/>
          <w:szCs w:val="20"/>
          <w:color w:val="auto"/>
        </w:rPr>
      </w:pPr>
      <w:r>
        <w:rPr>
          <w:rFonts w:ascii="Arial" w:cs="Arial" w:eastAsia="Arial" w:hAnsi="Arial"/>
          <w:sz w:val="12"/>
          <w:szCs w:val="12"/>
          <w:color w:val="282A32"/>
        </w:rPr>
        <w:t>In 2015, revenues from services decreased 7.0% (0.5% increase in constant currency). We experienced an increase in our outplacement services of 3.2% in constant currency (-4.8% as reported) due to growth in the second 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20"/>
        <w:spacing w:after="0" w:line="269" w:lineRule="auto"/>
        <w:rPr>
          <w:sz w:val="20"/>
          <w:szCs w:val="20"/>
          <w:color w:val="auto"/>
        </w:rPr>
      </w:pPr>
      <w:r>
        <w:rPr>
          <w:rFonts w:ascii="Arial" w:cs="Arial" w:eastAsia="Arial" w:hAnsi="Arial"/>
          <w:sz w:val="12"/>
          <w:szCs w:val="12"/>
          <w:color w:val="282A32"/>
        </w:rPr>
        <w:t>2015 as a result of greater demand in the oil and gas industry and several client wins, partially offset by softer demand in the first half of 2015. This was partially offset by a decline in our talent management business of 12.0% (-5.4% in constant currency) due to softer demand.</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Gross profit margin decreased in 2016 compared to 2015 due to a decrease in both the outplacement and talent management business gross profit margins, partially offset by the change in business mix as the higher-margin outplacement business represented a greater percentage of the revenue mix. In 2015, gross profit margin increased due to an increase in both the outplacement and talent management business gross profit margins and the change in business mix as the higher-margin outplacement services represented a greater percentage of the revenue mix.</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 2016, selling and administrative expenses decreased 13.5% (-11.9% in constant currency) compared to 2015 due to the cost savings from more efficient delivery solutions and restructuring costs of $1.3 million incurred in 2015 that did not recur in 2016. In 2015, selling and administrative expenses decreased 7.6% (flat in constant currency) compared to 2014 due to the cost savings from more efficient delivery solutions offset by restructuring costs in 2015.</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OUP margin for Right Management was 17.3%, 14.0% and 11.4% for 2016, 2015 and 2014, respectively. The OUP margin for 2016 increased due to improved operational leverage, partially offset by the decline in the gross profit margin. The OUP margin for 2015 increased due primarily to the improvement in our gross profit margin.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29</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2989B9"/>
        </w:rPr>
        <w:t>FINANCIAL MEASURES — CONSTANT CURRENCY AND ORGANIC CONSTANT CURRENCY RECONCILIATION</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Certain constant currency and organic constant currency percent variances are discussed throughout this annual report. A reconciliation of these Non-GAAP percent variances to the percent variances calculated based on our annual GAAP financial results is provided below. (See Constant Currency and Organic Constant Currency on pages 17 and 18 for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80" w:type="dxa"/>
            <w:vAlign w:val="bottom"/>
          </w:tcPr>
          <w:p>
            <w:pPr>
              <w:jc w:val="right"/>
              <w:ind w:right="280"/>
              <w:spacing w:after="0"/>
              <w:rPr>
                <w:sz w:val="20"/>
                <w:szCs w:val="20"/>
                <w:color w:val="auto"/>
              </w:rPr>
            </w:pPr>
            <w:r>
              <w:rPr>
                <w:rFonts w:ascii="Arial" w:cs="Arial" w:eastAsia="Arial" w:hAnsi="Arial"/>
                <w:sz w:val="10"/>
                <w:szCs w:val="10"/>
                <w:color w:val="282A32"/>
              </w:rPr>
              <w:t>Impact of</w:t>
            </w:r>
          </w:p>
        </w:tc>
        <w:tc>
          <w:tcPr>
            <w:tcW w:w="1120" w:type="dxa"/>
            <w:vAlign w:val="bottom"/>
          </w:tcPr>
          <w:p>
            <w:pPr>
              <w:jc w:val="right"/>
              <w:ind w:right="120"/>
              <w:spacing w:after="0"/>
              <w:rPr>
                <w:sz w:val="20"/>
                <w:szCs w:val="20"/>
                <w:color w:val="auto"/>
              </w:rPr>
            </w:pPr>
            <w:r>
              <w:rPr>
                <w:rFonts w:ascii="Arial" w:cs="Arial" w:eastAsia="Arial" w:hAnsi="Arial"/>
                <w:sz w:val="10"/>
                <w:szCs w:val="10"/>
                <w:color w:val="282A32"/>
              </w:rPr>
              <w:t>Organic</w:t>
            </w:r>
          </w:p>
        </w:tc>
        <w:tc>
          <w:tcPr>
            <w:tcW w:w="0" w:type="dxa"/>
            <w:vAlign w:val="bottom"/>
          </w:tcPr>
          <w:p>
            <w:pPr>
              <w:spacing w:after="0"/>
              <w:rPr>
                <w:sz w:val="1"/>
                <w:szCs w:val="1"/>
                <w:color w:val="auto"/>
              </w:rPr>
            </w:pPr>
          </w:p>
        </w:tc>
      </w:tr>
      <w:tr>
        <w:trPr>
          <w:trHeight w:val="103"/>
        </w:trPr>
        <w:tc>
          <w:tcPr>
            <w:tcW w:w="3760" w:type="dxa"/>
            <w:vAlign w:val="bottom"/>
            <w:vMerge w:val="restart"/>
          </w:tcPr>
          <w:p>
            <w:pPr>
              <w:ind w:left="20"/>
              <w:spacing w:after="0"/>
              <w:rPr>
                <w:sz w:val="20"/>
                <w:szCs w:val="20"/>
                <w:color w:val="auto"/>
              </w:rPr>
            </w:pPr>
            <w:r>
              <w:rPr>
                <w:rFonts w:ascii="Arial" w:cs="Arial" w:eastAsia="Arial" w:hAnsi="Arial"/>
                <w:sz w:val="10"/>
                <w:szCs w:val="10"/>
                <w:i w:val="1"/>
                <w:iCs w:val="1"/>
                <w:color w:val="282A32"/>
              </w:rPr>
              <w:t>Amounts represent 2016</w:t>
            </w:r>
          </w:p>
        </w:tc>
        <w:tc>
          <w:tcPr>
            <w:tcW w:w="360" w:type="dxa"/>
            <w:vAlign w:val="bottom"/>
          </w:tcPr>
          <w:p>
            <w:pPr>
              <w:spacing w:after="0"/>
              <w:rPr>
                <w:sz w:val="8"/>
                <w:szCs w:val="8"/>
                <w:color w:val="auto"/>
              </w:rPr>
            </w:pPr>
          </w:p>
        </w:tc>
        <w:tc>
          <w:tcPr>
            <w:tcW w:w="1180" w:type="dxa"/>
            <w:vAlign w:val="bottom"/>
          </w:tcPr>
          <w:p>
            <w:pPr>
              <w:jc w:val="right"/>
              <w:ind w:right="360"/>
              <w:spacing w:after="0" w:line="104" w:lineRule="exact"/>
              <w:rPr>
                <w:sz w:val="20"/>
                <w:szCs w:val="20"/>
                <w:color w:val="auto"/>
              </w:rPr>
            </w:pPr>
            <w:r>
              <w:rPr>
                <w:rFonts w:ascii="Arial" w:cs="Arial" w:eastAsia="Arial" w:hAnsi="Arial"/>
                <w:sz w:val="10"/>
                <w:szCs w:val="10"/>
                <w:color w:val="282A32"/>
              </w:rPr>
              <w:t>Reported</w:t>
            </w:r>
          </w:p>
        </w:tc>
        <w:tc>
          <w:tcPr>
            <w:tcW w:w="1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jc w:val="right"/>
              <w:ind w:right="400"/>
              <w:spacing w:after="0" w:line="104" w:lineRule="exact"/>
              <w:rPr>
                <w:sz w:val="20"/>
                <w:szCs w:val="20"/>
                <w:color w:val="auto"/>
              </w:rPr>
            </w:pPr>
            <w:r>
              <w:rPr>
                <w:rFonts w:ascii="Arial" w:cs="Arial" w:eastAsia="Arial" w:hAnsi="Arial"/>
                <w:sz w:val="10"/>
                <w:szCs w:val="10"/>
                <w:color w:val="282A32"/>
              </w:rPr>
              <w:t>Variance in</w:t>
            </w:r>
          </w:p>
        </w:tc>
        <w:tc>
          <w:tcPr>
            <w:tcW w:w="1180" w:type="dxa"/>
            <w:vAlign w:val="bottom"/>
          </w:tcPr>
          <w:p>
            <w:pPr>
              <w:jc w:val="right"/>
              <w:ind w:right="280"/>
              <w:spacing w:after="0" w:line="104" w:lineRule="exact"/>
              <w:rPr>
                <w:sz w:val="20"/>
                <w:szCs w:val="20"/>
                <w:color w:val="auto"/>
              </w:rPr>
            </w:pPr>
            <w:r>
              <w:rPr>
                <w:rFonts w:ascii="Arial" w:cs="Arial" w:eastAsia="Arial" w:hAnsi="Arial"/>
                <w:sz w:val="10"/>
                <w:szCs w:val="10"/>
                <w:color w:val="282A32"/>
              </w:rPr>
              <w:t>Acquisitions</w:t>
            </w:r>
          </w:p>
        </w:tc>
        <w:tc>
          <w:tcPr>
            <w:tcW w:w="1120" w:type="dxa"/>
            <w:vAlign w:val="bottom"/>
          </w:tcPr>
          <w:p>
            <w:pPr>
              <w:jc w:val="right"/>
              <w:ind w:right="120"/>
              <w:spacing w:after="0" w:line="104" w:lineRule="exact"/>
              <w:rPr>
                <w:sz w:val="20"/>
                <w:szCs w:val="20"/>
                <w:color w:val="auto"/>
              </w:rPr>
            </w:pPr>
            <w:r>
              <w:rPr>
                <w:rFonts w:ascii="Arial" w:cs="Arial" w:eastAsia="Arial" w:hAnsi="Arial"/>
                <w:sz w:val="10"/>
                <w:szCs w:val="10"/>
                <w:color w:val="282A32"/>
              </w:rPr>
              <w:t>Constant</w:t>
            </w:r>
          </w:p>
        </w:tc>
        <w:tc>
          <w:tcPr>
            <w:tcW w:w="0" w:type="dxa"/>
            <w:vAlign w:val="bottom"/>
          </w:tcPr>
          <w:p>
            <w:pPr>
              <w:spacing w:after="0"/>
              <w:rPr>
                <w:sz w:val="1"/>
                <w:szCs w:val="1"/>
                <w:color w:val="auto"/>
              </w:rPr>
            </w:pPr>
          </w:p>
        </w:tc>
      </w:tr>
      <w:tr>
        <w:trPr>
          <w:trHeight w:val="93"/>
        </w:trPr>
        <w:tc>
          <w:tcPr>
            <w:tcW w:w="37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jc w:val="right"/>
              <w:ind w:right="360"/>
              <w:spacing w:after="0" w:line="94" w:lineRule="exact"/>
              <w:rPr>
                <w:sz w:val="20"/>
                <w:szCs w:val="20"/>
                <w:color w:val="auto"/>
              </w:rPr>
            </w:pPr>
            <w:r>
              <w:rPr>
                <w:rFonts w:ascii="Arial" w:cs="Arial" w:eastAsia="Arial" w:hAnsi="Arial"/>
                <w:sz w:val="10"/>
                <w:szCs w:val="10"/>
                <w:color w:val="282A32"/>
              </w:rPr>
              <w:t>Amount</w:t>
            </w:r>
          </w:p>
        </w:tc>
        <w:tc>
          <w:tcPr>
            <w:tcW w:w="1340" w:type="dxa"/>
            <w:vAlign w:val="bottom"/>
          </w:tcPr>
          <w:p>
            <w:pPr>
              <w:jc w:val="right"/>
              <w:ind w:right="459"/>
              <w:spacing w:after="0" w:line="94" w:lineRule="exact"/>
              <w:rPr>
                <w:sz w:val="20"/>
                <w:szCs w:val="20"/>
                <w:color w:val="auto"/>
              </w:rPr>
            </w:pPr>
            <w:r>
              <w:rPr>
                <w:rFonts w:ascii="Arial" w:cs="Arial" w:eastAsia="Arial" w:hAnsi="Arial"/>
                <w:sz w:val="10"/>
                <w:szCs w:val="10"/>
                <w:color w:val="282A32"/>
              </w:rPr>
              <w:t>Reported</w:t>
            </w:r>
          </w:p>
        </w:tc>
        <w:tc>
          <w:tcPr>
            <w:tcW w:w="1260" w:type="dxa"/>
            <w:vAlign w:val="bottom"/>
          </w:tcPr>
          <w:p>
            <w:pPr>
              <w:jc w:val="right"/>
              <w:ind w:right="419"/>
              <w:spacing w:after="0" w:line="94" w:lineRule="exact"/>
              <w:rPr>
                <w:sz w:val="20"/>
                <w:szCs w:val="20"/>
                <w:color w:val="auto"/>
              </w:rPr>
            </w:pPr>
            <w:r>
              <w:rPr>
                <w:rFonts w:ascii="Arial" w:cs="Arial" w:eastAsia="Arial" w:hAnsi="Arial"/>
                <w:sz w:val="10"/>
                <w:szCs w:val="10"/>
                <w:color w:val="282A32"/>
              </w:rPr>
              <w:t>Impact of</w:t>
            </w:r>
          </w:p>
        </w:tc>
        <w:tc>
          <w:tcPr>
            <w:tcW w:w="1260" w:type="dxa"/>
            <w:vAlign w:val="bottom"/>
          </w:tcPr>
          <w:p>
            <w:pPr>
              <w:jc w:val="right"/>
              <w:ind w:right="400"/>
              <w:spacing w:after="0" w:line="94" w:lineRule="exact"/>
              <w:rPr>
                <w:sz w:val="20"/>
                <w:szCs w:val="20"/>
                <w:color w:val="auto"/>
              </w:rPr>
            </w:pPr>
            <w:r>
              <w:rPr>
                <w:rFonts w:ascii="Arial" w:cs="Arial" w:eastAsia="Arial" w:hAnsi="Arial"/>
                <w:sz w:val="10"/>
                <w:szCs w:val="10"/>
                <w:color w:val="282A32"/>
              </w:rPr>
              <w:t>Constant</w:t>
            </w:r>
          </w:p>
        </w:tc>
        <w:tc>
          <w:tcPr>
            <w:tcW w:w="1180" w:type="dxa"/>
            <w:vAlign w:val="bottom"/>
          </w:tcPr>
          <w:p>
            <w:pPr>
              <w:jc w:val="right"/>
              <w:ind w:right="280"/>
              <w:spacing w:after="0" w:line="94" w:lineRule="exact"/>
              <w:rPr>
                <w:sz w:val="20"/>
                <w:szCs w:val="20"/>
                <w:color w:val="auto"/>
              </w:rPr>
            </w:pPr>
            <w:r>
              <w:rPr>
                <w:rFonts w:ascii="Arial" w:cs="Arial" w:eastAsia="Arial" w:hAnsi="Arial"/>
                <w:sz w:val="10"/>
                <w:szCs w:val="10"/>
                <w:color w:val="282A32"/>
              </w:rPr>
              <w:t>(in Constant</w:t>
            </w:r>
          </w:p>
        </w:tc>
        <w:tc>
          <w:tcPr>
            <w:tcW w:w="1120" w:type="dxa"/>
            <w:vAlign w:val="bottom"/>
          </w:tcPr>
          <w:p>
            <w:pPr>
              <w:jc w:val="right"/>
              <w:ind w:right="120"/>
              <w:spacing w:after="0" w:line="94" w:lineRule="exact"/>
              <w:rPr>
                <w:sz w:val="20"/>
                <w:szCs w:val="20"/>
                <w:color w:val="auto"/>
              </w:rPr>
            </w:pPr>
            <w:r>
              <w:rPr>
                <w:rFonts w:ascii="Arial" w:cs="Arial" w:eastAsia="Arial" w:hAnsi="Arial"/>
                <w:sz w:val="10"/>
                <w:szCs w:val="10"/>
                <w:color w:val="282A32"/>
              </w:rPr>
              <w:t>Currency</w:t>
            </w:r>
          </w:p>
        </w:tc>
        <w:tc>
          <w:tcPr>
            <w:tcW w:w="0" w:type="dxa"/>
            <w:vAlign w:val="bottom"/>
          </w:tcPr>
          <w:p>
            <w:pPr>
              <w:spacing w:after="0"/>
              <w:rPr>
                <w:sz w:val="1"/>
                <w:szCs w:val="1"/>
                <w:color w:val="auto"/>
              </w:rPr>
            </w:pPr>
          </w:p>
        </w:tc>
      </w:tr>
      <w:tr>
        <w:trPr>
          <w:trHeight w:val="132"/>
        </w:trPr>
        <w:tc>
          <w:tcPr>
            <w:tcW w:w="3760" w:type="dxa"/>
            <w:vAlign w:val="bottom"/>
            <w:tcBorders>
              <w:bottom w:val="single" w:sz="8" w:color="55565A"/>
            </w:tcBorders>
          </w:tcPr>
          <w:p>
            <w:pPr>
              <w:ind w:left="20"/>
              <w:spacing w:after="0"/>
              <w:rPr>
                <w:sz w:val="20"/>
                <w:szCs w:val="20"/>
                <w:color w:val="auto"/>
              </w:rPr>
            </w:pPr>
            <w:r>
              <w:rPr>
                <w:rFonts w:ascii="Arial" w:cs="Arial" w:eastAsia="Arial" w:hAnsi="Arial"/>
                <w:sz w:val="10"/>
                <w:szCs w:val="10"/>
                <w:i w:val="1"/>
                <w:iCs w:val="1"/>
                <w:color w:val="282A32"/>
              </w:rPr>
              <w:t>Percentages represent 2016 compared to 2015</w:t>
            </w: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0"/>
                <w:szCs w:val="10"/>
                <w:color w:val="282A32"/>
              </w:rPr>
              <w:t>(in millions)</w:t>
            </w: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color w:val="282A32"/>
              </w:rPr>
              <w:t>Variance</w:t>
            </w: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color w:val="282A32"/>
              </w:rPr>
              <w:t>Currency</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color w:val="282A32"/>
              </w:rPr>
              <w:t>Currency</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color w:val="282A32"/>
              </w:rPr>
              <w:t>Currency)</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color w:val="282A32"/>
              </w:rPr>
              <w:t>Variance</w:t>
            </w: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Arial" w:cs="Arial" w:eastAsia="Arial" w:hAnsi="Arial"/>
                <w:sz w:val="12"/>
                <w:szCs w:val="12"/>
                <w:color w:val="2989B9"/>
              </w:rPr>
              <w:t>Revenues from Services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tcPr>
          <w:p>
            <w:pPr>
              <w:ind w:left="20"/>
              <w:spacing w:after="0"/>
              <w:rPr>
                <w:sz w:val="20"/>
                <w:szCs w:val="20"/>
                <w:color w:val="auto"/>
              </w:rPr>
            </w:pPr>
            <w:r>
              <w:rPr>
                <w:rFonts w:ascii="Arial" w:cs="Arial" w:eastAsia="Arial" w:hAnsi="Arial"/>
                <w:sz w:val="12"/>
                <w:szCs w:val="12"/>
                <w:color w:val="282A32"/>
              </w:rPr>
              <w:t>Americas: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United States</w:t>
            </w:r>
          </w:p>
        </w:tc>
        <w:tc>
          <w:tcPr>
            <w:tcW w:w="360" w:type="dxa"/>
            <w:vAlign w:val="bottom"/>
          </w:tcPr>
          <w:p>
            <w:pPr>
              <w:jc w:val="right"/>
              <w:ind w:right="198"/>
              <w:spacing w:after="0"/>
              <w:rPr>
                <w:sz w:val="20"/>
                <w:szCs w:val="20"/>
                <w:color w:val="auto"/>
              </w:rPr>
            </w:pPr>
            <w:r>
              <w:rPr>
                <w:rFonts w:ascii="Arial" w:cs="Arial" w:eastAsia="Arial" w:hAnsi="Arial"/>
                <w:sz w:val="12"/>
                <w:szCs w:val="12"/>
                <w:color w:val="282A32"/>
              </w:rPr>
              <w:t>$</w:t>
            </w: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2,836.8</w:t>
            </w:r>
          </w:p>
        </w:tc>
        <w:tc>
          <w:tcPr>
            <w:tcW w:w="1340" w:type="dxa"/>
            <w:vAlign w:val="bottom"/>
          </w:tcPr>
          <w:p>
            <w:pPr>
              <w:jc w:val="right"/>
              <w:ind w:right="319"/>
              <w:spacing w:after="0"/>
              <w:rPr>
                <w:sz w:val="20"/>
                <w:szCs w:val="20"/>
                <w:color w:val="auto"/>
              </w:rPr>
            </w:pPr>
            <w:r>
              <w:rPr>
                <w:rFonts w:ascii="Arial" w:cs="Arial" w:eastAsia="Arial" w:hAnsi="Arial"/>
                <w:sz w:val="12"/>
                <w:szCs w:val="12"/>
                <w:color w:val="282A32"/>
              </w:rPr>
              <w:t>(5.6)%</w:t>
            </w:r>
          </w:p>
        </w:tc>
        <w:tc>
          <w:tcPr>
            <w:tcW w:w="1260" w:type="dxa"/>
            <w:vAlign w:val="bottom"/>
          </w:tcPr>
          <w:p>
            <w:pPr>
              <w:jc w:val="right"/>
              <w:ind w:right="279"/>
              <w:spacing w:after="0"/>
              <w:rPr>
                <w:sz w:val="20"/>
                <w:szCs w:val="20"/>
                <w:color w:val="auto"/>
              </w:rPr>
            </w:pPr>
            <w:r>
              <w:rPr>
                <w:rFonts w:ascii="Arial" w:cs="Arial" w:eastAsia="Arial" w:hAnsi="Arial"/>
                <w:sz w:val="12"/>
                <w:szCs w:val="12"/>
                <w:color w:val="282A32"/>
              </w:rPr>
              <w:t>— %</w:t>
            </w:r>
          </w:p>
        </w:tc>
        <w:tc>
          <w:tcPr>
            <w:tcW w:w="1260" w:type="dxa"/>
            <w:vAlign w:val="bottom"/>
          </w:tcPr>
          <w:p>
            <w:pPr>
              <w:jc w:val="right"/>
              <w:ind w:right="240"/>
              <w:spacing w:after="0"/>
              <w:rPr>
                <w:sz w:val="20"/>
                <w:szCs w:val="20"/>
                <w:color w:val="auto"/>
              </w:rPr>
            </w:pPr>
            <w:r>
              <w:rPr>
                <w:rFonts w:ascii="Arial" w:cs="Arial" w:eastAsia="Arial" w:hAnsi="Arial"/>
                <w:sz w:val="12"/>
                <w:szCs w:val="12"/>
                <w:color w:val="282A32"/>
              </w:rPr>
              <w:t>(5.6)%</w:t>
            </w:r>
          </w:p>
        </w:tc>
        <w:tc>
          <w:tcPr>
            <w:tcW w:w="1180" w:type="dxa"/>
            <w:vAlign w:val="bottom"/>
          </w:tcPr>
          <w:p>
            <w:pPr>
              <w:jc w:val="right"/>
              <w:ind w:right="140"/>
              <w:spacing w:after="0"/>
              <w:rPr>
                <w:sz w:val="20"/>
                <w:szCs w:val="20"/>
                <w:color w:val="auto"/>
              </w:rPr>
            </w:pPr>
            <w:r>
              <w:rPr>
                <w:rFonts w:ascii="Arial" w:cs="Arial" w:eastAsia="Arial" w:hAnsi="Arial"/>
                <w:sz w:val="12"/>
                <w:szCs w:val="12"/>
                <w:color w:val="282A32"/>
              </w:rPr>
              <w:t>0.7 %</w:t>
            </w:r>
          </w:p>
        </w:tc>
        <w:tc>
          <w:tcPr>
            <w:tcW w:w="1120" w:type="dxa"/>
            <w:vAlign w:val="bottom"/>
          </w:tcPr>
          <w:p>
            <w:pPr>
              <w:jc w:val="right"/>
              <w:spacing w:after="0"/>
              <w:rPr>
                <w:sz w:val="20"/>
                <w:szCs w:val="20"/>
                <w:color w:val="auto"/>
              </w:rPr>
            </w:pPr>
            <w:r>
              <w:rPr>
                <w:rFonts w:ascii="Arial" w:cs="Arial" w:eastAsia="Arial" w:hAnsi="Arial"/>
                <w:sz w:val="12"/>
                <w:szCs w:val="12"/>
                <w:color w:val="282A32"/>
              </w:rPr>
              <w:t>(6.3)%</w:t>
            </w: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Americas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1,460.4</w:t>
            </w: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282A32"/>
              </w:rPr>
              <w:t>(1.7)</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(15.8)</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282A32"/>
              </w:rPr>
              <w:t>14.1</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4.5</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9.6</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4,297.2</w:t>
            </w: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282A32"/>
              </w:rPr>
              <w:t>(4.3)</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(5.2)</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282A32"/>
              </w:rPr>
              <w:t>0.9</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2.0</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282A32"/>
              </w:rPr>
              <w:t>(1.1)</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Arial" w:cs="Arial" w:eastAsia="Arial" w:hAnsi="Arial"/>
                <w:sz w:val="12"/>
                <w:szCs w:val="12"/>
                <w:color w:val="282A32"/>
              </w:rPr>
              <w:t>Southern Europe: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France</w:t>
            </w:r>
          </w:p>
        </w:tc>
        <w:tc>
          <w:tcPr>
            <w:tcW w:w="36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4,837.4</w:t>
            </w:r>
          </w:p>
        </w:tc>
        <w:tc>
          <w:tcPr>
            <w:tcW w:w="1340" w:type="dxa"/>
            <w:vAlign w:val="bottom"/>
          </w:tcPr>
          <w:p>
            <w:pPr>
              <w:jc w:val="right"/>
              <w:ind w:right="459"/>
              <w:spacing w:after="0"/>
              <w:rPr>
                <w:sz w:val="20"/>
                <w:szCs w:val="20"/>
                <w:color w:val="auto"/>
              </w:rPr>
            </w:pPr>
            <w:r>
              <w:rPr>
                <w:rFonts w:ascii="Arial" w:cs="Arial" w:eastAsia="Arial" w:hAnsi="Arial"/>
                <w:sz w:val="12"/>
                <w:szCs w:val="12"/>
                <w:color w:val="282A32"/>
              </w:rPr>
              <w:t>3.8</w:t>
            </w:r>
          </w:p>
        </w:tc>
        <w:tc>
          <w:tcPr>
            <w:tcW w:w="1260" w:type="dxa"/>
            <w:vAlign w:val="bottom"/>
          </w:tcPr>
          <w:p>
            <w:pPr>
              <w:jc w:val="right"/>
              <w:ind w:right="379"/>
              <w:spacing w:after="0"/>
              <w:rPr>
                <w:sz w:val="20"/>
                <w:szCs w:val="20"/>
                <w:color w:val="auto"/>
              </w:rPr>
            </w:pPr>
            <w:r>
              <w:rPr>
                <w:rFonts w:ascii="Arial" w:cs="Arial" w:eastAsia="Arial" w:hAnsi="Arial"/>
                <w:sz w:val="12"/>
                <w:szCs w:val="12"/>
                <w:color w:val="282A32"/>
              </w:rPr>
              <w:t>(0.2)</w:t>
            </w:r>
          </w:p>
        </w:tc>
        <w:tc>
          <w:tcPr>
            <w:tcW w:w="1260" w:type="dxa"/>
            <w:vAlign w:val="bottom"/>
          </w:tcPr>
          <w:p>
            <w:pPr>
              <w:jc w:val="right"/>
              <w:ind w:right="400"/>
              <w:spacing w:after="0"/>
              <w:rPr>
                <w:sz w:val="20"/>
                <w:szCs w:val="20"/>
                <w:color w:val="auto"/>
              </w:rPr>
            </w:pPr>
            <w:r>
              <w:rPr>
                <w:rFonts w:ascii="Arial" w:cs="Arial" w:eastAsia="Arial" w:hAnsi="Arial"/>
                <w:sz w:val="12"/>
                <w:szCs w:val="12"/>
                <w:color w:val="282A32"/>
              </w:rPr>
              <w:t>4.0</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w:t>
            </w:r>
          </w:p>
        </w:tc>
        <w:tc>
          <w:tcPr>
            <w:tcW w:w="1120" w:type="dxa"/>
            <w:vAlign w:val="bottom"/>
          </w:tcPr>
          <w:p>
            <w:pPr>
              <w:jc w:val="right"/>
              <w:ind w:right="120"/>
              <w:spacing w:after="0"/>
              <w:rPr>
                <w:sz w:val="20"/>
                <w:szCs w:val="20"/>
                <w:color w:val="auto"/>
              </w:rPr>
            </w:pPr>
            <w:r>
              <w:rPr>
                <w:rFonts w:ascii="Arial" w:cs="Arial" w:eastAsia="Arial" w:hAnsi="Arial"/>
                <w:sz w:val="12"/>
                <w:szCs w:val="12"/>
                <w:color w:val="282A32"/>
              </w:rPr>
              <w:t>4.0</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Italy</w:t>
            </w:r>
          </w:p>
        </w:tc>
        <w:tc>
          <w:tcPr>
            <w:tcW w:w="36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1,167.7</w:t>
            </w:r>
          </w:p>
        </w:tc>
        <w:tc>
          <w:tcPr>
            <w:tcW w:w="1340" w:type="dxa"/>
            <w:vAlign w:val="bottom"/>
          </w:tcPr>
          <w:p>
            <w:pPr>
              <w:jc w:val="right"/>
              <w:ind w:right="419"/>
              <w:spacing w:after="0"/>
              <w:rPr>
                <w:sz w:val="20"/>
                <w:szCs w:val="20"/>
                <w:color w:val="auto"/>
              </w:rPr>
            </w:pPr>
            <w:r>
              <w:rPr>
                <w:rFonts w:ascii="Arial" w:cs="Arial" w:eastAsia="Arial" w:hAnsi="Arial"/>
                <w:sz w:val="12"/>
                <w:szCs w:val="12"/>
                <w:color w:val="282A32"/>
              </w:rPr>
              <w:t>(4.8)</w:t>
            </w:r>
          </w:p>
        </w:tc>
        <w:tc>
          <w:tcPr>
            <w:tcW w:w="1260" w:type="dxa"/>
            <w:vAlign w:val="bottom"/>
          </w:tcPr>
          <w:p>
            <w:pPr>
              <w:jc w:val="right"/>
              <w:ind w:right="379"/>
              <w:spacing w:after="0"/>
              <w:rPr>
                <w:sz w:val="20"/>
                <w:szCs w:val="20"/>
                <w:color w:val="auto"/>
              </w:rPr>
            </w:pPr>
            <w:r>
              <w:rPr>
                <w:rFonts w:ascii="Arial" w:cs="Arial" w:eastAsia="Arial" w:hAnsi="Arial"/>
                <w:sz w:val="12"/>
                <w:szCs w:val="12"/>
                <w:color w:val="282A32"/>
              </w:rPr>
              <w:t>(0.3)</w:t>
            </w:r>
          </w:p>
        </w:tc>
        <w:tc>
          <w:tcPr>
            <w:tcW w:w="1260" w:type="dxa"/>
            <w:vAlign w:val="bottom"/>
          </w:tcPr>
          <w:p>
            <w:pPr>
              <w:jc w:val="right"/>
              <w:ind w:right="360"/>
              <w:spacing w:after="0"/>
              <w:rPr>
                <w:sz w:val="20"/>
                <w:szCs w:val="20"/>
                <w:color w:val="auto"/>
              </w:rPr>
            </w:pPr>
            <w:r>
              <w:rPr>
                <w:rFonts w:ascii="Arial" w:cs="Arial" w:eastAsia="Arial" w:hAnsi="Arial"/>
                <w:sz w:val="12"/>
                <w:szCs w:val="12"/>
                <w:color w:val="282A32"/>
              </w:rPr>
              <w:t>(4.5)</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282A32"/>
              </w:rPr>
              <w:t>(4.5)</w:t>
            </w: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Southern Europe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1,492.5</w:t>
            </w: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282A32"/>
              </w:rPr>
              <w:t>6.3</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(0.2)</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282A32"/>
              </w:rPr>
              <w:t>6.5</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6.5</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7,497.6</w:t>
            </w: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282A32"/>
              </w:rPr>
              <w:t>2.8</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(0.2)</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282A32"/>
              </w:rPr>
              <w:t>3.0</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3.0</w:t>
            </w:r>
          </w:p>
        </w:tc>
        <w:tc>
          <w:tcPr>
            <w:tcW w:w="0" w:type="dxa"/>
            <w:vAlign w:val="bottom"/>
          </w:tcPr>
          <w:p>
            <w:pPr>
              <w:spacing w:after="0"/>
              <w:rPr>
                <w:sz w:val="1"/>
                <w:szCs w:val="1"/>
                <w:color w:val="auto"/>
              </w:rPr>
            </w:pPr>
          </w:p>
        </w:tc>
      </w:tr>
      <w:tr>
        <w:trPr>
          <w:trHeight w:val="169"/>
        </w:trPr>
        <w:tc>
          <w:tcPr>
            <w:tcW w:w="3760" w:type="dxa"/>
            <w:vAlign w:val="bottom"/>
          </w:tcPr>
          <w:p>
            <w:pPr>
              <w:ind w:left="20"/>
              <w:spacing w:after="0"/>
              <w:rPr>
                <w:sz w:val="20"/>
                <w:szCs w:val="20"/>
                <w:color w:val="auto"/>
              </w:rPr>
            </w:pPr>
            <w:r>
              <w:rPr>
                <w:rFonts w:ascii="Arial" w:cs="Arial" w:eastAsia="Arial" w:hAnsi="Arial"/>
                <w:sz w:val="12"/>
                <w:szCs w:val="12"/>
                <w:color w:val="282A32"/>
              </w:rPr>
              <w:t>Northern Europe</w:t>
            </w:r>
          </w:p>
        </w:tc>
        <w:tc>
          <w:tcPr>
            <w:tcW w:w="360" w:type="dxa"/>
            <w:vAlign w:val="bottom"/>
          </w:tcPr>
          <w:p>
            <w:pPr>
              <w:spacing w:after="0"/>
              <w:rPr>
                <w:sz w:val="14"/>
                <w:szCs w:val="14"/>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5,129.1</w:t>
            </w:r>
          </w:p>
        </w:tc>
        <w:tc>
          <w:tcPr>
            <w:tcW w:w="1340" w:type="dxa"/>
            <w:vAlign w:val="bottom"/>
          </w:tcPr>
          <w:p>
            <w:pPr>
              <w:jc w:val="right"/>
              <w:ind w:right="459"/>
              <w:spacing w:after="0"/>
              <w:rPr>
                <w:sz w:val="20"/>
                <w:szCs w:val="20"/>
                <w:color w:val="auto"/>
              </w:rPr>
            </w:pPr>
            <w:r>
              <w:rPr>
                <w:rFonts w:ascii="Arial" w:cs="Arial" w:eastAsia="Arial" w:hAnsi="Arial"/>
                <w:sz w:val="12"/>
                <w:szCs w:val="12"/>
                <w:color w:val="282A32"/>
              </w:rPr>
              <w:t>1.9</w:t>
            </w:r>
          </w:p>
        </w:tc>
        <w:tc>
          <w:tcPr>
            <w:tcW w:w="1260" w:type="dxa"/>
            <w:vAlign w:val="bottom"/>
          </w:tcPr>
          <w:p>
            <w:pPr>
              <w:jc w:val="right"/>
              <w:ind w:right="379"/>
              <w:spacing w:after="0"/>
              <w:rPr>
                <w:sz w:val="20"/>
                <w:szCs w:val="20"/>
                <w:color w:val="auto"/>
              </w:rPr>
            </w:pPr>
            <w:r>
              <w:rPr>
                <w:rFonts w:ascii="Arial" w:cs="Arial" w:eastAsia="Arial" w:hAnsi="Arial"/>
                <w:sz w:val="12"/>
                <w:szCs w:val="12"/>
                <w:color w:val="282A32"/>
              </w:rPr>
              <w:t>(5.4)</w:t>
            </w:r>
          </w:p>
        </w:tc>
        <w:tc>
          <w:tcPr>
            <w:tcW w:w="1260" w:type="dxa"/>
            <w:vAlign w:val="bottom"/>
          </w:tcPr>
          <w:p>
            <w:pPr>
              <w:jc w:val="right"/>
              <w:ind w:right="400"/>
              <w:spacing w:after="0"/>
              <w:rPr>
                <w:sz w:val="20"/>
                <w:szCs w:val="20"/>
                <w:color w:val="auto"/>
              </w:rPr>
            </w:pPr>
            <w:r>
              <w:rPr>
                <w:rFonts w:ascii="Arial" w:cs="Arial" w:eastAsia="Arial" w:hAnsi="Arial"/>
                <w:sz w:val="12"/>
                <w:szCs w:val="12"/>
                <w:color w:val="282A32"/>
              </w:rPr>
              <w:t>7.3</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6.1</w:t>
            </w:r>
          </w:p>
        </w:tc>
        <w:tc>
          <w:tcPr>
            <w:tcW w:w="1120" w:type="dxa"/>
            <w:vAlign w:val="bottom"/>
          </w:tcPr>
          <w:p>
            <w:pPr>
              <w:jc w:val="right"/>
              <w:ind w:right="120"/>
              <w:spacing w:after="0"/>
              <w:rPr>
                <w:sz w:val="20"/>
                <w:szCs w:val="20"/>
                <w:color w:val="auto"/>
              </w:rPr>
            </w:pPr>
            <w:r>
              <w:rPr>
                <w:rFonts w:ascii="Arial" w:cs="Arial" w:eastAsia="Arial" w:hAnsi="Arial"/>
                <w:sz w:val="12"/>
                <w:szCs w:val="12"/>
                <w:color w:val="282A32"/>
              </w:rPr>
              <w:t>1.2</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APME</w:t>
            </w:r>
          </w:p>
        </w:tc>
        <w:tc>
          <w:tcPr>
            <w:tcW w:w="36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2,471.3</w:t>
            </w:r>
          </w:p>
        </w:tc>
        <w:tc>
          <w:tcPr>
            <w:tcW w:w="1340" w:type="dxa"/>
            <w:vAlign w:val="bottom"/>
          </w:tcPr>
          <w:p>
            <w:pPr>
              <w:jc w:val="right"/>
              <w:ind w:right="459"/>
              <w:spacing w:after="0"/>
              <w:rPr>
                <w:sz w:val="20"/>
                <w:szCs w:val="20"/>
                <w:color w:val="auto"/>
              </w:rPr>
            </w:pPr>
            <w:r>
              <w:rPr>
                <w:rFonts w:ascii="Arial" w:cs="Arial" w:eastAsia="Arial" w:hAnsi="Arial"/>
                <w:sz w:val="12"/>
                <w:szCs w:val="12"/>
                <w:color w:val="282A32"/>
              </w:rPr>
              <w:t>10.4</w:t>
            </w:r>
          </w:p>
        </w:tc>
        <w:tc>
          <w:tcPr>
            <w:tcW w:w="1260" w:type="dxa"/>
            <w:vAlign w:val="bottom"/>
          </w:tcPr>
          <w:p>
            <w:pPr>
              <w:jc w:val="right"/>
              <w:ind w:right="419"/>
              <w:spacing w:after="0"/>
              <w:rPr>
                <w:sz w:val="20"/>
                <w:szCs w:val="20"/>
                <w:color w:val="auto"/>
              </w:rPr>
            </w:pPr>
            <w:r>
              <w:rPr>
                <w:rFonts w:ascii="Arial" w:cs="Arial" w:eastAsia="Arial" w:hAnsi="Arial"/>
                <w:sz w:val="12"/>
                <w:szCs w:val="12"/>
                <w:color w:val="282A32"/>
              </w:rPr>
              <w:t>2.3</w:t>
            </w:r>
          </w:p>
        </w:tc>
        <w:tc>
          <w:tcPr>
            <w:tcW w:w="1260" w:type="dxa"/>
            <w:vAlign w:val="bottom"/>
          </w:tcPr>
          <w:p>
            <w:pPr>
              <w:jc w:val="right"/>
              <w:ind w:right="400"/>
              <w:spacing w:after="0"/>
              <w:rPr>
                <w:sz w:val="20"/>
                <w:szCs w:val="20"/>
                <w:color w:val="auto"/>
              </w:rPr>
            </w:pPr>
            <w:r>
              <w:rPr>
                <w:rFonts w:ascii="Arial" w:cs="Arial" w:eastAsia="Arial" w:hAnsi="Arial"/>
                <w:sz w:val="12"/>
                <w:szCs w:val="12"/>
                <w:color w:val="282A32"/>
              </w:rPr>
              <w:t>8.1</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2.3</w:t>
            </w:r>
          </w:p>
        </w:tc>
        <w:tc>
          <w:tcPr>
            <w:tcW w:w="1120" w:type="dxa"/>
            <w:vAlign w:val="bottom"/>
          </w:tcPr>
          <w:p>
            <w:pPr>
              <w:jc w:val="right"/>
              <w:ind w:right="120"/>
              <w:spacing w:after="0"/>
              <w:rPr>
                <w:sz w:val="20"/>
                <w:szCs w:val="20"/>
                <w:color w:val="auto"/>
              </w:rPr>
            </w:pPr>
            <w:r>
              <w:rPr>
                <w:rFonts w:ascii="Arial" w:cs="Arial" w:eastAsia="Arial" w:hAnsi="Arial"/>
                <w:sz w:val="12"/>
                <w:szCs w:val="12"/>
                <w:color w:val="282A32"/>
              </w:rPr>
              <w:t>5.8</w:t>
            </w: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Right Management</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258.9</w:t>
            </w: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282A32"/>
              </w:rPr>
              <w:t>(5.4)</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(2.0)</w:t>
            </w:r>
          </w:p>
        </w:tc>
        <w:tc>
          <w:tcPr>
            <w:tcW w:w="12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(3.4)</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282A32"/>
              </w:rPr>
              <w:t>(3.4)</w:t>
            </w:r>
          </w:p>
        </w:tc>
        <w:tc>
          <w:tcPr>
            <w:tcW w:w="0" w:type="dxa"/>
            <w:vAlign w:val="bottom"/>
          </w:tcPr>
          <w:p>
            <w:pPr>
              <w:spacing w:after="0"/>
              <w:rPr>
                <w:sz w:val="1"/>
                <w:szCs w:val="1"/>
                <w:color w:val="auto"/>
              </w:rPr>
            </w:pPr>
          </w:p>
        </w:tc>
      </w:tr>
      <w:tr>
        <w:trPr>
          <w:trHeight w:val="177"/>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ManpowerGroup</w:t>
            </w:r>
          </w:p>
        </w:tc>
        <w:tc>
          <w:tcPr>
            <w:tcW w:w="3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282A32"/>
              </w:rPr>
              <w:t>$</w:t>
            </w: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19,654.1</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1.7%</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282A32"/>
              </w:rPr>
              <w:t>(2.4)%</w:t>
            </w:r>
          </w:p>
        </w:tc>
        <w:tc>
          <w:tcPr>
            <w:tcW w:w="12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4.1%</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282A32"/>
              </w:rPr>
              <w:t>2.3 %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1.8%</w:t>
            </w:r>
          </w:p>
        </w:tc>
        <w:tc>
          <w:tcPr>
            <w:tcW w:w="0" w:type="dxa"/>
            <w:vAlign w:val="bottom"/>
          </w:tcPr>
          <w:p>
            <w:pPr>
              <w:spacing w:after="0"/>
              <w:rPr>
                <w:sz w:val="1"/>
                <w:szCs w:val="1"/>
                <w:color w:val="auto"/>
              </w:rPr>
            </w:pPr>
          </w:p>
        </w:tc>
      </w:tr>
      <w:tr>
        <w:trPr>
          <w:trHeight w:val="169"/>
        </w:trPr>
        <w:tc>
          <w:tcPr>
            <w:tcW w:w="3760" w:type="dxa"/>
            <w:vAlign w:val="bottom"/>
          </w:tcPr>
          <w:p>
            <w:pPr>
              <w:ind w:left="20"/>
              <w:spacing w:after="0"/>
              <w:rPr>
                <w:sz w:val="20"/>
                <w:szCs w:val="20"/>
                <w:color w:val="auto"/>
              </w:rPr>
            </w:pPr>
            <w:r>
              <w:rPr>
                <w:rFonts w:ascii="Arial" w:cs="Arial" w:eastAsia="Arial" w:hAnsi="Arial"/>
                <w:sz w:val="12"/>
                <w:szCs w:val="12"/>
                <w:color w:val="2989B9"/>
              </w:rPr>
              <w:t>Gross Profit - ManpowerGroup</w:t>
            </w:r>
          </w:p>
        </w:tc>
        <w:tc>
          <w:tcPr>
            <w:tcW w:w="3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360"/>
              <w:spacing w:after="0"/>
              <w:rPr>
                <w:sz w:val="20"/>
                <w:szCs w:val="20"/>
                <w:color w:val="auto"/>
              </w:rPr>
            </w:pPr>
            <w:r>
              <w:rPr>
                <w:rFonts w:ascii="Arial" w:cs="Arial" w:eastAsia="Arial" w:hAnsi="Arial"/>
                <w:sz w:val="12"/>
                <w:szCs w:val="12"/>
                <w:color w:val="auto"/>
              </w:rPr>
              <w:t>3,333.8</w:t>
            </w:r>
          </w:p>
        </w:tc>
        <w:tc>
          <w:tcPr>
            <w:tcW w:w="1340" w:type="dxa"/>
            <w:vAlign w:val="bottom"/>
          </w:tcPr>
          <w:p>
            <w:pPr>
              <w:jc w:val="right"/>
              <w:ind w:right="359"/>
              <w:spacing w:after="0"/>
              <w:rPr>
                <w:sz w:val="20"/>
                <w:szCs w:val="20"/>
                <w:color w:val="auto"/>
              </w:rPr>
            </w:pPr>
            <w:r>
              <w:rPr>
                <w:rFonts w:ascii="Arial" w:cs="Arial" w:eastAsia="Arial" w:hAnsi="Arial"/>
                <w:sz w:val="12"/>
                <w:szCs w:val="12"/>
                <w:color w:val="auto"/>
              </w:rPr>
              <w:t>1.2%</w:t>
            </w:r>
          </w:p>
        </w:tc>
        <w:tc>
          <w:tcPr>
            <w:tcW w:w="1260" w:type="dxa"/>
            <w:vAlign w:val="bottom"/>
          </w:tcPr>
          <w:p>
            <w:pPr>
              <w:jc w:val="right"/>
              <w:ind w:right="279"/>
              <w:spacing w:after="0"/>
              <w:rPr>
                <w:sz w:val="20"/>
                <w:szCs w:val="20"/>
                <w:color w:val="auto"/>
              </w:rPr>
            </w:pPr>
            <w:r>
              <w:rPr>
                <w:rFonts w:ascii="Arial" w:cs="Arial" w:eastAsia="Arial" w:hAnsi="Arial"/>
                <w:sz w:val="12"/>
                <w:szCs w:val="12"/>
                <w:color w:val="auto"/>
              </w:rPr>
              <w:t>(2.1)%</w:t>
            </w:r>
          </w:p>
        </w:tc>
        <w:tc>
          <w:tcPr>
            <w:tcW w:w="1260" w:type="dxa"/>
            <w:vAlign w:val="bottom"/>
          </w:tcPr>
          <w:p>
            <w:pPr>
              <w:jc w:val="right"/>
              <w:ind w:right="280"/>
              <w:spacing w:after="0"/>
              <w:rPr>
                <w:sz w:val="20"/>
                <w:szCs w:val="20"/>
                <w:color w:val="auto"/>
              </w:rPr>
            </w:pPr>
            <w:r>
              <w:rPr>
                <w:rFonts w:ascii="Arial" w:cs="Arial" w:eastAsia="Arial" w:hAnsi="Arial"/>
                <w:sz w:val="12"/>
                <w:szCs w:val="12"/>
                <w:color w:val="auto"/>
              </w:rPr>
              <w:t>3.3%</w:t>
            </w: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2.9 %</w:t>
            </w:r>
          </w:p>
        </w:tc>
        <w:tc>
          <w:tcPr>
            <w:tcW w:w="1120" w:type="dxa"/>
            <w:vAlign w:val="bottom"/>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207"/>
        </w:trPr>
        <w:tc>
          <w:tcPr>
            <w:tcW w:w="3760" w:type="dxa"/>
            <w:vAlign w:val="bottom"/>
          </w:tcPr>
          <w:p>
            <w:pPr>
              <w:ind w:left="20"/>
              <w:spacing w:after="0"/>
              <w:rPr>
                <w:sz w:val="20"/>
                <w:szCs w:val="20"/>
                <w:color w:val="auto"/>
              </w:rPr>
            </w:pPr>
            <w:r>
              <w:rPr>
                <w:rFonts w:ascii="Arial" w:cs="Arial" w:eastAsia="Arial" w:hAnsi="Arial"/>
                <w:sz w:val="12"/>
                <w:szCs w:val="12"/>
                <w:color w:val="2989B9"/>
              </w:rPr>
              <w:t>Operating Unit Profit</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60" w:type="dxa"/>
            <w:vAlign w:val="bottom"/>
          </w:tcPr>
          <w:p>
            <w:pPr>
              <w:ind w:left="20"/>
              <w:spacing w:after="0"/>
              <w:rPr>
                <w:sz w:val="20"/>
                <w:szCs w:val="20"/>
                <w:color w:val="auto"/>
              </w:rPr>
            </w:pPr>
            <w:r>
              <w:rPr>
                <w:rFonts w:ascii="Arial" w:cs="Arial" w:eastAsia="Arial" w:hAnsi="Arial"/>
                <w:sz w:val="12"/>
                <w:szCs w:val="12"/>
                <w:color w:val="282A32"/>
              </w:rPr>
              <w:t>Americas: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United States</w:t>
            </w:r>
          </w:p>
        </w:tc>
        <w:tc>
          <w:tcPr>
            <w:tcW w:w="360" w:type="dxa"/>
            <w:vAlign w:val="bottom"/>
          </w:tcPr>
          <w:p>
            <w:pPr>
              <w:jc w:val="right"/>
              <w:ind w:right="198"/>
              <w:spacing w:after="0"/>
              <w:rPr>
                <w:sz w:val="20"/>
                <w:szCs w:val="20"/>
                <w:color w:val="auto"/>
              </w:rPr>
            </w:pPr>
            <w:r>
              <w:rPr>
                <w:rFonts w:ascii="Arial" w:cs="Arial" w:eastAsia="Arial" w:hAnsi="Arial"/>
                <w:sz w:val="12"/>
                <w:szCs w:val="12"/>
                <w:color w:val="282A32"/>
              </w:rPr>
              <w:t>$</w:t>
            </w: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142.9</w:t>
            </w:r>
          </w:p>
        </w:tc>
        <w:tc>
          <w:tcPr>
            <w:tcW w:w="1340" w:type="dxa"/>
            <w:vAlign w:val="bottom"/>
          </w:tcPr>
          <w:p>
            <w:pPr>
              <w:jc w:val="right"/>
              <w:ind w:right="319"/>
              <w:spacing w:after="0"/>
              <w:rPr>
                <w:sz w:val="20"/>
                <w:szCs w:val="20"/>
                <w:color w:val="auto"/>
              </w:rPr>
            </w:pPr>
            <w:r>
              <w:rPr>
                <w:rFonts w:ascii="Arial" w:cs="Arial" w:eastAsia="Arial" w:hAnsi="Arial"/>
                <w:sz w:val="12"/>
                <w:szCs w:val="12"/>
                <w:color w:val="282A32"/>
              </w:rPr>
              <w:t>(0.7)%</w:t>
            </w:r>
          </w:p>
        </w:tc>
        <w:tc>
          <w:tcPr>
            <w:tcW w:w="1260" w:type="dxa"/>
            <w:vAlign w:val="bottom"/>
          </w:tcPr>
          <w:p>
            <w:pPr>
              <w:jc w:val="right"/>
              <w:ind w:right="279"/>
              <w:spacing w:after="0"/>
              <w:rPr>
                <w:sz w:val="20"/>
                <w:szCs w:val="20"/>
                <w:color w:val="auto"/>
              </w:rPr>
            </w:pPr>
            <w:r>
              <w:rPr>
                <w:rFonts w:ascii="Arial" w:cs="Arial" w:eastAsia="Arial" w:hAnsi="Arial"/>
                <w:sz w:val="12"/>
                <w:szCs w:val="12"/>
                <w:color w:val="282A32"/>
              </w:rPr>
              <w:t>— %</w:t>
            </w:r>
          </w:p>
        </w:tc>
        <w:tc>
          <w:tcPr>
            <w:tcW w:w="1260" w:type="dxa"/>
            <w:vAlign w:val="bottom"/>
          </w:tcPr>
          <w:p>
            <w:pPr>
              <w:jc w:val="right"/>
              <w:ind w:right="240"/>
              <w:spacing w:after="0"/>
              <w:rPr>
                <w:sz w:val="20"/>
                <w:szCs w:val="20"/>
                <w:color w:val="auto"/>
              </w:rPr>
            </w:pPr>
            <w:r>
              <w:rPr>
                <w:rFonts w:ascii="Arial" w:cs="Arial" w:eastAsia="Arial" w:hAnsi="Arial"/>
                <w:sz w:val="12"/>
                <w:szCs w:val="12"/>
                <w:color w:val="282A32"/>
              </w:rPr>
              <w:t>(0.7)%</w:t>
            </w:r>
          </w:p>
        </w:tc>
        <w:tc>
          <w:tcPr>
            <w:tcW w:w="1180" w:type="dxa"/>
            <w:vAlign w:val="bottom"/>
          </w:tcPr>
          <w:p>
            <w:pPr>
              <w:jc w:val="right"/>
              <w:ind w:right="140"/>
              <w:spacing w:after="0"/>
              <w:rPr>
                <w:sz w:val="20"/>
                <w:szCs w:val="20"/>
                <w:color w:val="auto"/>
              </w:rPr>
            </w:pPr>
            <w:r>
              <w:rPr>
                <w:rFonts w:ascii="Arial" w:cs="Arial" w:eastAsia="Arial" w:hAnsi="Arial"/>
                <w:sz w:val="12"/>
                <w:szCs w:val="12"/>
                <w:color w:val="282A32"/>
              </w:rPr>
              <w:t>2.1 %</w:t>
            </w:r>
          </w:p>
        </w:tc>
        <w:tc>
          <w:tcPr>
            <w:tcW w:w="1120" w:type="dxa"/>
            <w:vAlign w:val="bottom"/>
          </w:tcPr>
          <w:p>
            <w:pPr>
              <w:jc w:val="right"/>
              <w:spacing w:after="0"/>
              <w:rPr>
                <w:sz w:val="20"/>
                <w:szCs w:val="20"/>
                <w:color w:val="auto"/>
              </w:rPr>
            </w:pPr>
            <w:r>
              <w:rPr>
                <w:rFonts w:ascii="Arial" w:cs="Arial" w:eastAsia="Arial" w:hAnsi="Arial"/>
                <w:sz w:val="12"/>
                <w:szCs w:val="12"/>
                <w:color w:val="282A32"/>
              </w:rPr>
              <w:t>(2.8)%</w:t>
            </w: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Americas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53.6</w:t>
            </w: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282A32"/>
              </w:rPr>
              <w:t>(5.9)</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(16.3)</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282A32"/>
              </w:rPr>
              <w:t>10.4</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7.7</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2.7</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196.5</w:t>
            </w: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282A32"/>
              </w:rPr>
              <w:t>(2.1)</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(4.6)</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282A32"/>
              </w:rPr>
              <w:t>2.5</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3.8</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282A32"/>
              </w:rPr>
              <w:t>(1.3)</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Arial" w:cs="Arial" w:eastAsia="Arial" w:hAnsi="Arial"/>
                <w:sz w:val="12"/>
                <w:szCs w:val="12"/>
                <w:color w:val="282A32"/>
              </w:rPr>
              <w:t>Southern Europe: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France</w:t>
            </w:r>
          </w:p>
        </w:tc>
        <w:tc>
          <w:tcPr>
            <w:tcW w:w="36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250.6</w:t>
            </w:r>
          </w:p>
        </w:tc>
        <w:tc>
          <w:tcPr>
            <w:tcW w:w="1340" w:type="dxa"/>
            <w:vAlign w:val="bottom"/>
          </w:tcPr>
          <w:p>
            <w:pPr>
              <w:jc w:val="right"/>
              <w:ind w:right="419"/>
              <w:spacing w:after="0"/>
              <w:rPr>
                <w:sz w:val="20"/>
                <w:szCs w:val="20"/>
                <w:color w:val="auto"/>
              </w:rPr>
            </w:pPr>
            <w:r>
              <w:rPr>
                <w:rFonts w:ascii="Arial" w:cs="Arial" w:eastAsia="Arial" w:hAnsi="Arial"/>
                <w:sz w:val="12"/>
                <w:szCs w:val="12"/>
                <w:color w:val="282A32"/>
              </w:rPr>
              <w:t>(3.2)</w:t>
            </w:r>
          </w:p>
        </w:tc>
        <w:tc>
          <w:tcPr>
            <w:tcW w:w="1260" w:type="dxa"/>
            <w:vAlign w:val="bottom"/>
          </w:tcPr>
          <w:p>
            <w:pPr>
              <w:jc w:val="right"/>
              <w:ind w:right="379"/>
              <w:spacing w:after="0"/>
              <w:rPr>
                <w:sz w:val="20"/>
                <w:szCs w:val="20"/>
                <w:color w:val="auto"/>
              </w:rPr>
            </w:pPr>
            <w:r>
              <w:rPr>
                <w:rFonts w:ascii="Arial" w:cs="Arial" w:eastAsia="Arial" w:hAnsi="Arial"/>
                <w:sz w:val="12"/>
                <w:szCs w:val="12"/>
                <w:color w:val="282A32"/>
              </w:rPr>
              <w:t>(0.1)</w:t>
            </w:r>
          </w:p>
        </w:tc>
        <w:tc>
          <w:tcPr>
            <w:tcW w:w="1260" w:type="dxa"/>
            <w:vAlign w:val="bottom"/>
          </w:tcPr>
          <w:p>
            <w:pPr>
              <w:jc w:val="right"/>
              <w:ind w:right="360"/>
              <w:spacing w:after="0"/>
              <w:rPr>
                <w:sz w:val="20"/>
                <w:szCs w:val="20"/>
                <w:color w:val="auto"/>
              </w:rPr>
            </w:pPr>
            <w:r>
              <w:rPr>
                <w:rFonts w:ascii="Arial" w:cs="Arial" w:eastAsia="Arial" w:hAnsi="Arial"/>
                <w:sz w:val="12"/>
                <w:szCs w:val="12"/>
                <w:color w:val="282A32"/>
              </w:rPr>
              <w:t>(3.1)</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282A32"/>
              </w:rPr>
              <w:t>(3.1)</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Italy</w:t>
            </w:r>
          </w:p>
        </w:tc>
        <w:tc>
          <w:tcPr>
            <w:tcW w:w="36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79.1</w:t>
            </w:r>
          </w:p>
        </w:tc>
        <w:tc>
          <w:tcPr>
            <w:tcW w:w="1340" w:type="dxa"/>
            <w:vAlign w:val="bottom"/>
          </w:tcPr>
          <w:p>
            <w:pPr>
              <w:jc w:val="right"/>
              <w:ind w:right="459"/>
              <w:spacing w:after="0"/>
              <w:rPr>
                <w:sz w:val="20"/>
                <w:szCs w:val="20"/>
                <w:color w:val="auto"/>
              </w:rPr>
            </w:pPr>
            <w:r>
              <w:rPr>
                <w:rFonts w:ascii="Arial" w:cs="Arial" w:eastAsia="Arial" w:hAnsi="Arial"/>
                <w:sz w:val="12"/>
                <w:szCs w:val="12"/>
                <w:color w:val="282A32"/>
              </w:rPr>
              <w:t>11.6</w:t>
            </w:r>
          </w:p>
        </w:tc>
        <w:tc>
          <w:tcPr>
            <w:tcW w:w="1260" w:type="dxa"/>
            <w:vAlign w:val="bottom"/>
          </w:tcPr>
          <w:p>
            <w:pPr>
              <w:jc w:val="right"/>
              <w:ind w:right="419"/>
              <w:spacing w:after="0"/>
              <w:rPr>
                <w:sz w:val="20"/>
                <w:szCs w:val="20"/>
                <w:color w:val="auto"/>
              </w:rPr>
            </w:pPr>
            <w:r>
              <w:rPr>
                <w:rFonts w:ascii="Arial" w:cs="Arial" w:eastAsia="Arial" w:hAnsi="Arial"/>
                <w:sz w:val="12"/>
                <w:szCs w:val="12"/>
                <w:color w:val="282A32"/>
              </w:rPr>
              <w:t>—</w:t>
            </w:r>
          </w:p>
        </w:tc>
        <w:tc>
          <w:tcPr>
            <w:tcW w:w="1260" w:type="dxa"/>
            <w:vAlign w:val="bottom"/>
          </w:tcPr>
          <w:p>
            <w:pPr>
              <w:jc w:val="right"/>
              <w:ind w:right="400"/>
              <w:spacing w:after="0"/>
              <w:rPr>
                <w:sz w:val="20"/>
                <w:szCs w:val="20"/>
                <w:color w:val="auto"/>
              </w:rPr>
            </w:pPr>
            <w:r>
              <w:rPr>
                <w:rFonts w:ascii="Arial" w:cs="Arial" w:eastAsia="Arial" w:hAnsi="Arial"/>
                <w:sz w:val="12"/>
                <w:szCs w:val="12"/>
                <w:color w:val="282A32"/>
              </w:rPr>
              <w:t>11.6</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w:t>
            </w:r>
          </w:p>
        </w:tc>
        <w:tc>
          <w:tcPr>
            <w:tcW w:w="1120" w:type="dxa"/>
            <w:vAlign w:val="bottom"/>
          </w:tcPr>
          <w:p>
            <w:pPr>
              <w:jc w:val="right"/>
              <w:ind w:right="120"/>
              <w:spacing w:after="0"/>
              <w:rPr>
                <w:sz w:val="20"/>
                <w:szCs w:val="20"/>
                <w:color w:val="auto"/>
              </w:rPr>
            </w:pPr>
            <w:r>
              <w:rPr>
                <w:rFonts w:ascii="Arial" w:cs="Arial" w:eastAsia="Arial" w:hAnsi="Arial"/>
                <w:sz w:val="12"/>
                <w:szCs w:val="12"/>
                <w:color w:val="282A32"/>
              </w:rPr>
              <w:t>11.6</w:t>
            </w: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Southern Europe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47.2</w:t>
            </w: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282A32"/>
              </w:rPr>
              <w:t>18.4</w:t>
            </w: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282A32"/>
              </w:rPr>
              <w:t>0.1</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282A32"/>
              </w:rPr>
              <w:t>18.3</w:t>
            </w: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282A32"/>
              </w:rPr>
              <w:t>(0.6)</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18.9</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376.9</w:t>
            </w: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282A32"/>
              </w:rPr>
              <w:t>2.0</w:t>
            </w: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282A32"/>
              </w:rPr>
              <w:t>—</w:t>
            </w: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282A32"/>
              </w:rPr>
              <w:t>2.0</w:t>
            </w: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282A32"/>
              </w:rPr>
              <w:t>(0.1)</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2.1</w:t>
            </w:r>
          </w:p>
        </w:tc>
        <w:tc>
          <w:tcPr>
            <w:tcW w:w="0" w:type="dxa"/>
            <w:vAlign w:val="bottom"/>
          </w:tcPr>
          <w:p>
            <w:pPr>
              <w:spacing w:after="0"/>
              <w:rPr>
                <w:sz w:val="1"/>
                <w:szCs w:val="1"/>
                <w:color w:val="auto"/>
              </w:rPr>
            </w:pPr>
          </w:p>
        </w:tc>
      </w:tr>
      <w:tr>
        <w:trPr>
          <w:trHeight w:val="169"/>
        </w:trPr>
        <w:tc>
          <w:tcPr>
            <w:tcW w:w="3760" w:type="dxa"/>
            <w:vAlign w:val="bottom"/>
          </w:tcPr>
          <w:p>
            <w:pPr>
              <w:ind w:left="20"/>
              <w:spacing w:after="0"/>
              <w:rPr>
                <w:sz w:val="20"/>
                <w:szCs w:val="20"/>
                <w:color w:val="auto"/>
              </w:rPr>
            </w:pPr>
            <w:r>
              <w:rPr>
                <w:rFonts w:ascii="Arial" w:cs="Arial" w:eastAsia="Arial" w:hAnsi="Arial"/>
                <w:sz w:val="12"/>
                <w:szCs w:val="12"/>
                <w:color w:val="282A32"/>
              </w:rPr>
              <w:t>Northern Europe</w:t>
            </w:r>
          </w:p>
        </w:tc>
        <w:tc>
          <w:tcPr>
            <w:tcW w:w="360" w:type="dxa"/>
            <w:vAlign w:val="bottom"/>
          </w:tcPr>
          <w:p>
            <w:pPr>
              <w:spacing w:after="0"/>
              <w:rPr>
                <w:sz w:val="14"/>
                <w:szCs w:val="14"/>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173.0</w:t>
            </w:r>
          </w:p>
        </w:tc>
        <w:tc>
          <w:tcPr>
            <w:tcW w:w="1340" w:type="dxa"/>
            <w:vAlign w:val="bottom"/>
          </w:tcPr>
          <w:p>
            <w:pPr>
              <w:jc w:val="right"/>
              <w:ind w:right="459"/>
              <w:spacing w:after="0"/>
              <w:rPr>
                <w:sz w:val="20"/>
                <w:szCs w:val="20"/>
                <w:color w:val="auto"/>
              </w:rPr>
            </w:pPr>
            <w:r>
              <w:rPr>
                <w:rFonts w:ascii="Arial" w:cs="Arial" w:eastAsia="Arial" w:hAnsi="Arial"/>
                <w:sz w:val="12"/>
                <w:szCs w:val="12"/>
                <w:color w:val="282A32"/>
              </w:rPr>
              <w:t>19.6</w:t>
            </w:r>
          </w:p>
        </w:tc>
        <w:tc>
          <w:tcPr>
            <w:tcW w:w="1260" w:type="dxa"/>
            <w:vAlign w:val="bottom"/>
          </w:tcPr>
          <w:p>
            <w:pPr>
              <w:jc w:val="right"/>
              <w:ind w:right="379"/>
              <w:spacing w:after="0"/>
              <w:rPr>
                <w:sz w:val="20"/>
                <w:szCs w:val="20"/>
                <w:color w:val="auto"/>
              </w:rPr>
            </w:pPr>
            <w:r>
              <w:rPr>
                <w:rFonts w:ascii="Arial" w:cs="Arial" w:eastAsia="Arial" w:hAnsi="Arial"/>
                <w:sz w:val="12"/>
                <w:szCs w:val="12"/>
                <w:color w:val="282A32"/>
              </w:rPr>
              <w:t>(5.8)</w:t>
            </w:r>
          </w:p>
        </w:tc>
        <w:tc>
          <w:tcPr>
            <w:tcW w:w="1260" w:type="dxa"/>
            <w:vAlign w:val="bottom"/>
          </w:tcPr>
          <w:p>
            <w:pPr>
              <w:jc w:val="right"/>
              <w:ind w:right="400"/>
              <w:spacing w:after="0"/>
              <w:rPr>
                <w:sz w:val="20"/>
                <w:szCs w:val="20"/>
                <w:color w:val="auto"/>
              </w:rPr>
            </w:pPr>
            <w:r>
              <w:rPr>
                <w:rFonts w:ascii="Arial" w:cs="Arial" w:eastAsia="Arial" w:hAnsi="Arial"/>
                <w:sz w:val="12"/>
                <w:szCs w:val="12"/>
                <w:color w:val="282A32"/>
              </w:rPr>
              <w:t>25.4</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7.7</w:t>
            </w:r>
          </w:p>
        </w:tc>
        <w:tc>
          <w:tcPr>
            <w:tcW w:w="1120" w:type="dxa"/>
            <w:vAlign w:val="bottom"/>
          </w:tcPr>
          <w:p>
            <w:pPr>
              <w:jc w:val="right"/>
              <w:ind w:right="120"/>
              <w:spacing w:after="0"/>
              <w:rPr>
                <w:sz w:val="20"/>
                <w:szCs w:val="20"/>
                <w:color w:val="auto"/>
              </w:rPr>
            </w:pPr>
            <w:r>
              <w:rPr>
                <w:rFonts w:ascii="Arial" w:cs="Arial" w:eastAsia="Arial" w:hAnsi="Arial"/>
                <w:sz w:val="12"/>
                <w:szCs w:val="12"/>
                <w:color w:val="282A32"/>
              </w:rPr>
              <w:t>17.7</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APME</w:t>
            </w:r>
          </w:p>
        </w:tc>
        <w:tc>
          <w:tcPr>
            <w:tcW w:w="36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88.5</w:t>
            </w:r>
          </w:p>
        </w:tc>
        <w:tc>
          <w:tcPr>
            <w:tcW w:w="1340" w:type="dxa"/>
            <w:vAlign w:val="bottom"/>
          </w:tcPr>
          <w:p>
            <w:pPr>
              <w:jc w:val="right"/>
              <w:ind w:right="459"/>
              <w:spacing w:after="0"/>
              <w:rPr>
                <w:sz w:val="20"/>
                <w:szCs w:val="20"/>
                <w:color w:val="auto"/>
              </w:rPr>
            </w:pPr>
            <w:r>
              <w:rPr>
                <w:rFonts w:ascii="Arial" w:cs="Arial" w:eastAsia="Arial" w:hAnsi="Arial"/>
                <w:sz w:val="12"/>
                <w:szCs w:val="12"/>
                <w:color w:val="282A32"/>
              </w:rPr>
              <w:t>11.5</w:t>
            </w:r>
          </w:p>
        </w:tc>
        <w:tc>
          <w:tcPr>
            <w:tcW w:w="1260" w:type="dxa"/>
            <w:vAlign w:val="bottom"/>
          </w:tcPr>
          <w:p>
            <w:pPr>
              <w:jc w:val="right"/>
              <w:ind w:right="419"/>
              <w:spacing w:after="0"/>
              <w:rPr>
                <w:sz w:val="20"/>
                <w:szCs w:val="20"/>
                <w:color w:val="auto"/>
              </w:rPr>
            </w:pPr>
            <w:r>
              <w:rPr>
                <w:rFonts w:ascii="Arial" w:cs="Arial" w:eastAsia="Arial" w:hAnsi="Arial"/>
                <w:sz w:val="12"/>
                <w:szCs w:val="12"/>
                <w:color w:val="282A32"/>
              </w:rPr>
              <w:t>2.4</w:t>
            </w:r>
          </w:p>
        </w:tc>
        <w:tc>
          <w:tcPr>
            <w:tcW w:w="1260" w:type="dxa"/>
            <w:vAlign w:val="bottom"/>
          </w:tcPr>
          <w:p>
            <w:pPr>
              <w:jc w:val="right"/>
              <w:ind w:right="400"/>
              <w:spacing w:after="0"/>
              <w:rPr>
                <w:sz w:val="20"/>
                <w:szCs w:val="20"/>
                <w:color w:val="auto"/>
              </w:rPr>
            </w:pPr>
            <w:r>
              <w:rPr>
                <w:rFonts w:ascii="Arial" w:cs="Arial" w:eastAsia="Arial" w:hAnsi="Arial"/>
                <w:sz w:val="12"/>
                <w:szCs w:val="12"/>
                <w:color w:val="282A32"/>
              </w:rPr>
              <w:t>9.1</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1.8</w:t>
            </w:r>
          </w:p>
        </w:tc>
        <w:tc>
          <w:tcPr>
            <w:tcW w:w="1120" w:type="dxa"/>
            <w:vAlign w:val="bottom"/>
          </w:tcPr>
          <w:p>
            <w:pPr>
              <w:jc w:val="right"/>
              <w:ind w:right="120"/>
              <w:spacing w:after="0"/>
              <w:rPr>
                <w:sz w:val="20"/>
                <w:szCs w:val="20"/>
                <w:color w:val="auto"/>
              </w:rPr>
            </w:pPr>
            <w:r>
              <w:rPr>
                <w:rFonts w:ascii="Arial" w:cs="Arial" w:eastAsia="Arial" w:hAnsi="Arial"/>
                <w:sz w:val="12"/>
                <w:szCs w:val="12"/>
                <w:color w:val="282A32"/>
              </w:rPr>
              <w:t>7.3</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2"/>
                <w:szCs w:val="12"/>
                <w:color w:val="282A32"/>
              </w:rPr>
              <w:t>Right Management</w:t>
            </w:r>
          </w:p>
        </w:tc>
        <w:tc>
          <w:tcPr>
            <w:tcW w:w="36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44.7</w:t>
            </w:r>
          </w:p>
        </w:tc>
        <w:tc>
          <w:tcPr>
            <w:tcW w:w="1340" w:type="dxa"/>
            <w:vAlign w:val="bottom"/>
          </w:tcPr>
          <w:p>
            <w:pPr>
              <w:jc w:val="right"/>
              <w:ind w:right="459"/>
              <w:spacing w:after="0"/>
              <w:rPr>
                <w:sz w:val="20"/>
                <w:szCs w:val="20"/>
                <w:color w:val="auto"/>
              </w:rPr>
            </w:pPr>
            <w:r>
              <w:rPr>
                <w:rFonts w:ascii="Arial" w:cs="Arial" w:eastAsia="Arial" w:hAnsi="Arial"/>
                <w:sz w:val="12"/>
                <w:szCs w:val="12"/>
                <w:color w:val="282A32"/>
              </w:rPr>
              <w:t>16.7</w:t>
            </w:r>
          </w:p>
        </w:tc>
        <w:tc>
          <w:tcPr>
            <w:tcW w:w="1260" w:type="dxa"/>
            <w:vAlign w:val="bottom"/>
          </w:tcPr>
          <w:p>
            <w:pPr>
              <w:jc w:val="right"/>
              <w:ind w:right="379"/>
              <w:spacing w:after="0"/>
              <w:rPr>
                <w:sz w:val="20"/>
                <w:szCs w:val="20"/>
                <w:color w:val="auto"/>
              </w:rPr>
            </w:pPr>
            <w:r>
              <w:rPr>
                <w:rFonts w:ascii="Arial" w:cs="Arial" w:eastAsia="Arial" w:hAnsi="Arial"/>
                <w:sz w:val="12"/>
                <w:szCs w:val="12"/>
                <w:color w:val="282A32"/>
              </w:rPr>
              <w:t>(2.1)</w:t>
            </w:r>
          </w:p>
        </w:tc>
        <w:tc>
          <w:tcPr>
            <w:tcW w:w="1260" w:type="dxa"/>
            <w:vAlign w:val="bottom"/>
          </w:tcPr>
          <w:p>
            <w:pPr>
              <w:jc w:val="right"/>
              <w:ind w:right="400"/>
              <w:spacing w:after="0"/>
              <w:rPr>
                <w:sz w:val="20"/>
                <w:szCs w:val="20"/>
                <w:color w:val="auto"/>
              </w:rPr>
            </w:pPr>
            <w:r>
              <w:rPr>
                <w:rFonts w:ascii="Arial" w:cs="Arial" w:eastAsia="Arial" w:hAnsi="Arial"/>
                <w:sz w:val="12"/>
                <w:szCs w:val="12"/>
                <w:color w:val="282A32"/>
              </w:rPr>
              <w:t>18.8</w:t>
            </w:r>
          </w:p>
        </w:tc>
        <w:tc>
          <w:tcPr>
            <w:tcW w:w="1180" w:type="dxa"/>
            <w:vAlign w:val="bottom"/>
          </w:tcPr>
          <w:p>
            <w:pPr>
              <w:jc w:val="right"/>
              <w:ind w:right="280"/>
              <w:spacing w:after="0"/>
              <w:rPr>
                <w:sz w:val="20"/>
                <w:szCs w:val="20"/>
                <w:color w:val="auto"/>
              </w:rPr>
            </w:pPr>
            <w:r>
              <w:rPr>
                <w:rFonts w:ascii="Arial" w:cs="Arial" w:eastAsia="Arial" w:hAnsi="Arial"/>
                <w:sz w:val="12"/>
                <w:szCs w:val="12"/>
                <w:color w:val="282A32"/>
              </w:rPr>
              <w:t>—</w:t>
            </w:r>
          </w:p>
        </w:tc>
        <w:tc>
          <w:tcPr>
            <w:tcW w:w="1120" w:type="dxa"/>
            <w:vAlign w:val="bottom"/>
          </w:tcPr>
          <w:p>
            <w:pPr>
              <w:jc w:val="right"/>
              <w:ind w:right="120"/>
              <w:spacing w:after="0"/>
              <w:rPr>
                <w:sz w:val="20"/>
                <w:szCs w:val="20"/>
                <w:color w:val="auto"/>
              </w:rPr>
            </w:pPr>
            <w:r>
              <w:rPr>
                <w:rFonts w:ascii="Arial" w:cs="Arial" w:eastAsia="Arial" w:hAnsi="Arial"/>
                <w:sz w:val="12"/>
                <w:szCs w:val="12"/>
                <w:color w:val="282A32"/>
              </w:rPr>
              <w:t>18.8</w:t>
            </w:r>
          </w:p>
        </w:tc>
        <w:tc>
          <w:tcPr>
            <w:tcW w:w="0" w:type="dxa"/>
            <w:vAlign w:val="bottom"/>
          </w:tcPr>
          <w:p>
            <w:pPr>
              <w:spacing w:after="0"/>
              <w:rPr>
                <w:sz w:val="1"/>
                <w:szCs w:val="1"/>
                <w:color w:val="auto"/>
              </w:rPr>
            </w:pPr>
          </w:p>
        </w:tc>
      </w:tr>
      <w:tr>
        <w:trPr>
          <w:trHeight w:val="19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989B9"/>
              </w:rPr>
              <w:t>Operating Profit — ManpowerGroup</w:t>
            </w:r>
          </w:p>
        </w:tc>
        <w:tc>
          <w:tcPr>
            <w:tcW w:w="3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750.8</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9.0%</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282A32"/>
              </w:rPr>
              <w:t>(2.4)%</w:t>
            </w:r>
          </w:p>
        </w:tc>
        <w:tc>
          <w:tcPr>
            <w:tcW w:w="12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282A32"/>
              </w:rPr>
              <w:t>11.4%</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282A32"/>
              </w:rPr>
              <w:t>2.0 %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9.4%</w:t>
            </w:r>
          </w:p>
        </w:tc>
        <w:tc>
          <w:tcPr>
            <w:tcW w:w="0" w:type="dxa"/>
            <w:vAlign w:val="bottom"/>
          </w:tcPr>
          <w:p>
            <w:pPr>
              <w:spacing w:after="0"/>
              <w:rPr>
                <w:sz w:val="1"/>
                <w:szCs w:val="1"/>
                <w:color w:val="auto"/>
              </w:rPr>
            </w:pPr>
          </w:p>
        </w:tc>
      </w:tr>
      <w:tr>
        <w:trPr>
          <w:trHeight w:val="492"/>
        </w:trPr>
        <w:tc>
          <w:tcPr>
            <w:tcW w:w="3760" w:type="dxa"/>
            <w:vAlign w:val="bottom"/>
          </w:tcPr>
          <w:p>
            <w:pPr>
              <w:ind w:left="40"/>
              <w:spacing w:after="0"/>
              <w:rPr>
                <w:sz w:val="20"/>
                <w:szCs w:val="20"/>
                <w:color w:val="auto"/>
              </w:rPr>
            </w:pPr>
            <w:r>
              <w:rPr>
                <w:rFonts w:ascii="Arial" w:cs="Arial" w:eastAsia="Arial" w:hAnsi="Arial"/>
                <w:sz w:val="10"/>
                <w:szCs w:val="10"/>
                <w:color w:val="auto"/>
              </w:rPr>
              <w:t>Management's Discussion &amp; Analysis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0"/>
                <w:szCs w:val="10"/>
                <w:b w:val="1"/>
                <w:bCs w:val="1"/>
                <w:color w:val="auto"/>
              </w:rPr>
              <w:t xml:space="preserve">30 </w:t>
            </w:r>
            <w:r>
              <w:rPr>
                <w:rFonts w:ascii="Arial" w:cs="Arial" w:eastAsia="Arial" w:hAnsi="Arial"/>
                <w:sz w:val="10"/>
                <w:szCs w:val="10"/>
                <w:color w:val="auto"/>
              </w:rPr>
              <w:t>| ManpowerGroup</w:t>
            </w:r>
          </w:p>
        </w:tc>
        <w:tc>
          <w:tcPr>
            <w:tcW w:w="0" w:type="dxa"/>
            <w:vAlign w:val="bottom"/>
          </w:tcPr>
          <w:p>
            <w:pPr>
              <w:spacing w:after="0"/>
              <w:rPr>
                <w:sz w:val="1"/>
                <w:szCs w:val="1"/>
                <w:color w:val="auto"/>
              </w:rPr>
            </w:pPr>
          </w:p>
        </w:tc>
      </w:tr>
    </w:tbl>
    <w:p>
      <w:pPr>
        <w:sectPr>
          <w:pgSz w:w="11900" w:h="16838" w:orient="portrait"/>
          <w:cols w:equalWidth="0" w:num="1">
            <w:col w:w="11460"/>
          </w:cols>
          <w:pgMar w:left="220" w:top="327" w:right="21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tcPr>
          <w:p>
            <w:pPr>
              <w:jc w:val="right"/>
              <w:ind w:right="120"/>
              <w:spacing w:after="0"/>
              <w:rPr>
                <w:sz w:val="20"/>
                <w:szCs w:val="20"/>
                <w:color w:val="auto"/>
              </w:rPr>
            </w:pPr>
            <w:r>
              <w:rPr>
                <w:rFonts w:ascii="Arial" w:cs="Arial" w:eastAsia="Arial" w:hAnsi="Arial"/>
                <w:sz w:val="10"/>
                <w:szCs w:val="10"/>
                <w:color w:val="auto"/>
              </w:rPr>
              <w:t>Organic</w:t>
            </w:r>
          </w:p>
        </w:tc>
        <w:tc>
          <w:tcPr>
            <w:tcW w:w="0" w:type="dxa"/>
            <w:vAlign w:val="bottom"/>
          </w:tcPr>
          <w:p>
            <w:pPr>
              <w:spacing w:after="0"/>
              <w:rPr>
                <w:sz w:val="1"/>
                <w:szCs w:val="1"/>
                <w:color w:val="auto"/>
              </w:rPr>
            </w:pPr>
          </w:p>
        </w:tc>
      </w:tr>
      <w:tr>
        <w:trPr>
          <w:trHeight w:val="103"/>
        </w:trPr>
        <w:tc>
          <w:tcPr>
            <w:tcW w:w="2920" w:type="dxa"/>
            <w:vAlign w:val="bottom"/>
            <w:vMerge w:val="restart"/>
          </w:tcPr>
          <w:p>
            <w:pPr>
              <w:ind w:left="20"/>
              <w:spacing w:after="0"/>
              <w:rPr>
                <w:sz w:val="20"/>
                <w:szCs w:val="20"/>
                <w:color w:val="auto"/>
              </w:rPr>
            </w:pPr>
            <w:r>
              <w:rPr>
                <w:rFonts w:ascii="Arial" w:cs="Arial" w:eastAsia="Arial" w:hAnsi="Arial"/>
                <w:sz w:val="10"/>
                <w:szCs w:val="10"/>
                <w:i w:val="1"/>
                <w:iCs w:val="1"/>
                <w:color w:val="auto"/>
              </w:rPr>
              <w:t>Amounts represent 2015</w:t>
            </w:r>
          </w:p>
        </w:tc>
        <w:tc>
          <w:tcPr>
            <w:tcW w:w="1240" w:type="dxa"/>
            <w:vAlign w:val="bottom"/>
          </w:tcPr>
          <w:p>
            <w:pPr>
              <w:spacing w:after="0"/>
              <w:rPr>
                <w:sz w:val="8"/>
                <w:szCs w:val="8"/>
                <w:color w:val="auto"/>
              </w:rPr>
            </w:pPr>
          </w:p>
        </w:tc>
        <w:tc>
          <w:tcPr>
            <w:tcW w:w="1180" w:type="dxa"/>
            <w:vAlign w:val="bottom"/>
          </w:tcPr>
          <w:p>
            <w:pPr>
              <w:jc w:val="right"/>
              <w:ind w:right="360"/>
              <w:spacing w:after="0" w:line="104" w:lineRule="exact"/>
              <w:rPr>
                <w:sz w:val="20"/>
                <w:szCs w:val="20"/>
                <w:color w:val="auto"/>
              </w:rPr>
            </w:pPr>
            <w:r>
              <w:rPr>
                <w:rFonts w:ascii="Arial" w:cs="Arial" w:eastAsia="Arial" w:hAnsi="Arial"/>
                <w:sz w:val="10"/>
                <w:szCs w:val="10"/>
                <w:color w:val="auto"/>
              </w:rPr>
              <w:t>Reported</w:t>
            </w:r>
          </w:p>
        </w:tc>
        <w:tc>
          <w:tcPr>
            <w:tcW w:w="1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jc w:val="right"/>
              <w:ind w:right="200"/>
              <w:spacing w:after="0" w:line="104" w:lineRule="exact"/>
              <w:rPr>
                <w:sz w:val="20"/>
                <w:szCs w:val="20"/>
                <w:color w:val="auto"/>
              </w:rPr>
            </w:pPr>
            <w:r>
              <w:rPr>
                <w:rFonts w:ascii="Arial" w:cs="Arial" w:eastAsia="Arial" w:hAnsi="Arial"/>
                <w:sz w:val="10"/>
                <w:szCs w:val="10"/>
                <w:color w:val="auto"/>
              </w:rPr>
              <w:t>Variance in</w:t>
            </w:r>
          </w:p>
        </w:tc>
        <w:tc>
          <w:tcPr>
            <w:tcW w:w="1520" w:type="dxa"/>
            <w:vAlign w:val="bottom"/>
          </w:tcPr>
          <w:p>
            <w:pPr>
              <w:jc w:val="right"/>
              <w:ind w:right="420"/>
              <w:spacing w:after="0" w:line="104" w:lineRule="exact"/>
              <w:rPr>
                <w:sz w:val="20"/>
                <w:szCs w:val="20"/>
                <w:color w:val="auto"/>
              </w:rPr>
            </w:pPr>
            <w:r>
              <w:rPr>
                <w:rFonts w:ascii="Arial" w:cs="Arial" w:eastAsia="Arial" w:hAnsi="Arial"/>
                <w:sz w:val="10"/>
                <w:szCs w:val="10"/>
                <w:color w:val="auto"/>
              </w:rPr>
              <w:t>Impact of Acquisitions</w:t>
            </w:r>
          </w:p>
        </w:tc>
        <w:tc>
          <w:tcPr>
            <w:tcW w:w="940" w:type="dxa"/>
            <w:vAlign w:val="bottom"/>
          </w:tcPr>
          <w:p>
            <w:pPr>
              <w:jc w:val="right"/>
              <w:ind w:right="120"/>
              <w:spacing w:after="0" w:line="104" w:lineRule="exact"/>
              <w:rPr>
                <w:sz w:val="20"/>
                <w:szCs w:val="20"/>
                <w:color w:val="auto"/>
              </w:rPr>
            </w:pPr>
            <w:r>
              <w:rPr>
                <w:rFonts w:ascii="Arial" w:cs="Arial" w:eastAsia="Arial" w:hAnsi="Arial"/>
                <w:sz w:val="10"/>
                <w:szCs w:val="10"/>
                <w:color w:val="auto"/>
              </w:rPr>
              <w:t>Constant</w:t>
            </w:r>
          </w:p>
        </w:tc>
        <w:tc>
          <w:tcPr>
            <w:tcW w:w="0" w:type="dxa"/>
            <w:vAlign w:val="bottom"/>
          </w:tcPr>
          <w:p>
            <w:pPr>
              <w:spacing w:after="0"/>
              <w:rPr>
                <w:sz w:val="1"/>
                <w:szCs w:val="1"/>
                <w:color w:val="auto"/>
              </w:rPr>
            </w:pPr>
          </w:p>
        </w:tc>
      </w:tr>
      <w:tr>
        <w:trPr>
          <w:trHeight w:val="93"/>
        </w:trPr>
        <w:tc>
          <w:tcPr>
            <w:tcW w:w="292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jc w:val="right"/>
              <w:ind w:right="360"/>
              <w:spacing w:after="0" w:line="94" w:lineRule="exact"/>
              <w:rPr>
                <w:sz w:val="20"/>
                <w:szCs w:val="20"/>
                <w:color w:val="auto"/>
              </w:rPr>
            </w:pPr>
            <w:r>
              <w:rPr>
                <w:rFonts w:ascii="Arial" w:cs="Arial" w:eastAsia="Arial" w:hAnsi="Arial"/>
                <w:sz w:val="10"/>
                <w:szCs w:val="10"/>
                <w:color w:val="auto"/>
              </w:rPr>
              <w:t>Amount</w:t>
            </w:r>
          </w:p>
        </w:tc>
        <w:tc>
          <w:tcPr>
            <w:tcW w:w="1340" w:type="dxa"/>
            <w:vAlign w:val="bottom"/>
          </w:tcPr>
          <w:p>
            <w:pPr>
              <w:jc w:val="right"/>
              <w:ind w:right="479"/>
              <w:spacing w:after="0" w:line="94" w:lineRule="exact"/>
              <w:rPr>
                <w:sz w:val="20"/>
                <w:szCs w:val="20"/>
                <w:color w:val="auto"/>
              </w:rPr>
            </w:pPr>
            <w:r>
              <w:rPr>
                <w:rFonts w:ascii="Arial" w:cs="Arial" w:eastAsia="Arial" w:hAnsi="Arial"/>
                <w:sz w:val="10"/>
                <w:szCs w:val="10"/>
                <w:color w:val="auto"/>
              </w:rPr>
              <w:t>Reported</w:t>
            </w:r>
          </w:p>
        </w:tc>
        <w:tc>
          <w:tcPr>
            <w:tcW w:w="1240" w:type="dxa"/>
            <w:vAlign w:val="bottom"/>
          </w:tcPr>
          <w:p>
            <w:pPr>
              <w:jc w:val="right"/>
              <w:ind w:right="419"/>
              <w:spacing w:after="0" w:line="94" w:lineRule="exact"/>
              <w:rPr>
                <w:sz w:val="20"/>
                <w:szCs w:val="20"/>
                <w:color w:val="auto"/>
              </w:rPr>
            </w:pPr>
            <w:r>
              <w:rPr>
                <w:rFonts w:ascii="Arial" w:cs="Arial" w:eastAsia="Arial" w:hAnsi="Arial"/>
                <w:sz w:val="10"/>
                <w:szCs w:val="10"/>
                <w:color w:val="auto"/>
              </w:rPr>
              <w:t>Impact of</w:t>
            </w:r>
          </w:p>
        </w:tc>
        <w:tc>
          <w:tcPr>
            <w:tcW w:w="1080" w:type="dxa"/>
            <w:vAlign w:val="bottom"/>
          </w:tcPr>
          <w:p>
            <w:pPr>
              <w:jc w:val="right"/>
              <w:ind w:right="200"/>
              <w:spacing w:after="0" w:line="94" w:lineRule="exact"/>
              <w:rPr>
                <w:sz w:val="20"/>
                <w:szCs w:val="20"/>
                <w:color w:val="auto"/>
              </w:rPr>
            </w:pPr>
            <w:r>
              <w:rPr>
                <w:rFonts w:ascii="Arial" w:cs="Arial" w:eastAsia="Arial" w:hAnsi="Arial"/>
                <w:sz w:val="10"/>
                <w:szCs w:val="10"/>
                <w:color w:val="auto"/>
              </w:rPr>
              <w:t>Constant</w:t>
            </w:r>
          </w:p>
        </w:tc>
        <w:tc>
          <w:tcPr>
            <w:tcW w:w="1520" w:type="dxa"/>
            <w:vAlign w:val="bottom"/>
          </w:tcPr>
          <w:p>
            <w:pPr>
              <w:jc w:val="right"/>
              <w:ind w:right="420"/>
              <w:spacing w:after="0" w:line="94" w:lineRule="exact"/>
              <w:rPr>
                <w:sz w:val="20"/>
                <w:szCs w:val="20"/>
                <w:color w:val="auto"/>
              </w:rPr>
            </w:pPr>
            <w:r>
              <w:rPr>
                <w:rFonts w:ascii="Arial" w:cs="Arial" w:eastAsia="Arial" w:hAnsi="Arial"/>
                <w:sz w:val="10"/>
                <w:szCs w:val="10"/>
                <w:color w:val="auto"/>
              </w:rPr>
              <w:t>(in Constant</w:t>
            </w:r>
          </w:p>
        </w:tc>
        <w:tc>
          <w:tcPr>
            <w:tcW w:w="940" w:type="dxa"/>
            <w:vAlign w:val="bottom"/>
          </w:tcPr>
          <w:p>
            <w:pPr>
              <w:jc w:val="right"/>
              <w:ind w:right="120"/>
              <w:spacing w:after="0" w:line="94" w:lineRule="exact"/>
              <w:rPr>
                <w:sz w:val="20"/>
                <w:szCs w:val="20"/>
                <w:color w:val="auto"/>
              </w:rPr>
            </w:pPr>
            <w:r>
              <w:rPr>
                <w:rFonts w:ascii="Arial" w:cs="Arial" w:eastAsia="Arial" w:hAnsi="Arial"/>
                <w:sz w:val="10"/>
                <w:szCs w:val="10"/>
                <w:color w:val="auto"/>
              </w:rPr>
              <w:t>Currency</w:t>
            </w:r>
          </w:p>
        </w:tc>
        <w:tc>
          <w:tcPr>
            <w:tcW w:w="0" w:type="dxa"/>
            <w:vAlign w:val="bottom"/>
          </w:tcPr>
          <w:p>
            <w:pPr>
              <w:spacing w:after="0"/>
              <w:rPr>
                <w:sz w:val="1"/>
                <w:szCs w:val="1"/>
                <w:color w:val="auto"/>
              </w:rPr>
            </w:pPr>
          </w:p>
        </w:tc>
      </w:tr>
      <w:tr>
        <w:trPr>
          <w:trHeight w:val="13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Percentages represent 2015 compared to 2014</w:t>
            </w:r>
          </w:p>
        </w:tc>
        <w:tc>
          <w:tcPr>
            <w:tcW w:w="1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0"/>
                <w:szCs w:val="10"/>
                <w:color w:val="auto"/>
              </w:rPr>
              <w:t>(in millions)</w:t>
            </w: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0"/>
                <w:szCs w:val="10"/>
                <w:color w:val="auto"/>
              </w:rPr>
              <w:t>Variance</w:t>
            </w: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color w:val="auto"/>
              </w:rPr>
              <w:t>Currency</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color w:val="auto"/>
              </w:rPr>
              <w:t>Currency</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color w:val="auto"/>
              </w:rPr>
              <w:t>Currency)</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color w:val="auto"/>
              </w:rPr>
              <w:t>Variance</w:t>
            </w: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2"/>
                <w:szCs w:val="12"/>
                <w:color w:val="2989B9"/>
              </w:rPr>
              <w:t>Revenues from Services</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20" w:type="dxa"/>
            <w:vAlign w:val="bottom"/>
          </w:tcPr>
          <w:p>
            <w:pPr>
              <w:ind w:left="20"/>
              <w:spacing w:after="0"/>
              <w:rPr>
                <w:sz w:val="20"/>
                <w:szCs w:val="20"/>
                <w:color w:val="auto"/>
              </w:rPr>
            </w:pPr>
            <w:r>
              <w:rPr>
                <w:rFonts w:ascii="Arial" w:cs="Arial" w:eastAsia="Arial" w:hAnsi="Arial"/>
                <w:sz w:val="12"/>
                <w:szCs w:val="12"/>
                <w:color w:val="282A32"/>
              </w:rPr>
              <w:t>Americas: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United States</w:t>
            </w:r>
          </w:p>
        </w:tc>
        <w:tc>
          <w:tcPr>
            <w:tcW w:w="1240" w:type="dxa"/>
            <w:vAlign w:val="bottom"/>
          </w:tcPr>
          <w:p>
            <w:pPr>
              <w:jc w:val="right"/>
              <w:ind w:right="218"/>
              <w:spacing w:after="0"/>
              <w:rPr>
                <w:sz w:val="20"/>
                <w:szCs w:val="20"/>
                <w:color w:val="auto"/>
              </w:rPr>
            </w:pPr>
            <w:r>
              <w:rPr>
                <w:rFonts w:ascii="Arial" w:cs="Arial" w:eastAsia="Arial" w:hAnsi="Arial"/>
                <w:sz w:val="12"/>
                <w:szCs w:val="12"/>
                <w:color w:val="282A32"/>
              </w:rPr>
              <w:t>$</w:t>
            </w: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3,005.8</w:t>
            </w:r>
          </w:p>
        </w:tc>
        <w:tc>
          <w:tcPr>
            <w:tcW w:w="1340" w:type="dxa"/>
            <w:vAlign w:val="bottom"/>
          </w:tcPr>
          <w:p>
            <w:pPr>
              <w:jc w:val="right"/>
              <w:ind w:right="319"/>
              <w:spacing w:after="0"/>
              <w:rPr>
                <w:sz w:val="20"/>
                <w:szCs w:val="20"/>
                <w:color w:val="auto"/>
              </w:rPr>
            </w:pPr>
            <w:r>
              <w:rPr>
                <w:rFonts w:ascii="Arial" w:cs="Arial" w:eastAsia="Arial" w:hAnsi="Arial"/>
                <w:sz w:val="12"/>
                <w:szCs w:val="12"/>
                <w:color w:val="282A32"/>
              </w:rPr>
              <w:t>(2.6)%</w:t>
            </w:r>
          </w:p>
        </w:tc>
        <w:tc>
          <w:tcPr>
            <w:tcW w:w="1240" w:type="dxa"/>
            <w:vAlign w:val="bottom"/>
          </w:tcPr>
          <w:p>
            <w:pPr>
              <w:jc w:val="right"/>
              <w:ind w:right="279"/>
              <w:spacing w:after="0"/>
              <w:rPr>
                <w:sz w:val="20"/>
                <w:szCs w:val="20"/>
                <w:color w:val="auto"/>
              </w:rPr>
            </w:pPr>
            <w:r>
              <w:rPr>
                <w:rFonts w:ascii="Arial" w:cs="Arial" w:eastAsia="Arial" w:hAnsi="Arial"/>
                <w:sz w:val="12"/>
                <w:szCs w:val="12"/>
                <w:color w:val="282A32"/>
              </w:rPr>
              <w:t>— %</w:t>
            </w:r>
          </w:p>
        </w:tc>
        <w:tc>
          <w:tcPr>
            <w:tcW w:w="1080" w:type="dxa"/>
            <w:vAlign w:val="bottom"/>
          </w:tcPr>
          <w:p>
            <w:pPr>
              <w:jc w:val="right"/>
              <w:ind w:right="60"/>
              <w:spacing w:after="0"/>
              <w:rPr>
                <w:sz w:val="20"/>
                <w:szCs w:val="20"/>
                <w:color w:val="auto"/>
              </w:rPr>
            </w:pPr>
            <w:r>
              <w:rPr>
                <w:rFonts w:ascii="Arial" w:cs="Arial" w:eastAsia="Arial" w:hAnsi="Arial"/>
                <w:sz w:val="12"/>
                <w:szCs w:val="12"/>
                <w:color w:val="282A32"/>
              </w:rPr>
              <w:t>(2.6)%</w:t>
            </w:r>
          </w:p>
        </w:tc>
        <w:tc>
          <w:tcPr>
            <w:tcW w:w="1520" w:type="dxa"/>
            <w:vAlign w:val="bottom"/>
          </w:tcPr>
          <w:p>
            <w:pPr>
              <w:jc w:val="right"/>
              <w:ind w:right="320"/>
              <w:spacing w:after="0"/>
              <w:rPr>
                <w:sz w:val="20"/>
                <w:szCs w:val="20"/>
                <w:color w:val="auto"/>
              </w:rPr>
            </w:pPr>
            <w:r>
              <w:rPr>
                <w:rFonts w:ascii="Arial" w:cs="Arial" w:eastAsia="Arial" w:hAnsi="Arial"/>
                <w:sz w:val="12"/>
                <w:szCs w:val="12"/>
                <w:color w:val="282A32"/>
              </w:rPr>
              <w:t>0.3%</w:t>
            </w:r>
          </w:p>
        </w:tc>
        <w:tc>
          <w:tcPr>
            <w:tcW w:w="940" w:type="dxa"/>
            <w:vAlign w:val="bottom"/>
          </w:tcPr>
          <w:p>
            <w:pPr>
              <w:jc w:val="right"/>
              <w:spacing w:after="0"/>
              <w:rPr>
                <w:sz w:val="20"/>
                <w:szCs w:val="20"/>
                <w:color w:val="auto"/>
              </w:rPr>
            </w:pPr>
            <w:r>
              <w:rPr>
                <w:rFonts w:ascii="Arial" w:cs="Arial" w:eastAsia="Arial" w:hAnsi="Arial"/>
                <w:sz w:val="12"/>
                <w:szCs w:val="12"/>
                <w:color w:val="282A32"/>
              </w:rPr>
              <w:t>(2.9)%</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Americas</w:t>
            </w:r>
          </w:p>
        </w:tc>
        <w:tc>
          <w:tcPr>
            <w:tcW w:w="1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1,486.2</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282A32"/>
              </w:rPr>
              <w:t>(0.7)</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(18.3)</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17.6</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1.6</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16.0</w:t>
            </w:r>
          </w:p>
        </w:tc>
        <w:tc>
          <w:tcPr>
            <w:tcW w:w="0" w:type="dxa"/>
            <w:vAlign w:val="bottom"/>
          </w:tcPr>
          <w:p>
            <w:pPr>
              <w:spacing w:after="0"/>
              <w:rPr>
                <w:sz w:val="1"/>
                <w:szCs w:val="1"/>
                <w:color w:val="auto"/>
              </w:rPr>
            </w:pPr>
          </w:p>
        </w:tc>
      </w:tr>
      <w:tr>
        <w:trPr>
          <w:trHeight w:val="197"/>
        </w:trPr>
        <w:tc>
          <w:tcPr>
            <w:tcW w:w="2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4,492.0</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282A32"/>
              </w:rPr>
              <w:t>(2.0)</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(6.0)</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4.0</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0.7</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3.3</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2"/>
                <w:szCs w:val="12"/>
                <w:color w:val="282A32"/>
              </w:rPr>
              <w:t>Southern Europe:</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France</w:t>
            </w:r>
          </w:p>
        </w:tc>
        <w:tc>
          <w:tcPr>
            <w:tcW w:w="124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4,661.3</w:t>
            </w:r>
          </w:p>
        </w:tc>
        <w:tc>
          <w:tcPr>
            <w:tcW w:w="1340" w:type="dxa"/>
            <w:vAlign w:val="bottom"/>
          </w:tcPr>
          <w:p>
            <w:pPr>
              <w:jc w:val="right"/>
              <w:ind w:right="439"/>
              <w:spacing w:after="0"/>
              <w:rPr>
                <w:sz w:val="20"/>
                <w:szCs w:val="20"/>
                <w:color w:val="auto"/>
              </w:rPr>
            </w:pPr>
            <w:r>
              <w:rPr>
                <w:rFonts w:ascii="Arial" w:cs="Arial" w:eastAsia="Arial" w:hAnsi="Arial"/>
                <w:sz w:val="12"/>
                <w:szCs w:val="12"/>
                <w:color w:val="282A32"/>
              </w:rPr>
              <w:t>(12.9)</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(17.2)</w:t>
            </w:r>
          </w:p>
        </w:tc>
        <w:tc>
          <w:tcPr>
            <w:tcW w:w="1080" w:type="dxa"/>
            <w:vAlign w:val="bottom"/>
          </w:tcPr>
          <w:p>
            <w:pPr>
              <w:jc w:val="right"/>
              <w:ind w:right="200"/>
              <w:spacing w:after="0"/>
              <w:rPr>
                <w:sz w:val="20"/>
                <w:szCs w:val="20"/>
                <w:color w:val="auto"/>
              </w:rPr>
            </w:pPr>
            <w:r>
              <w:rPr>
                <w:rFonts w:ascii="Arial" w:cs="Arial" w:eastAsia="Arial" w:hAnsi="Arial"/>
                <w:sz w:val="12"/>
                <w:szCs w:val="12"/>
                <w:color w:val="282A32"/>
              </w:rPr>
              <w:t>4.3</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1.0</w:t>
            </w:r>
          </w:p>
        </w:tc>
        <w:tc>
          <w:tcPr>
            <w:tcW w:w="940" w:type="dxa"/>
            <w:vAlign w:val="bottom"/>
          </w:tcPr>
          <w:p>
            <w:pPr>
              <w:jc w:val="right"/>
              <w:ind w:right="120"/>
              <w:spacing w:after="0"/>
              <w:rPr>
                <w:sz w:val="20"/>
                <w:szCs w:val="20"/>
                <w:color w:val="auto"/>
              </w:rPr>
            </w:pPr>
            <w:r>
              <w:rPr>
                <w:rFonts w:ascii="Arial" w:cs="Arial" w:eastAsia="Arial" w:hAnsi="Arial"/>
                <w:sz w:val="12"/>
                <w:szCs w:val="12"/>
                <w:color w:val="282A32"/>
              </w:rPr>
              <w:t>3.3</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Italy</w:t>
            </w:r>
          </w:p>
        </w:tc>
        <w:tc>
          <w:tcPr>
            <w:tcW w:w="124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1,226.1</w:t>
            </w:r>
          </w:p>
        </w:tc>
        <w:tc>
          <w:tcPr>
            <w:tcW w:w="1340" w:type="dxa"/>
            <w:vAlign w:val="bottom"/>
          </w:tcPr>
          <w:p>
            <w:pPr>
              <w:jc w:val="right"/>
              <w:ind w:right="479"/>
              <w:spacing w:after="0"/>
              <w:rPr>
                <w:sz w:val="20"/>
                <w:szCs w:val="20"/>
                <w:color w:val="auto"/>
              </w:rPr>
            </w:pPr>
            <w:r>
              <w:rPr>
                <w:rFonts w:ascii="Arial" w:cs="Arial" w:eastAsia="Arial" w:hAnsi="Arial"/>
                <w:sz w:val="12"/>
                <w:szCs w:val="12"/>
                <w:color w:val="282A32"/>
              </w:rPr>
              <w:t>4.0</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(20.5)</w:t>
            </w:r>
          </w:p>
        </w:tc>
        <w:tc>
          <w:tcPr>
            <w:tcW w:w="1080" w:type="dxa"/>
            <w:vAlign w:val="bottom"/>
          </w:tcPr>
          <w:p>
            <w:pPr>
              <w:jc w:val="right"/>
              <w:ind w:right="200"/>
              <w:spacing w:after="0"/>
              <w:rPr>
                <w:sz w:val="20"/>
                <w:szCs w:val="20"/>
                <w:color w:val="auto"/>
              </w:rPr>
            </w:pPr>
            <w:r>
              <w:rPr>
                <w:rFonts w:ascii="Arial" w:cs="Arial" w:eastAsia="Arial" w:hAnsi="Arial"/>
                <w:sz w:val="12"/>
                <w:szCs w:val="12"/>
                <w:color w:val="282A32"/>
              </w:rPr>
              <w:t>24.5</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282A32"/>
              </w:rPr>
              <w:t>24.5</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Southern Europe</w:t>
            </w:r>
          </w:p>
        </w:tc>
        <w:tc>
          <w:tcPr>
            <w:tcW w:w="1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1,404.1</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282A32"/>
              </w:rPr>
              <w:t>(6.5)</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(15.6)</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9.1</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1.6</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7.5</w:t>
            </w:r>
          </w:p>
        </w:tc>
        <w:tc>
          <w:tcPr>
            <w:tcW w:w="0" w:type="dxa"/>
            <w:vAlign w:val="bottom"/>
          </w:tcPr>
          <w:p>
            <w:pPr>
              <w:spacing w:after="0"/>
              <w:rPr>
                <w:sz w:val="1"/>
                <w:szCs w:val="1"/>
                <w:color w:val="auto"/>
              </w:rPr>
            </w:pPr>
          </w:p>
        </w:tc>
      </w:tr>
      <w:tr>
        <w:trPr>
          <w:trHeight w:val="197"/>
        </w:trPr>
        <w:tc>
          <w:tcPr>
            <w:tcW w:w="2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7,291.5</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282A32"/>
              </w:rPr>
              <w:t>(9.2)</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(17.3)</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8.1</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0.9</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7.2</w:t>
            </w: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2"/>
                <w:szCs w:val="12"/>
                <w:color w:val="282A32"/>
              </w:rPr>
              <w:t>Northern Europe</w:t>
            </w:r>
          </w:p>
        </w:tc>
        <w:tc>
          <w:tcPr>
            <w:tcW w:w="1240" w:type="dxa"/>
            <w:vAlign w:val="bottom"/>
          </w:tcPr>
          <w:p>
            <w:pPr>
              <w:spacing w:after="0"/>
              <w:rPr>
                <w:sz w:val="14"/>
                <w:szCs w:val="14"/>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5,033.7</w:t>
            </w:r>
          </w:p>
        </w:tc>
        <w:tc>
          <w:tcPr>
            <w:tcW w:w="1340" w:type="dxa"/>
            <w:vAlign w:val="bottom"/>
          </w:tcPr>
          <w:p>
            <w:pPr>
              <w:jc w:val="right"/>
              <w:ind w:right="439"/>
              <w:spacing w:after="0"/>
              <w:rPr>
                <w:sz w:val="20"/>
                <w:szCs w:val="20"/>
                <w:color w:val="auto"/>
              </w:rPr>
            </w:pPr>
            <w:r>
              <w:rPr>
                <w:rFonts w:ascii="Arial" w:cs="Arial" w:eastAsia="Arial" w:hAnsi="Arial"/>
                <w:sz w:val="12"/>
                <w:szCs w:val="12"/>
                <w:color w:val="282A32"/>
              </w:rPr>
              <w:t>(8.9)</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(15.1)</w:t>
            </w:r>
          </w:p>
        </w:tc>
        <w:tc>
          <w:tcPr>
            <w:tcW w:w="1080" w:type="dxa"/>
            <w:vAlign w:val="bottom"/>
          </w:tcPr>
          <w:p>
            <w:pPr>
              <w:jc w:val="right"/>
              <w:ind w:right="200"/>
              <w:spacing w:after="0"/>
              <w:rPr>
                <w:sz w:val="20"/>
                <w:szCs w:val="20"/>
                <w:color w:val="auto"/>
              </w:rPr>
            </w:pPr>
            <w:r>
              <w:rPr>
                <w:rFonts w:ascii="Arial" w:cs="Arial" w:eastAsia="Arial" w:hAnsi="Arial"/>
                <w:sz w:val="12"/>
                <w:szCs w:val="12"/>
                <w:color w:val="282A32"/>
              </w:rPr>
              <w:t>6.2</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3.3</w:t>
            </w:r>
          </w:p>
        </w:tc>
        <w:tc>
          <w:tcPr>
            <w:tcW w:w="940" w:type="dxa"/>
            <w:vAlign w:val="bottom"/>
          </w:tcPr>
          <w:p>
            <w:pPr>
              <w:jc w:val="right"/>
              <w:ind w:right="120"/>
              <w:spacing w:after="0"/>
              <w:rPr>
                <w:sz w:val="20"/>
                <w:szCs w:val="20"/>
                <w:color w:val="auto"/>
              </w:rPr>
            </w:pPr>
            <w:r>
              <w:rPr>
                <w:rFonts w:ascii="Arial" w:cs="Arial" w:eastAsia="Arial" w:hAnsi="Arial"/>
                <w:sz w:val="12"/>
                <w:szCs w:val="12"/>
                <w:color w:val="282A32"/>
              </w:rPr>
              <w:t>2.9</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APME</w:t>
            </w:r>
          </w:p>
        </w:tc>
        <w:tc>
          <w:tcPr>
            <w:tcW w:w="124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2,239.1</w:t>
            </w:r>
          </w:p>
        </w:tc>
        <w:tc>
          <w:tcPr>
            <w:tcW w:w="1340" w:type="dxa"/>
            <w:vAlign w:val="bottom"/>
          </w:tcPr>
          <w:p>
            <w:pPr>
              <w:jc w:val="right"/>
              <w:ind w:right="439"/>
              <w:spacing w:after="0"/>
              <w:rPr>
                <w:sz w:val="20"/>
                <w:szCs w:val="20"/>
                <w:color w:val="auto"/>
              </w:rPr>
            </w:pPr>
            <w:r>
              <w:rPr>
                <w:rFonts w:ascii="Arial" w:cs="Arial" w:eastAsia="Arial" w:hAnsi="Arial"/>
                <w:sz w:val="12"/>
                <w:szCs w:val="12"/>
                <w:color w:val="282A32"/>
              </w:rPr>
              <w:t>(3.8)</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(11.7)</w:t>
            </w:r>
          </w:p>
        </w:tc>
        <w:tc>
          <w:tcPr>
            <w:tcW w:w="1080" w:type="dxa"/>
            <w:vAlign w:val="bottom"/>
          </w:tcPr>
          <w:p>
            <w:pPr>
              <w:jc w:val="right"/>
              <w:ind w:right="200"/>
              <w:spacing w:after="0"/>
              <w:rPr>
                <w:sz w:val="20"/>
                <w:szCs w:val="20"/>
                <w:color w:val="auto"/>
              </w:rPr>
            </w:pPr>
            <w:r>
              <w:rPr>
                <w:rFonts w:ascii="Arial" w:cs="Arial" w:eastAsia="Arial" w:hAnsi="Arial"/>
                <w:sz w:val="12"/>
                <w:szCs w:val="12"/>
                <w:color w:val="282A32"/>
              </w:rPr>
              <w:t>7.9</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3.8</w:t>
            </w:r>
          </w:p>
        </w:tc>
        <w:tc>
          <w:tcPr>
            <w:tcW w:w="940" w:type="dxa"/>
            <w:vAlign w:val="bottom"/>
          </w:tcPr>
          <w:p>
            <w:pPr>
              <w:jc w:val="right"/>
              <w:ind w:right="120"/>
              <w:spacing w:after="0"/>
              <w:rPr>
                <w:sz w:val="20"/>
                <w:szCs w:val="20"/>
                <w:color w:val="auto"/>
              </w:rPr>
            </w:pPr>
            <w:r>
              <w:rPr>
                <w:rFonts w:ascii="Arial" w:cs="Arial" w:eastAsia="Arial" w:hAnsi="Arial"/>
                <w:sz w:val="12"/>
                <w:szCs w:val="12"/>
                <w:color w:val="282A32"/>
              </w:rPr>
              <w:t>4.1</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Right Management</w:t>
            </w:r>
          </w:p>
        </w:tc>
        <w:tc>
          <w:tcPr>
            <w:tcW w:w="1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273.6</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282A32"/>
              </w:rPr>
              <w:t>(7.0)</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(7.5)</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0.5</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0.5</w:t>
            </w:r>
          </w:p>
        </w:tc>
        <w:tc>
          <w:tcPr>
            <w:tcW w:w="0" w:type="dxa"/>
            <w:vAlign w:val="bottom"/>
          </w:tcPr>
          <w:p>
            <w:pPr>
              <w:spacing w:after="0"/>
              <w:rPr>
                <w:sz w:val="1"/>
                <w:szCs w:val="1"/>
                <w:color w:val="auto"/>
              </w:rPr>
            </w:pPr>
          </w:p>
        </w:tc>
      </w:tr>
      <w:tr>
        <w:trPr>
          <w:trHeight w:val="17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ManpowerGroup</w:t>
            </w:r>
          </w:p>
        </w:tc>
        <w:tc>
          <w:tcPr>
            <w:tcW w:w="12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282A32"/>
              </w:rPr>
              <w:t>$</w:t>
            </w: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19,329.9</w:t>
            </w: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282A32"/>
              </w:rPr>
              <w:t>(6.9)%</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282A32"/>
              </w:rPr>
              <w:t>(13.5)%</w:t>
            </w: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282A32"/>
              </w:rPr>
              <w:t>6.6%</w:t>
            </w:r>
          </w:p>
        </w:tc>
        <w:tc>
          <w:tcPr>
            <w:tcW w:w="15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282A32"/>
              </w:rPr>
              <w:t>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4.7%</w:t>
            </w: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2"/>
                <w:szCs w:val="12"/>
                <w:color w:val="2989B9"/>
              </w:rPr>
              <w:t>Gross Profit — ManpowerGroup</w:t>
            </w:r>
          </w:p>
        </w:tc>
        <w:tc>
          <w:tcPr>
            <w:tcW w:w="124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360"/>
              <w:spacing w:after="0"/>
              <w:rPr>
                <w:sz w:val="20"/>
                <w:szCs w:val="20"/>
                <w:color w:val="auto"/>
              </w:rPr>
            </w:pPr>
            <w:r>
              <w:rPr>
                <w:rFonts w:ascii="Arial" w:cs="Arial" w:eastAsia="Arial" w:hAnsi="Arial"/>
                <w:sz w:val="12"/>
                <w:szCs w:val="12"/>
                <w:color w:val="auto"/>
              </w:rPr>
              <w:t>3,295.8</w:t>
            </w:r>
          </w:p>
        </w:tc>
        <w:tc>
          <w:tcPr>
            <w:tcW w:w="1340" w:type="dxa"/>
            <w:vAlign w:val="bottom"/>
          </w:tcPr>
          <w:p>
            <w:pPr>
              <w:jc w:val="right"/>
              <w:ind w:right="319"/>
              <w:spacing w:after="0"/>
              <w:rPr>
                <w:sz w:val="20"/>
                <w:szCs w:val="20"/>
                <w:color w:val="auto"/>
              </w:rPr>
            </w:pPr>
            <w:r>
              <w:rPr>
                <w:rFonts w:ascii="Arial" w:cs="Arial" w:eastAsia="Arial" w:hAnsi="Arial"/>
                <w:sz w:val="12"/>
                <w:szCs w:val="12"/>
                <w:color w:val="auto"/>
              </w:rPr>
              <w:t>(5.5)%</w:t>
            </w:r>
          </w:p>
        </w:tc>
        <w:tc>
          <w:tcPr>
            <w:tcW w:w="1240" w:type="dxa"/>
            <w:vAlign w:val="bottom"/>
          </w:tcPr>
          <w:p>
            <w:pPr>
              <w:jc w:val="right"/>
              <w:ind w:right="259"/>
              <w:spacing w:after="0"/>
              <w:rPr>
                <w:sz w:val="20"/>
                <w:szCs w:val="20"/>
                <w:color w:val="auto"/>
              </w:rPr>
            </w:pPr>
            <w:r>
              <w:rPr>
                <w:rFonts w:ascii="Arial" w:cs="Arial" w:eastAsia="Arial" w:hAnsi="Arial"/>
                <w:sz w:val="12"/>
                <w:szCs w:val="12"/>
                <w:color w:val="auto"/>
              </w:rPr>
              <w:t>(12.6)%</w:t>
            </w:r>
          </w:p>
        </w:tc>
        <w:tc>
          <w:tcPr>
            <w:tcW w:w="1080" w:type="dxa"/>
            <w:vAlign w:val="bottom"/>
          </w:tcPr>
          <w:p>
            <w:pPr>
              <w:jc w:val="right"/>
              <w:ind w:right="100"/>
              <w:spacing w:after="0"/>
              <w:rPr>
                <w:sz w:val="20"/>
                <w:szCs w:val="20"/>
                <w:color w:val="auto"/>
              </w:rPr>
            </w:pPr>
            <w:r>
              <w:rPr>
                <w:rFonts w:ascii="Arial" w:cs="Arial" w:eastAsia="Arial" w:hAnsi="Arial"/>
                <w:sz w:val="12"/>
                <w:szCs w:val="12"/>
                <w:color w:val="auto"/>
              </w:rPr>
              <w:t>7.1%</w:t>
            </w:r>
          </w:p>
        </w:tc>
        <w:tc>
          <w:tcPr>
            <w:tcW w:w="1520" w:type="dxa"/>
            <w:vAlign w:val="bottom"/>
          </w:tcPr>
          <w:p>
            <w:pPr>
              <w:jc w:val="right"/>
              <w:ind w:right="320"/>
              <w:spacing w:after="0"/>
              <w:rPr>
                <w:sz w:val="20"/>
                <w:szCs w:val="20"/>
                <w:color w:val="auto"/>
              </w:rPr>
            </w:pPr>
            <w:r>
              <w:rPr>
                <w:rFonts w:ascii="Arial" w:cs="Arial" w:eastAsia="Arial" w:hAnsi="Arial"/>
                <w:sz w:val="12"/>
                <w:szCs w:val="12"/>
                <w:color w:val="auto"/>
              </w:rPr>
              <w:t>2.4%</w:t>
            </w:r>
          </w:p>
        </w:tc>
        <w:tc>
          <w:tcPr>
            <w:tcW w:w="940" w:type="dxa"/>
            <w:vAlign w:val="bottom"/>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207"/>
        </w:trPr>
        <w:tc>
          <w:tcPr>
            <w:tcW w:w="2920" w:type="dxa"/>
            <w:vAlign w:val="bottom"/>
          </w:tcPr>
          <w:p>
            <w:pPr>
              <w:ind w:left="20"/>
              <w:spacing w:after="0"/>
              <w:rPr>
                <w:sz w:val="20"/>
                <w:szCs w:val="20"/>
                <w:color w:val="auto"/>
              </w:rPr>
            </w:pPr>
            <w:r>
              <w:rPr>
                <w:rFonts w:ascii="Arial" w:cs="Arial" w:eastAsia="Arial" w:hAnsi="Arial"/>
                <w:sz w:val="12"/>
                <w:szCs w:val="12"/>
                <w:color w:val="2989B9"/>
              </w:rPr>
              <w:t>Operating Unit Profit</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20" w:type="dxa"/>
            <w:vAlign w:val="bottom"/>
          </w:tcPr>
          <w:p>
            <w:pPr>
              <w:ind w:left="20"/>
              <w:spacing w:after="0"/>
              <w:rPr>
                <w:sz w:val="20"/>
                <w:szCs w:val="20"/>
                <w:color w:val="auto"/>
              </w:rPr>
            </w:pPr>
            <w:r>
              <w:rPr>
                <w:rFonts w:ascii="Arial" w:cs="Arial" w:eastAsia="Arial" w:hAnsi="Arial"/>
                <w:sz w:val="12"/>
                <w:szCs w:val="12"/>
                <w:color w:val="282A32"/>
              </w:rPr>
              <w:t>Americas: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United States</w:t>
            </w:r>
          </w:p>
        </w:tc>
        <w:tc>
          <w:tcPr>
            <w:tcW w:w="1240" w:type="dxa"/>
            <w:vAlign w:val="bottom"/>
          </w:tcPr>
          <w:p>
            <w:pPr>
              <w:jc w:val="right"/>
              <w:ind w:right="218"/>
              <w:spacing w:after="0"/>
              <w:rPr>
                <w:sz w:val="20"/>
                <w:szCs w:val="20"/>
                <w:color w:val="auto"/>
              </w:rPr>
            </w:pPr>
            <w:r>
              <w:rPr>
                <w:rFonts w:ascii="Arial" w:cs="Arial" w:eastAsia="Arial" w:hAnsi="Arial"/>
                <w:sz w:val="12"/>
                <w:szCs w:val="12"/>
                <w:color w:val="282A32"/>
              </w:rPr>
              <w:t>$</w:t>
            </w: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143.8</w:t>
            </w:r>
          </w:p>
        </w:tc>
        <w:tc>
          <w:tcPr>
            <w:tcW w:w="1340" w:type="dxa"/>
            <w:vAlign w:val="bottom"/>
          </w:tcPr>
          <w:p>
            <w:pPr>
              <w:jc w:val="right"/>
              <w:ind w:right="359"/>
              <w:spacing w:after="0"/>
              <w:rPr>
                <w:sz w:val="20"/>
                <w:szCs w:val="20"/>
                <w:color w:val="auto"/>
              </w:rPr>
            </w:pPr>
            <w:r>
              <w:rPr>
                <w:rFonts w:ascii="Arial" w:cs="Arial" w:eastAsia="Arial" w:hAnsi="Arial"/>
                <w:sz w:val="12"/>
                <w:szCs w:val="12"/>
                <w:color w:val="282A32"/>
              </w:rPr>
              <w:t>14.7%</w:t>
            </w:r>
          </w:p>
        </w:tc>
        <w:tc>
          <w:tcPr>
            <w:tcW w:w="1240" w:type="dxa"/>
            <w:vAlign w:val="bottom"/>
          </w:tcPr>
          <w:p>
            <w:pPr>
              <w:jc w:val="right"/>
              <w:ind w:right="279"/>
              <w:spacing w:after="0"/>
              <w:rPr>
                <w:sz w:val="20"/>
                <w:szCs w:val="20"/>
                <w:color w:val="auto"/>
              </w:rPr>
            </w:pPr>
            <w:r>
              <w:rPr>
                <w:rFonts w:ascii="Arial" w:cs="Arial" w:eastAsia="Arial" w:hAnsi="Arial"/>
                <w:sz w:val="12"/>
                <w:szCs w:val="12"/>
                <w:color w:val="282A32"/>
              </w:rPr>
              <w:t>— %</w:t>
            </w:r>
          </w:p>
        </w:tc>
        <w:tc>
          <w:tcPr>
            <w:tcW w:w="1080" w:type="dxa"/>
            <w:vAlign w:val="bottom"/>
          </w:tcPr>
          <w:p>
            <w:pPr>
              <w:jc w:val="right"/>
              <w:ind w:right="100"/>
              <w:spacing w:after="0"/>
              <w:rPr>
                <w:sz w:val="20"/>
                <w:szCs w:val="20"/>
                <w:color w:val="auto"/>
              </w:rPr>
            </w:pPr>
            <w:r>
              <w:rPr>
                <w:rFonts w:ascii="Arial" w:cs="Arial" w:eastAsia="Arial" w:hAnsi="Arial"/>
                <w:sz w:val="12"/>
                <w:szCs w:val="12"/>
                <w:color w:val="282A32"/>
              </w:rPr>
              <w:t>14.7%</w:t>
            </w:r>
          </w:p>
        </w:tc>
        <w:tc>
          <w:tcPr>
            <w:tcW w:w="1520" w:type="dxa"/>
            <w:vAlign w:val="bottom"/>
          </w:tcPr>
          <w:p>
            <w:pPr>
              <w:jc w:val="right"/>
              <w:ind w:right="320"/>
              <w:spacing w:after="0"/>
              <w:rPr>
                <w:sz w:val="20"/>
                <w:szCs w:val="20"/>
                <w:color w:val="auto"/>
              </w:rPr>
            </w:pPr>
            <w:r>
              <w:rPr>
                <w:rFonts w:ascii="Arial" w:cs="Arial" w:eastAsia="Arial" w:hAnsi="Arial"/>
                <w:sz w:val="12"/>
                <w:szCs w:val="12"/>
                <w:color w:val="282A32"/>
              </w:rPr>
              <w:t>1.1%</w:t>
            </w:r>
          </w:p>
        </w:tc>
        <w:tc>
          <w:tcPr>
            <w:tcW w:w="940" w:type="dxa"/>
            <w:vAlign w:val="bottom"/>
          </w:tcPr>
          <w:p>
            <w:pPr>
              <w:jc w:val="right"/>
              <w:spacing w:after="0"/>
              <w:rPr>
                <w:sz w:val="20"/>
                <w:szCs w:val="20"/>
                <w:color w:val="auto"/>
              </w:rPr>
            </w:pPr>
            <w:r>
              <w:rPr>
                <w:rFonts w:ascii="Arial" w:cs="Arial" w:eastAsia="Arial" w:hAnsi="Arial"/>
                <w:sz w:val="12"/>
                <w:szCs w:val="12"/>
                <w:color w:val="282A32"/>
              </w:rPr>
              <w:t>13.6%</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Americas</w:t>
            </w:r>
          </w:p>
        </w:tc>
        <w:tc>
          <w:tcPr>
            <w:tcW w:w="1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57.0</w:t>
            </w: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282A32"/>
              </w:rPr>
              <w:t>1.3</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(17.9)</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19.2</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1.7</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17.5</w:t>
            </w:r>
          </w:p>
        </w:tc>
        <w:tc>
          <w:tcPr>
            <w:tcW w:w="0" w:type="dxa"/>
            <w:vAlign w:val="bottom"/>
          </w:tcPr>
          <w:p>
            <w:pPr>
              <w:spacing w:after="0"/>
              <w:rPr>
                <w:sz w:val="1"/>
                <w:szCs w:val="1"/>
                <w:color w:val="auto"/>
              </w:rPr>
            </w:pPr>
          </w:p>
        </w:tc>
      </w:tr>
      <w:tr>
        <w:trPr>
          <w:trHeight w:val="197"/>
        </w:trPr>
        <w:tc>
          <w:tcPr>
            <w:tcW w:w="2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200.8</w:t>
            </w: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282A32"/>
              </w:rPr>
              <w:t>10.5</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(5.6)</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16.1</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1.3</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14.8</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2"/>
                <w:szCs w:val="12"/>
                <w:color w:val="282A32"/>
              </w:rPr>
              <w:t>Southern Europe:</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France</w:t>
            </w:r>
          </w:p>
        </w:tc>
        <w:tc>
          <w:tcPr>
            <w:tcW w:w="124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258.8</w:t>
            </w:r>
          </w:p>
        </w:tc>
        <w:tc>
          <w:tcPr>
            <w:tcW w:w="1340" w:type="dxa"/>
            <w:vAlign w:val="bottom"/>
          </w:tcPr>
          <w:p>
            <w:pPr>
              <w:jc w:val="right"/>
              <w:ind w:right="439"/>
              <w:spacing w:after="0"/>
              <w:rPr>
                <w:sz w:val="20"/>
                <w:szCs w:val="20"/>
                <w:color w:val="auto"/>
              </w:rPr>
            </w:pPr>
            <w:r>
              <w:rPr>
                <w:rFonts w:ascii="Arial" w:cs="Arial" w:eastAsia="Arial" w:hAnsi="Arial"/>
                <w:sz w:val="12"/>
                <w:szCs w:val="12"/>
                <w:color w:val="282A32"/>
              </w:rPr>
              <w:t>(6.1)</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(18.7)</w:t>
            </w:r>
          </w:p>
        </w:tc>
        <w:tc>
          <w:tcPr>
            <w:tcW w:w="1080" w:type="dxa"/>
            <w:vAlign w:val="bottom"/>
          </w:tcPr>
          <w:p>
            <w:pPr>
              <w:jc w:val="right"/>
              <w:ind w:right="200"/>
              <w:spacing w:after="0"/>
              <w:rPr>
                <w:sz w:val="20"/>
                <w:szCs w:val="20"/>
                <w:color w:val="auto"/>
              </w:rPr>
            </w:pPr>
            <w:r>
              <w:rPr>
                <w:rFonts w:ascii="Arial" w:cs="Arial" w:eastAsia="Arial" w:hAnsi="Arial"/>
                <w:sz w:val="12"/>
                <w:szCs w:val="12"/>
                <w:color w:val="282A32"/>
              </w:rPr>
              <w:t>12.6</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1.7</w:t>
            </w:r>
          </w:p>
        </w:tc>
        <w:tc>
          <w:tcPr>
            <w:tcW w:w="940" w:type="dxa"/>
            <w:vAlign w:val="bottom"/>
          </w:tcPr>
          <w:p>
            <w:pPr>
              <w:jc w:val="right"/>
              <w:ind w:right="120"/>
              <w:spacing w:after="0"/>
              <w:rPr>
                <w:sz w:val="20"/>
                <w:szCs w:val="20"/>
                <w:color w:val="auto"/>
              </w:rPr>
            </w:pPr>
            <w:r>
              <w:rPr>
                <w:rFonts w:ascii="Arial" w:cs="Arial" w:eastAsia="Arial" w:hAnsi="Arial"/>
                <w:sz w:val="12"/>
                <w:szCs w:val="12"/>
                <w:color w:val="282A32"/>
              </w:rPr>
              <w:t>10.9</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Italy</w:t>
            </w:r>
          </w:p>
        </w:tc>
        <w:tc>
          <w:tcPr>
            <w:tcW w:w="124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70.9</w:t>
            </w:r>
          </w:p>
        </w:tc>
        <w:tc>
          <w:tcPr>
            <w:tcW w:w="1340" w:type="dxa"/>
            <w:vAlign w:val="bottom"/>
          </w:tcPr>
          <w:p>
            <w:pPr>
              <w:jc w:val="right"/>
              <w:ind w:right="479"/>
              <w:spacing w:after="0"/>
              <w:rPr>
                <w:sz w:val="20"/>
                <w:szCs w:val="20"/>
                <w:color w:val="auto"/>
              </w:rPr>
            </w:pPr>
            <w:r>
              <w:rPr>
                <w:rFonts w:ascii="Arial" w:cs="Arial" w:eastAsia="Arial" w:hAnsi="Arial"/>
                <w:sz w:val="12"/>
                <w:szCs w:val="12"/>
                <w:color w:val="282A32"/>
              </w:rPr>
              <w:t>10.5</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(22.0)</w:t>
            </w:r>
          </w:p>
        </w:tc>
        <w:tc>
          <w:tcPr>
            <w:tcW w:w="1080" w:type="dxa"/>
            <w:vAlign w:val="bottom"/>
          </w:tcPr>
          <w:p>
            <w:pPr>
              <w:jc w:val="right"/>
              <w:ind w:right="200"/>
              <w:spacing w:after="0"/>
              <w:rPr>
                <w:sz w:val="20"/>
                <w:szCs w:val="20"/>
                <w:color w:val="auto"/>
              </w:rPr>
            </w:pPr>
            <w:r>
              <w:rPr>
                <w:rFonts w:ascii="Arial" w:cs="Arial" w:eastAsia="Arial" w:hAnsi="Arial"/>
                <w:sz w:val="12"/>
                <w:szCs w:val="12"/>
                <w:color w:val="282A32"/>
              </w:rPr>
              <w:t>32.5</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282A32"/>
              </w:rPr>
              <w:t>32.5</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Southern Europe</w:t>
            </w:r>
          </w:p>
        </w:tc>
        <w:tc>
          <w:tcPr>
            <w:tcW w:w="1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39.9</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282A32"/>
              </w:rPr>
              <w:t>(7.2)</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(11.7)</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4.5</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3.0</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1.5</w:t>
            </w:r>
          </w:p>
        </w:tc>
        <w:tc>
          <w:tcPr>
            <w:tcW w:w="0" w:type="dxa"/>
            <w:vAlign w:val="bottom"/>
          </w:tcPr>
          <w:p>
            <w:pPr>
              <w:spacing w:after="0"/>
              <w:rPr>
                <w:sz w:val="1"/>
                <w:szCs w:val="1"/>
                <w:color w:val="auto"/>
              </w:rPr>
            </w:pPr>
          </w:p>
        </w:tc>
      </w:tr>
      <w:tr>
        <w:trPr>
          <w:trHeight w:val="197"/>
        </w:trPr>
        <w:tc>
          <w:tcPr>
            <w:tcW w:w="2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369.6</w:t>
            </w: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282A32"/>
              </w:rPr>
              <w:t>(3.4)</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282A32"/>
              </w:rPr>
              <w:t>(18.4)</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282A32"/>
              </w:rPr>
              <w:t>15.0</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282A32"/>
              </w:rPr>
              <w:t>1.5</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282A32"/>
              </w:rPr>
              <w:t>13.5</w:t>
            </w: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2"/>
                <w:szCs w:val="12"/>
                <w:color w:val="282A32"/>
              </w:rPr>
              <w:t>Northern Europe</w:t>
            </w:r>
          </w:p>
        </w:tc>
        <w:tc>
          <w:tcPr>
            <w:tcW w:w="1240" w:type="dxa"/>
            <w:vAlign w:val="bottom"/>
          </w:tcPr>
          <w:p>
            <w:pPr>
              <w:spacing w:after="0"/>
              <w:rPr>
                <w:sz w:val="14"/>
                <w:szCs w:val="14"/>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144.7</w:t>
            </w:r>
          </w:p>
        </w:tc>
        <w:tc>
          <w:tcPr>
            <w:tcW w:w="1340" w:type="dxa"/>
            <w:vAlign w:val="bottom"/>
          </w:tcPr>
          <w:p>
            <w:pPr>
              <w:jc w:val="right"/>
              <w:ind w:right="439"/>
              <w:spacing w:after="0"/>
              <w:rPr>
                <w:sz w:val="20"/>
                <w:szCs w:val="20"/>
                <w:color w:val="auto"/>
              </w:rPr>
            </w:pPr>
            <w:r>
              <w:rPr>
                <w:rFonts w:ascii="Arial" w:cs="Arial" w:eastAsia="Arial" w:hAnsi="Arial"/>
                <w:sz w:val="12"/>
                <w:szCs w:val="12"/>
                <w:color w:val="282A32"/>
              </w:rPr>
              <w:t>(18.3)</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(12.5)</w:t>
            </w:r>
          </w:p>
        </w:tc>
        <w:tc>
          <w:tcPr>
            <w:tcW w:w="1080" w:type="dxa"/>
            <w:vAlign w:val="bottom"/>
          </w:tcPr>
          <w:p>
            <w:pPr>
              <w:jc w:val="right"/>
              <w:ind w:right="160"/>
              <w:spacing w:after="0"/>
              <w:rPr>
                <w:sz w:val="20"/>
                <w:szCs w:val="20"/>
                <w:color w:val="auto"/>
              </w:rPr>
            </w:pPr>
            <w:r>
              <w:rPr>
                <w:rFonts w:ascii="Arial" w:cs="Arial" w:eastAsia="Arial" w:hAnsi="Arial"/>
                <w:sz w:val="12"/>
                <w:szCs w:val="12"/>
                <w:color w:val="282A32"/>
              </w:rPr>
              <w:t>(5.8)</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7.1</w:t>
            </w:r>
          </w:p>
        </w:tc>
        <w:tc>
          <w:tcPr>
            <w:tcW w:w="940" w:type="dxa"/>
            <w:vAlign w:val="bottom"/>
          </w:tcPr>
          <w:p>
            <w:pPr>
              <w:jc w:val="right"/>
              <w:ind w:right="60"/>
              <w:spacing w:after="0"/>
              <w:rPr>
                <w:sz w:val="20"/>
                <w:szCs w:val="20"/>
                <w:color w:val="auto"/>
              </w:rPr>
            </w:pPr>
            <w:r>
              <w:rPr>
                <w:rFonts w:ascii="Arial" w:cs="Arial" w:eastAsia="Arial" w:hAnsi="Arial"/>
                <w:sz w:val="12"/>
                <w:szCs w:val="12"/>
                <w:color w:val="282A32"/>
              </w:rPr>
              <w:t>(12.9)</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APME</w:t>
            </w:r>
          </w:p>
        </w:tc>
        <w:tc>
          <w:tcPr>
            <w:tcW w:w="124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79.3</w:t>
            </w:r>
          </w:p>
        </w:tc>
        <w:tc>
          <w:tcPr>
            <w:tcW w:w="1340" w:type="dxa"/>
            <w:vAlign w:val="bottom"/>
          </w:tcPr>
          <w:p>
            <w:pPr>
              <w:jc w:val="right"/>
              <w:ind w:right="439"/>
              <w:spacing w:after="0"/>
              <w:rPr>
                <w:sz w:val="20"/>
                <w:szCs w:val="20"/>
                <w:color w:val="auto"/>
              </w:rPr>
            </w:pPr>
            <w:r>
              <w:rPr>
                <w:rFonts w:ascii="Arial" w:cs="Arial" w:eastAsia="Arial" w:hAnsi="Arial"/>
                <w:sz w:val="12"/>
                <w:szCs w:val="12"/>
                <w:color w:val="282A32"/>
              </w:rPr>
              <w:t>(5.7)</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(10.8)</w:t>
            </w:r>
          </w:p>
        </w:tc>
        <w:tc>
          <w:tcPr>
            <w:tcW w:w="1080" w:type="dxa"/>
            <w:vAlign w:val="bottom"/>
          </w:tcPr>
          <w:p>
            <w:pPr>
              <w:jc w:val="right"/>
              <w:ind w:right="200"/>
              <w:spacing w:after="0"/>
              <w:rPr>
                <w:sz w:val="20"/>
                <w:szCs w:val="20"/>
                <w:color w:val="auto"/>
              </w:rPr>
            </w:pPr>
            <w:r>
              <w:rPr>
                <w:rFonts w:ascii="Arial" w:cs="Arial" w:eastAsia="Arial" w:hAnsi="Arial"/>
                <w:sz w:val="12"/>
                <w:szCs w:val="12"/>
                <w:color w:val="282A32"/>
              </w:rPr>
              <w:t>5.1</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2.2</w:t>
            </w:r>
          </w:p>
        </w:tc>
        <w:tc>
          <w:tcPr>
            <w:tcW w:w="940" w:type="dxa"/>
            <w:vAlign w:val="bottom"/>
          </w:tcPr>
          <w:p>
            <w:pPr>
              <w:jc w:val="right"/>
              <w:ind w:right="120"/>
              <w:spacing w:after="0"/>
              <w:rPr>
                <w:sz w:val="20"/>
                <w:szCs w:val="20"/>
                <w:color w:val="auto"/>
              </w:rPr>
            </w:pPr>
            <w:r>
              <w:rPr>
                <w:rFonts w:ascii="Arial" w:cs="Arial" w:eastAsia="Arial" w:hAnsi="Arial"/>
                <w:sz w:val="12"/>
                <w:szCs w:val="12"/>
                <w:color w:val="282A32"/>
              </w:rPr>
              <w:t>2.9</w:t>
            </w:r>
          </w:p>
        </w:tc>
        <w:tc>
          <w:tcPr>
            <w:tcW w:w="0" w:type="dxa"/>
            <w:vAlign w:val="bottom"/>
          </w:tcPr>
          <w:p>
            <w:pPr>
              <w:spacing w:after="0"/>
              <w:rPr>
                <w:sz w:val="1"/>
                <w:szCs w:val="1"/>
                <w:color w:val="auto"/>
              </w:rPr>
            </w:pPr>
          </w:p>
        </w:tc>
      </w:tr>
      <w:tr>
        <w:trPr>
          <w:trHeight w:val="186"/>
        </w:trPr>
        <w:tc>
          <w:tcPr>
            <w:tcW w:w="2920" w:type="dxa"/>
            <w:vAlign w:val="bottom"/>
          </w:tcPr>
          <w:p>
            <w:pPr>
              <w:ind w:left="20"/>
              <w:spacing w:after="0"/>
              <w:rPr>
                <w:sz w:val="20"/>
                <w:szCs w:val="20"/>
                <w:color w:val="auto"/>
              </w:rPr>
            </w:pPr>
            <w:r>
              <w:rPr>
                <w:rFonts w:ascii="Arial" w:cs="Arial" w:eastAsia="Arial" w:hAnsi="Arial"/>
                <w:sz w:val="12"/>
                <w:szCs w:val="12"/>
                <w:color w:val="282A32"/>
              </w:rPr>
              <w:t>Right Management</w:t>
            </w:r>
          </w:p>
        </w:tc>
        <w:tc>
          <w:tcPr>
            <w:tcW w:w="1240" w:type="dxa"/>
            <w:vAlign w:val="bottom"/>
          </w:tcPr>
          <w:p>
            <w:pPr>
              <w:spacing w:after="0"/>
              <w:rPr>
                <w:sz w:val="16"/>
                <w:szCs w:val="16"/>
                <w:color w:val="auto"/>
              </w:rPr>
            </w:pPr>
          </w:p>
        </w:tc>
        <w:tc>
          <w:tcPr>
            <w:tcW w:w="1180" w:type="dxa"/>
            <w:vAlign w:val="bottom"/>
          </w:tcPr>
          <w:p>
            <w:pPr>
              <w:jc w:val="right"/>
              <w:ind w:right="360"/>
              <w:spacing w:after="0"/>
              <w:rPr>
                <w:sz w:val="20"/>
                <w:szCs w:val="20"/>
                <w:color w:val="auto"/>
              </w:rPr>
            </w:pPr>
            <w:r>
              <w:rPr>
                <w:rFonts w:ascii="Arial" w:cs="Arial" w:eastAsia="Arial" w:hAnsi="Arial"/>
                <w:sz w:val="12"/>
                <w:szCs w:val="12"/>
                <w:color w:val="282A32"/>
              </w:rPr>
              <w:t>38.3</w:t>
            </w:r>
          </w:p>
        </w:tc>
        <w:tc>
          <w:tcPr>
            <w:tcW w:w="1340" w:type="dxa"/>
            <w:vAlign w:val="bottom"/>
          </w:tcPr>
          <w:p>
            <w:pPr>
              <w:jc w:val="right"/>
              <w:ind w:right="479"/>
              <w:spacing w:after="0"/>
              <w:rPr>
                <w:sz w:val="20"/>
                <w:szCs w:val="20"/>
                <w:color w:val="auto"/>
              </w:rPr>
            </w:pPr>
            <w:r>
              <w:rPr>
                <w:rFonts w:ascii="Arial" w:cs="Arial" w:eastAsia="Arial" w:hAnsi="Arial"/>
                <w:sz w:val="12"/>
                <w:szCs w:val="12"/>
                <w:color w:val="282A32"/>
              </w:rPr>
              <w:t>14.3</w:t>
            </w:r>
          </w:p>
        </w:tc>
        <w:tc>
          <w:tcPr>
            <w:tcW w:w="1240" w:type="dxa"/>
            <w:vAlign w:val="bottom"/>
          </w:tcPr>
          <w:p>
            <w:pPr>
              <w:jc w:val="right"/>
              <w:ind w:right="379"/>
              <w:spacing w:after="0"/>
              <w:rPr>
                <w:sz w:val="20"/>
                <w:szCs w:val="20"/>
                <w:color w:val="auto"/>
              </w:rPr>
            </w:pPr>
            <w:r>
              <w:rPr>
                <w:rFonts w:ascii="Arial" w:cs="Arial" w:eastAsia="Arial" w:hAnsi="Arial"/>
                <w:sz w:val="12"/>
                <w:szCs w:val="12"/>
                <w:color w:val="282A32"/>
              </w:rPr>
              <w:t>(5.8)</w:t>
            </w:r>
          </w:p>
        </w:tc>
        <w:tc>
          <w:tcPr>
            <w:tcW w:w="1080" w:type="dxa"/>
            <w:vAlign w:val="bottom"/>
          </w:tcPr>
          <w:p>
            <w:pPr>
              <w:jc w:val="right"/>
              <w:ind w:right="200"/>
              <w:spacing w:after="0"/>
              <w:rPr>
                <w:sz w:val="20"/>
                <w:szCs w:val="20"/>
                <w:color w:val="auto"/>
              </w:rPr>
            </w:pPr>
            <w:r>
              <w:rPr>
                <w:rFonts w:ascii="Arial" w:cs="Arial" w:eastAsia="Arial" w:hAnsi="Arial"/>
                <w:sz w:val="12"/>
                <w:szCs w:val="12"/>
                <w:color w:val="282A32"/>
              </w:rPr>
              <w:t>20.1</w:t>
            </w:r>
          </w:p>
        </w:tc>
        <w:tc>
          <w:tcPr>
            <w:tcW w:w="1520" w:type="dxa"/>
            <w:vAlign w:val="bottom"/>
          </w:tcPr>
          <w:p>
            <w:pPr>
              <w:jc w:val="right"/>
              <w:ind w:right="420"/>
              <w:spacing w:after="0"/>
              <w:rPr>
                <w:sz w:val="20"/>
                <w:szCs w:val="20"/>
                <w:color w:val="auto"/>
              </w:rPr>
            </w:pPr>
            <w:r>
              <w:rPr>
                <w:rFonts w:ascii="Arial" w:cs="Arial" w:eastAsia="Arial" w:hAnsi="Arial"/>
                <w:sz w:val="12"/>
                <w:szCs w:val="12"/>
                <w:color w:val="282A32"/>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282A32"/>
              </w:rPr>
              <w:t>20.1</w:t>
            </w: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989B9"/>
              </w:rPr>
              <w:t>Operating Profit — ManpowerGroup</w:t>
            </w:r>
          </w:p>
        </w:tc>
        <w:tc>
          <w:tcPr>
            <w:tcW w:w="12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688.9</w:t>
            </w: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(4.3)%</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(15.5)%</w:t>
            </w: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11.2%</w:t>
            </w:r>
          </w:p>
        </w:tc>
        <w:tc>
          <w:tcPr>
            <w:tcW w:w="15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31</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56" w:name="page57"/>
    <w:bookmarkEnd w:id="56"/>
    <w:p>
      <w:pPr>
        <w:spacing w:after="0"/>
        <w:rPr>
          <w:sz w:val="20"/>
          <w:szCs w:val="20"/>
          <w:color w:val="auto"/>
        </w:rPr>
      </w:pPr>
      <w:r>
        <w:rPr>
          <w:rFonts w:ascii="Arial" w:cs="Arial" w:eastAsia="Arial" w:hAnsi="Arial"/>
          <w:sz w:val="12"/>
          <w:szCs w:val="12"/>
          <w:color w:val="2989B9"/>
        </w:rPr>
        <w:t>CASH SOURCES AND USES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2016, we had $276.9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 As of December 31, 2016 and 2015, we identified approximately $774.7 million and $604.4 million, respectively, of non-United States earnings that are not permanently invested. Related to these non-United States earnings that may be remitted, we recorded a deferred tax liability of $164.8 million and $132.0 million as of December 31, 2016 and 2015, respectively.</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282A32"/>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Cash provided by operating activities was $600.0 million, $511.5 million and $306.2 million for 2016, 2015 and 2014, respectively. Changes in operating assets and liabilities utilized $49.7 million of cash in 2016, as compared to $116.6 million and $314.2 million in 2015 and 2014, respectively. The change in 2016 from 2015 was primarily attributable to the timing of collections and payments. The change in 2015 from 2014 was primarily attributable to the 2015 sale of $132.8 million of our CICE payroll tax credits (with none sold in 2014) and an increase in accounts payable due to timing of payments, partly offset by an increase in accounts receivables due to the growth in the business.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Accounts receivable increased to $4,413.1 million as of December 31, 2016 from $4,243.0 million as of December 31, 2015, due to an increase in business volume. Utilizing exchange rates as of December 31, 2015, the December 31, 2016 balance would have been approximately $140.0 million higher than reported.</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Capital expenditures were $56.9 million, $52.3 million and $51.5 million during 2016, 2015 and 2014, respectively. These expenditures were primarily comprised of purchases of computer equipment, office furniture and other costs related to office openings and refurbishments, as well as capitalized software costs of $0.9 million in 2016 and $3.4 million in both 2015 and 2014.</w:t>
      </w:r>
    </w:p>
    <w:p>
      <w:pPr>
        <w:spacing w:after="0" w:line="125" w:lineRule="exact"/>
        <w:rPr>
          <w:sz w:val="20"/>
          <w:szCs w:val="20"/>
          <w:color w:val="auto"/>
        </w:rPr>
      </w:pPr>
    </w:p>
    <w:p>
      <w:pPr>
        <w:jc w:val="both"/>
        <w:ind w:right="200"/>
        <w:spacing w:after="0" w:line="260" w:lineRule="auto"/>
        <w:rPr>
          <w:sz w:val="20"/>
          <w:szCs w:val="20"/>
          <w:color w:val="auto"/>
        </w:rPr>
      </w:pPr>
      <w:r>
        <w:rPr>
          <w:rFonts w:ascii="Arial" w:cs="Arial" w:eastAsia="Arial" w:hAnsi="Arial"/>
          <w:sz w:val="12"/>
          <w:szCs w:val="12"/>
          <w:color w:val="282A32"/>
        </w:rPr>
        <w:t>From time to time, we acquire and invest in companies throughout the world, including franchises. The total cash consideration paid for acquisitions, net of cash acquired, for the years ended December 31, 2016, 2015 and 2014 was $57.6 million, $260.5 million and $32.0 million, respectively. Goodwill and intangible assets resulting from the 2016 acquisitions, the majority of which took place in the Netherlands and Norway, were $24.4 million and $6.6 million, respectively, as of December 31, 2016.</w:t>
      </w:r>
    </w:p>
    <w:p>
      <w:pPr>
        <w:spacing w:after="0" w:line="131" w:lineRule="exact"/>
        <w:rPr>
          <w:sz w:val="20"/>
          <w:szCs w:val="20"/>
          <w:color w:val="auto"/>
        </w:rPr>
      </w:pPr>
    </w:p>
    <w:p>
      <w:pPr>
        <w:jc w:val="both"/>
        <w:ind w:right="160"/>
        <w:spacing w:after="0" w:line="257" w:lineRule="auto"/>
        <w:rPr>
          <w:sz w:val="20"/>
          <w:szCs w:val="20"/>
          <w:color w:val="auto"/>
        </w:rPr>
      </w:pPr>
      <w:r>
        <w:rPr>
          <w:rFonts w:ascii="Arial" w:cs="Arial" w:eastAsia="Arial" w:hAnsi="Arial"/>
          <w:sz w:val="12"/>
          <w:szCs w:val="12"/>
          <w:color w:val="282A32"/>
        </w:rPr>
        <w:t>On September 3, 2015, we acquired 7S Group GmbH (“7S”), for total consideration, net of cash acquired, of $140.4 million (€125.3 million) plus contingent consideration based on the financial results of the company and other factors, which are being finalized. In addition, we incurred approximately $3.4 million of transaction costs associated with the acquisition during the year ended December 31, 2015, which have been recorded in selling and administrative expenses. Based primarily in Germany, 7S is a highly specialized provider of human resource services focusing on a number of core sectors including skilled trades, engineering and IT.</w:t>
      </w:r>
    </w:p>
    <w:p>
      <w:pPr>
        <w:spacing w:after="0" w:line="133" w:lineRule="exact"/>
        <w:rPr>
          <w:sz w:val="20"/>
          <w:szCs w:val="20"/>
          <w:color w:val="auto"/>
        </w:rPr>
      </w:pPr>
    </w:p>
    <w:p>
      <w:pPr>
        <w:ind w:right="480"/>
        <w:spacing w:after="0" w:line="269" w:lineRule="auto"/>
        <w:rPr>
          <w:sz w:val="20"/>
          <w:szCs w:val="20"/>
          <w:color w:val="auto"/>
        </w:rPr>
      </w:pPr>
      <w:r>
        <w:rPr>
          <w:rFonts w:ascii="Arial" w:cs="Arial" w:eastAsia="Arial" w:hAnsi="Arial"/>
          <w:sz w:val="12"/>
          <w:szCs w:val="12"/>
          <w:color w:val="282A32"/>
        </w:rPr>
        <w:t>Of the $153.0 million ( €136.5 million) of net acquired assets from the 7S acquisition, $48.8 million (€43.5 million) was recorded as finite-lived intangible assets, of which $44.2 million (€39.4 million) was assigned to customer relationships and will be amortized over 10 years using the straight line method. The customer relationships were $41.4 million (€38.1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32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282A32"/>
        </w:rPr>
        <w:t>and $36.0 million (€34.2 million) as of December 31, 2015 and 2016, respectively. Total amortization expense related to this intangible asset in each of the next five years is $4.2 million. The fair value of $119.1 million (€106.2 million), which was not directly attributable to any specific assets or liabilities, was assigned to goodwill as part of the Germany reporting unit.</w:t>
      </w:r>
    </w:p>
    <w:p>
      <w:pPr>
        <w:spacing w:after="0" w:line="125" w:lineRule="exact"/>
        <w:rPr>
          <w:sz w:val="20"/>
          <w:szCs w:val="20"/>
          <w:color w:val="auto"/>
        </w:rPr>
      </w:pPr>
    </w:p>
    <w:p>
      <w:pPr>
        <w:ind w:right="80"/>
        <w:spacing w:after="0" w:line="269" w:lineRule="auto"/>
        <w:rPr>
          <w:sz w:val="20"/>
          <w:szCs w:val="20"/>
          <w:color w:val="auto"/>
        </w:rPr>
      </w:pPr>
      <w:r>
        <w:rPr>
          <w:rFonts w:ascii="Arial" w:cs="Arial" w:eastAsia="Arial" w:hAnsi="Arial"/>
          <w:sz w:val="12"/>
          <w:szCs w:val="12"/>
          <w:color w:val="282A32"/>
        </w:rPr>
        <w:t>Goodwill and intangible assets resulting from the remaining 2015 acquisitions, the majority of which took place in Australia, Canada and the Netherlands, were $108.7 million and $28.5 million, respectively, as of December 31, 2015.</w:t>
      </w:r>
    </w:p>
    <w:p>
      <w:pPr>
        <w:spacing w:after="0" w:line="125"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282A32"/>
        </w:rPr>
        <w:t>During the third quarter of 2015, we entered into a joint venture to expand our business in the Greater China region. We contributed a majority of the net assets of our China, Hong Kong, Macau and Taiwan operations and the noncontrolling shareholder contributed cash. The joint venture is included in our Consolidated Balance Sheets as we have a controlling financial interest. The noncontrolling equity interest is included in noncontrolling interests in total shareholders’ equity in our Consolidated Balance Sheets.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Net debt repayments were $6.7 million for 2016, compared to net borrowings of $456.1 million for 2015 and $13.4 million in 2014. In September 2015, we offered and sold €400.0 million aggregate principal amount of the Company's 1.875% notes due September 11, 2022. (See the "Euro Notes" section below for further information.) We use excess cash to pay down borrowings under facilities when appropriate.</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282A32"/>
        </w:rPr>
        <w:t>In July 2016, the Board of Directors authorized the repurchase of an additional 6.0 million shares of our common stock. This authorization was in addition to the October 2015 authorization to repurchase 6.0 million shares of our common stock and the December 2012 authorization to repurchase 8.0 million shares of our common stock. Share repurchases may be made from time to time through a variety of methods, including open market purchases, block transactions, privately negotiated transactions or similar facilities. In 2016, we repurchased a total of 6.6 million shares, comprised of 5.3 million shares under the 2015 authorization and 1.3 million shares under the 2016 authorization, at a total cost of $482.2 million. In 2015, we repurchased a total of 6.7 million shares, comprised of 6.0 million shares under the 2012 authorization and 0.7 million shares under the 2015 authorization, at a total cost of $587.9 million</w:t>
      </w:r>
      <w:r>
        <w:rPr>
          <w:rFonts w:ascii="Arial" w:cs="Arial" w:eastAsia="Arial" w:hAnsi="Arial"/>
          <w:sz w:val="13"/>
          <w:szCs w:val="13"/>
          <w:color w:val="000000"/>
        </w:rPr>
        <w:t>,</w:t>
      </w:r>
      <w:r>
        <w:rPr>
          <w:rFonts w:ascii="Arial" w:cs="Arial" w:eastAsia="Arial" w:hAnsi="Arial"/>
          <w:sz w:val="12"/>
          <w:szCs w:val="12"/>
          <w:color w:val="282A32"/>
        </w:rPr>
        <w:t xml:space="preserve"> including a nominal amount of shares at a cost of $7.7 million that settled in January 2016. The share repurchases that settled in January were not reflected in the treasury stock in our Consolidated Balance Sheets as of December 31, 2015. In 2014, we repurchased 2.0 million shares under the 2012 authorization at a cost of $143.5 million. As of December 31, 2016, there were 4.8 million shares remaining authorized for repurchase under the 2016 authorization and no shares remaining under either of the 2015 or 2012 authorizations.</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282A32"/>
        </w:rPr>
        <w:t>We have aggregate commitments of $1,697.3 million related to debt, operating leases, severances and office closure costs, and certain other commitments,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282A32"/>
              </w:rPr>
              <w:t>(in millions)</w:t>
            </w:r>
          </w:p>
        </w:tc>
        <w:tc>
          <w:tcPr>
            <w:tcW w:w="2620" w:type="dxa"/>
            <w:vAlign w:val="bottom"/>
            <w:tcBorders>
              <w:bottom w:val="single" w:sz="8" w:color="auto"/>
            </w:tcBorders>
          </w:tcPr>
          <w:p>
            <w:pPr>
              <w:jc w:val="right"/>
              <w:ind w:right="360"/>
              <w:spacing w:after="0"/>
              <w:rPr>
                <w:sz w:val="20"/>
                <w:szCs w:val="20"/>
                <w:color w:val="auto"/>
              </w:rPr>
            </w:pPr>
            <w:r>
              <w:rPr>
                <w:rFonts w:ascii="Arial" w:cs="Arial" w:eastAsia="Arial" w:hAnsi="Arial"/>
                <w:sz w:val="10"/>
                <w:szCs w:val="10"/>
                <w:color w:val="282A32"/>
              </w:rPr>
              <w:t>Total</w:t>
            </w: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color w:val="282A32"/>
              </w:rPr>
              <w:t>2017</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color w:val="282A32"/>
              </w:rPr>
              <w:t>2018–2019</w:t>
            </w: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color w:val="282A32"/>
              </w:rPr>
              <w:t>2020–2021</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0"/>
                <w:szCs w:val="10"/>
                <w:color w:val="282A32"/>
              </w:rPr>
              <w:t>Thereafter</w:t>
            </w:r>
          </w:p>
        </w:tc>
      </w:tr>
      <w:tr>
        <w:trPr>
          <w:trHeight w:val="188"/>
        </w:trPr>
        <w:tc>
          <w:tcPr>
            <w:tcW w:w="4040" w:type="dxa"/>
            <w:vAlign w:val="bottom"/>
          </w:tcPr>
          <w:p>
            <w:pPr>
              <w:ind w:left="20"/>
              <w:spacing w:after="0"/>
              <w:rPr>
                <w:sz w:val="20"/>
                <w:szCs w:val="20"/>
                <w:color w:val="auto"/>
              </w:rPr>
            </w:pPr>
            <w:r>
              <w:rPr>
                <w:rFonts w:ascii="Arial" w:cs="Arial" w:eastAsia="Arial" w:hAnsi="Arial"/>
                <w:sz w:val="12"/>
                <w:szCs w:val="12"/>
                <w:color w:val="282A32"/>
              </w:rPr>
              <w:t>Long-term debt including interest</w:t>
            </w:r>
          </w:p>
        </w:tc>
        <w:tc>
          <w:tcPr>
            <w:tcW w:w="2620" w:type="dxa"/>
            <w:vAlign w:val="bottom"/>
          </w:tcPr>
          <w:p>
            <w:pPr>
              <w:jc w:val="right"/>
              <w:ind w:right="360"/>
              <w:spacing w:after="0"/>
              <w:rPr>
                <w:sz w:val="20"/>
                <w:szCs w:val="20"/>
                <w:color w:val="auto"/>
              </w:rPr>
            </w:pPr>
            <w:r>
              <w:rPr>
                <w:rFonts w:ascii="Arial" w:cs="Arial" w:eastAsia="Arial" w:hAnsi="Arial"/>
                <w:sz w:val="12"/>
                <w:szCs w:val="12"/>
                <w:color w:val="282A32"/>
              </w:rPr>
              <w:t>$866.4</w:t>
            </w:r>
          </w:p>
        </w:tc>
        <w:tc>
          <w:tcPr>
            <w:tcW w:w="1200" w:type="dxa"/>
            <w:vAlign w:val="bottom"/>
          </w:tcPr>
          <w:p>
            <w:pPr>
              <w:jc w:val="right"/>
              <w:ind w:right="320"/>
              <w:spacing w:after="0"/>
              <w:rPr>
                <w:sz w:val="20"/>
                <w:szCs w:val="20"/>
                <w:color w:val="auto"/>
              </w:rPr>
            </w:pPr>
            <w:r>
              <w:rPr>
                <w:rFonts w:ascii="Arial" w:cs="Arial" w:eastAsia="Arial" w:hAnsi="Arial"/>
                <w:sz w:val="12"/>
                <w:szCs w:val="12"/>
                <w:color w:val="282A32"/>
              </w:rPr>
              <w:t>$24.8</w:t>
            </w:r>
          </w:p>
        </w:tc>
        <w:tc>
          <w:tcPr>
            <w:tcW w:w="1260" w:type="dxa"/>
            <w:vAlign w:val="bottom"/>
          </w:tcPr>
          <w:p>
            <w:pPr>
              <w:jc w:val="right"/>
              <w:ind w:right="320"/>
              <w:spacing w:after="0"/>
              <w:rPr>
                <w:sz w:val="20"/>
                <w:szCs w:val="20"/>
                <w:color w:val="auto"/>
              </w:rPr>
            </w:pPr>
            <w:r>
              <w:rPr>
                <w:rFonts w:ascii="Arial" w:cs="Arial" w:eastAsia="Arial" w:hAnsi="Arial"/>
                <w:sz w:val="12"/>
                <w:szCs w:val="12"/>
                <w:color w:val="282A32"/>
              </w:rPr>
              <w:t>$400.2</w:t>
            </w:r>
          </w:p>
        </w:tc>
        <w:tc>
          <w:tcPr>
            <w:tcW w:w="1240" w:type="dxa"/>
            <w:vAlign w:val="bottom"/>
          </w:tcPr>
          <w:p>
            <w:pPr>
              <w:jc w:val="right"/>
              <w:ind w:right="320"/>
              <w:spacing w:after="0"/>
              <w:rPr>
                <w:sz w:val="20"/>
                <w:szCs w:val="20"/>
                <w:color w:val="auto"/>
              </w:rPr>
            </w:pPr>
            <w:r>
              <w:rPr>
                <w:rFonts w:ascii="Arial" w:cs="Arial" w:eastAsia="Arial" w:hAnsi="Arial"/>
                <w:sz w:val="12"/>
                <w:szCs w:val="12"/>
                <w:color w:val="282A32"/>
              </w:rPr>
              <w:t>$15.8</w:t>
            </w:r>
          </w:p>
        </w:tc>
        <w:tc>
          <w:tcPr>
            <w:tcW w:w="940" w:type="dxa"/>
            <w:vAlign w:val="bottom"/>
          </w:tcPr>
          <w:p>
            <w:pPr>
              <w:jc w:val="right"/>
              <w:ind w:right="40"/>
              <w:spacing w:after="0"/>
              <w:rPr>
                <w:sz w:val="20"/>
                <w:szCs w:val="20"/>
                <w:color w:val="auto"/>
              </w:rPr>
            </w:pPr>
            <w:r>
              <w:rPr>
                <w:rFonts w:ascii="Arial" w:cs="Arial" w:eastAsia="Arial" w:hAnsi="Arial"/>
                <w:sz w:val="12"/>
                <w:szCs w:val="12"/>
                <w:color w:val="282A32"/>
              </w:rPr>
              <w:t>$425.6</w:t>
            </w:r>
          </w:p>
        </w:tc>
      </w:tr>
      <w:tr>
        <w:trPr>
          <w:trHeight w:val="186"/>
        </w:trPr>
        <w:tc>
          <w:tcPr>
            <w:tcW w:w="4040" w:type="dxa"/>
            <w:vAlign w:val="bottom"/>
          </w:tcPr>
          <w:p>
            <w:pPr>
              <w:ind w:left="20"/>
              <w:spacing w:after="0"/>
              <w:rPr>
                <w:sz w:val="20"/>
                <w:szCs w:val="20"/>
                <w:color w:val="auto"/>
              </w:rPr>
            </w:pPr>
            <w:r>
              <w:rPr>
                <w:rFonts w:ascii="Arial" w:cs="Arial" w:eastAsia="Arial" w:hAnsi="Arial"/>
                <w:sz w:val="12"/>
                <w:szCs w:val="12"/>
                <w:color w:val="282A32"/>
              </w:rPr>
              <w:t>Short-term borrowings</w:t>
            </w:r>
          </w:p>
        </w:tc>
        <w:tc>
          <w:tcPr>
            <w:tcW w:w="2620" w:type="dxa"/>
            <w:vAlign w:val="bottom"/>
          </w:tcPr>
          <w:p>
            <w:pPr>
              <w:jc w:val="right"/>
              <w:ind w:right="360"/>
              <w:spacing w:after="0"/>
              <w:rPr>
                <w:sz w:val="20"/>
                <w:szCs w:val="20"/>
                <w:color w:val="auto"/>
              </w:rPr>
            </w:pPr>
            <w:r>
              <w:rPr>
                <w:rFonts w:ascii="Arial" w:cs="Arial" w:eastAsia="Arial" w:hAnsi="Arial"/>
                <w:sz w:val="12"/>
                <w:szCs w:val="12"/>
                <w:color w:val="282A32"/>
              </w:rPr>
              <w:t>39.5</w:t>
            </w:r>
          </w:p>
        </w:tc>
        <w:tc>
          <w:tcPr>
            <w:tcW w:w="1200" w:type="dxa"/>
            <w:vAlign w:val="bottom"/>
          </w:tcPr>
          <w:p>
            <w:pPr>
              <w:jc w:val="right"/>
              <w:ind w:right="320"/>
              <w:spacing w:after="0"/>
              <w:rPr>
                <w:sz w:val="20"/>
                <w:szCs w:val="20"/>
                <w:color w:val="auto"/>
              </w:rPr>
            </w:pPr>
            <w:r>
              <w:rPr>
                <w:rFonts w:ascii="Arial" w:cs="Arial" w:eastAsia="Arial" w:hAnsi="Arial"/>
                <w:sz w:val="12"/>
                <w:szCs w:val="12"/>
                <w:color w:val="282A32"/>
              </w:rPr>
              <w:t>39.5</w:t>
            </w:r>
          </w:p>
        </w:tc>
        <w:tc>
          <w:tcPr>
            <w:tcW w:w="1260" w:type="dxa"/>
            <w:vAlign w:val="bottom"/>
          </w:tcPr>
          <w:p>
            <w:pPr>
              <w:jc w:val="right"/>
              <w:ind w:right="320"/>
              <w:spacing w:after="0"/>
              <w:rPr>
                <w:sz w:val="20"/>
                <w:szCs w:val="20"/>
                <w:color w:val="auto"/>
              </w:rPr>
            </w:pPr>
            <w:r>
              <w:rPr>
                <w:rFonts w:ascii="Arial" w:cs="Arial" w:eastAsia="Arial" w:hAnsi="Arial"/>
                <w:sz w:val="12"/>
                <w:szCs w:val="12"/>
                <w:color w:val="282A32"/>
              </w:rPr>
              <w:t>—</w:t>
            </w:r>
          </w:p>
        </w:tc>
        <w:tc>
          <w:tcPr>
            <w:tcW w:w="1240" w:type="dxa"/>
            <w:vAlign w:val="bottom"/>
          </w:tcPr>
          <w:p>
            <w:pPr>
              <w:jc w:val="right"/>
              <w:ind w:right="320"/>
              <w:spacing w:after="0"/>
              <w:rPr>
                <w:sz w:val="20"/>
                <w:szCs w:val="20"/>
                <w:color w:val="auto"/>
              </w:rPr>
            </w:pPr>
            <w:r>
              <w:rPr>
                <w:rFonts w:ascii="Arial" w:cs="Arial" w:eastAsia="Arial" w:hAnsi="Arial"/>
                <w:sz w:val="12"/>
                <w:szCs w:val="12"/>
                <w:color w:val="282A32"/>
              </w:rPr>
              <w:t>—</w:t>
            </w:r>
          </w:p>
        </w:tc>
        <w:tc>
          <w:tcPr>
            <w:tcW w:w="940" w:type="dxa"/>
            <w:vAlign w:val="bottom"/>
          </w:tcPr>
          <w:p>
            <w:pPr>
              <w:jc w:val="right"/>
              <w:ind w:right="40"/>
              <w:spacing w:after="0"/>
              <w:rPr>
                <w:sz w:val="20"/>
                <w:szCs w:val="20"/>
                <w:color w:val="auto"/>
              </w:rPr>
            </w:pPr>
            <w:r>
              <w:rPr>
                <w:rFonts w:ascii="Arial" w:cs="Arial" w:eastAsia="Arial" w:hAnsi="Arial"/>
                <w:sz w:val="12"/>
                <w:szCs w:val="12"/>
                <w:color w:val="282A32"/>
              </w:rPr>
              <w:t>—</w:t>
            </w:r>
          </w:p>
        </w:tc>
      </w:tr>
      <w:tr>
        <w:trPr>
          <w:trHeight w:val="186"/>
        </w:trPr>
        <w:tc>
          <w:tcPr>
            <w:tcW w:w="4040" w:type="dxa"/>
            <w:vAlign w:val="bottom"/>
          </w:tcPr>
          <w:p>
            <w:pPr>
              <w:ind w:left="20"/>
              <w:spacing w:after="0"/>
              <w:rPr>
                <w:sz w:val="20"/>
                <w:szCs w:val="20"/>
                <w:color w:val="auto"/>
              </w:rPr>
            </w:pPr>
            <w:r>
              <w:rPr>
                <w:rFonts w:ascii="Arial" w:cs="Arial" w:eastAsia="Arial" w:hAnsi="Arial"/>
                <w:sz w:val="12"/>
                <w:szCs w:val="12"/>
                <w:color w:val="282A32"/>
              </w:rPr>
              <w:t>Operating leases</w:t>
            </w:r>
          </w:p>
        </w:tc>
        <w:tc>
          <w:tcPr>
            <w:tcW w:w="2620" w:type="dxa"/>
            <w:vAlign w:val="bottom"/>
          </w:tcPr>
          <w:p>
            <w:pPr>
              <w:jc w:val="right"/>
              <w:ind w:right="360"/>
              <w:spacing w:after="0"/>
              <w:rPr>
                <w:sz w:val="20"/>
                <w:szCs w:val="20"/>
                <w:color w:val="auto"/>
              </w:rPr>
            </w:pPr>
            <w:r>
              <w:rPr>
                <w:rFonts w:ascii="Arial" w:cs="Arial" w:eastAsia="Arial" w:hAnsi="Arial"/>
                <w:sz w:val="12"/>
                <w:szCs w:val="12"/>
                <w:color w:val="282A32"/>
              </w:rPr>
              <w:t>592.3</w:t>
            </w:r>
          </w:p>
        </w:tc>
        <w:tc>
          <w:tcPr>
            <w:tcW w:w="1200" w:type="dxa"/>
            <w:vAlign w:val="bottom"/>
          </w:tcPr>
          <w:p>
            <w:pPr>
              <w:jc w:val="right"/>
              <w:ind w:right="320"/>
              <w:spacing w:after="0"/>
              <w:rPr>
                <w:sz w:val="20"/>
                <w:szCs w:val="20"/>
                <w:color w:val="auto"/>
              </w:rPr>
            </w:pPr>
            <w:r>
              <w:rPr>
                <w:rFonts w:ascii="Arial" w:cs="Arial" w:eastAsia="Arial" w:hAnsi="Arial"/>
                <w:sz w:val="12"/>
                <w:szCs w:val="12"/>
                <w:color w:val="282A32"/>
              </w:rPr>
              <w:t>156.4</w:t>
            </w:r>
          </w:p>
        </w:tc>
        <w:tc>
          <w:tcPr>
            <w:tcW w:w="1260" w:type="dxa"/>
            <w:vAlign w:val="bottom"/>
          </w:tcPr>
          <w:p>
            <w:pPr>
              <w:jc w:val="right"/>
              <w:ind w:right="320"/>
              <w:spacing w:after="0"/>
              <w:rPr>
                <w:sz w:val="20"/>
                <w:szCs w:val="20"/>
                <w:color w:val="auto"/>
              </w:rPr>
            </w:pPr>
            <w:r>
              <w:rPr>
                <w:rFonts w:ascii="Arial" w:cs="Arial" w:eastAsia="Arial" w:hAnsi="Arial"/>
                <w:sz w:val="12"/>
                <w:szCs w:val="12"/>
                <w:color w:val="282A32"/>
              </w:rPr>
              <w:t>209.6</w:t>
            </w:r>
          </w:p>
        </w:tc>
        <w:tc>
          <w:tcPr>
            <w:tcW w:w="1240" w:type="dxa"/>
            <w:vAlign w:val="bottom"/>
          </w:tcPr>
          <w:p>
            <w:pPr>
              <w:jc w:val="right"/>
              <w:ind w:right="320"/>
              <w:spacing w:after="0"/>
              <w:rPr>
                <w:sz w:val="20"/>
                <w:szCs w:val="20"/>
                <w:color w:val="auto"/>
              </w:rPr>
            </w:pPr>
            <w:r>
              <w:rPr>
                <w:rFonts w:ascii="Arial" w:cs="Arial" w:eastAsia="Arial" w:hAnsi="Arial"/>
                <w:sz w:val="12"/>
                <w:szCs w:val="12"/>
                <w:color w:val="282A32"/>
              </w:rPr>
              <w:t>125.6</w:t>
            </w:r>
          </w:p>
        </w:tc>
        <w:tc>
          <w:tcPr>
            <w:tcW w:w="940" w:type="dxa"/>
            <w:vAlign w:val="bottom"/>
          </w:tcPr>
          <w:p>
            <w:pPr>
              <w:jc w:val="right"/>
              <w:ind w:right="40"/>
              <w:spacing w:after="0"/>
              <w:rPr>
                <w:sz w:val="20"/>
                <w:szCs w:val="20"/>
                <w:color w:val="auto"/>
              </w:rPr>
            </w:pPr>
            <w:r>
              <w:rPr>
                <w:rFonts w:ascii="Arial" w:cs="Arial" w:eastAsia="Arial" w:hAnsi="Arial"/>
                <w:sz w:val="12"/>
                <w:szCs w:val="12"/>
                <w:color w:val="282A32"/>
              </w:rPr>
              <w:t>100.7</w:t>
            </w:r>
          </w:p>
        </w:tc>
      </w:tr>
      <w:tr>
        <w:trPr>
          <w:trHeight w:val="186"/>
        </w:trPr>
        <w:tc>
          <w:tcPr>
            <w:tcW w:w="4040" w:type="dxa"/>
            <w:vAlign w:val="bottom"/>
          </w:tcPr>
          <w:p>
            <w:pPr>
              <w:ind w:left="20"/>
              <w:spacing w:after="0"/>
              <w:rPr>
                <w:sz w:val="20"/>
                <w:szCs w:val="20"/>
                <w:color w:val="auto"/>
              </w:rPr>
            </w:pPr>
            <w:r>
              <w:rPr>
                <w:rFonts w:ascii="Arial" w:cs="Arial" w:eastAsia="Arial" w:hAnsi="Arial"/>
                <w:sz w:val="12"/>
                <w:szCs w:val="12"/>
                <w:color w:val="282A32"/>
              </w:rPr>
              <w:t>Severances and other office closure costs</w:t>
            </w:r>
          </w:p>
        </w:tc>
        <w:tc>
          <w:tcPr>
            <w:tcW w:w="2620" w:type="dxa"/>
            <w:vAlign w:val="bottom"/>
          </w:tcPr>
          <w:p>
            <w:pPr>
              <w:jc w:val="right"/>
              <w:ind w:right="360"/>
              <w:spacing w:after="0"/>
              <w:rPr>
                <w:sz w:val="20"/>
                <w:szCs w:val="20"/>
                <w:color w:val="auto"/>
              </w:rPr>
            </w:pPr>
            <w:r>
              <w:rPr>
                <w:rFonts w:ascii="Arial" w:cs="Arial" w:eastAsia="Arial" w:hAnsi="Arial"/>
                <w:sz w:val="12"/>
                <w:szCs w:val="12"/>
                <w:color w:val="282A32"/>
              </w:rPr>
              <w:t>4.5</w:t>
            </w:r>
          </w:p>
        </w:tc>
        <w:tc>
          <w:tcPr>
            <w:tcW w:w="1200" w:type="dxa"/>
            <w:vAlign w:val="bottom"/>
          </w:tcPr>
          <w:p>
            <w:pPr>
              <w:jc w:val="right"/>
              <w:ind w:right="320"/>
              <w:spacing w:after="0"/>
              <w:rPr>
                <w:sz w:val="20"/>
                <w:szCs w:val="20"/>
                <w:color w:val="auto"/>
              </w:rPr>
            </w:pPr>
            <w:r>
              <w:rPr>
                <w:rFonts w:ascii="Arial" w:cs="Arial" w:eastAsia="Arial" w:hAnsi="Arial"/>
                <w:sz w:val="12"/>
                <w:szCs w:val="12"/>
                <w:color w:val="282A32"/>
              </w:rPr>
              <w:t>3.1</w:t>
            </w:r>
          </w:p>
        </w:tc>
        <w:tc>
          <w:tcPr>
            <w:tcW w:w="1260" w:type="dxa"/>
            <w:vAlign w:val="bottom"/>
          </w:tcPr>
          <w:p>
            <w:pPr>
              <w:jc w:val="right"/>
              <w:ind w:right="320"/>
              <w:spacing w:after="0"/>
              <w:rPr>
                <w:sz w:val="20"/>
                <w:szCs w:val="20"/>
                <w:color w:val="auto"/>
              </w:rPr>
            </w:pPr>
            <w:r>
              <w:rPr>
                <w:rFonts w:ascii="Arial" w:cs="Arial" w:eastAsia="Arial" w:hAnsi="Arial"/>
                <w:sz w:val="12"/>
                <w:szCs w:val="12"/>
                <w:color w:val="282A32"/>
              </w:rPr>
              <w:t>0.9</w:t>
            </w:r>
          </w:p>
        </w:tc>
        <w:tc>
          <w:tcPr>
            <w:tcW w:w="1240" w:type="dxa"/>
            <w:vAlign w:val="bottom"/>
          </w:tcPr>
          <w:p>
            <w:pPr>
              <w:jc w:val="right"/>
              <w:ind w:right="320"/>
              <w:spacing w:after="0"/>
              <w:rPr>
                <w:sz w:val="20"/>
                <w:szCs w:val="20"/>
                <w:color w:val="auto"/>
              </w:rPr>
            </w:pPr>
            <w:r>
              <w:rPr>
                <w:rFonts w:ascii="Arial" w:cs="Arial" w:eastAsia="Arial" w:hAnsi="Arial"/>
                <w:sz w:val="12"/>
                <w:szCs w:val="12"/>
                <w:color w:val="282A32"/>
              </w:rPr>
              <w:t>0.5</w:t>
            </w:r>
          </w:p>
        </w:tc>
        <w:tc>
          <w:tcPr>
            <w:tcW w:w="940" w:type="dxa"/>
            <w:vAlign w:val="bottom"/>
          </w:tcPr>
          <w:p>
            <w:pPr>
              <w:jc w:val="right"/>
              <w:ind w:right="40"/>
              <w:spacing w:after="0"/>
              <w:rPr>
                <w:sz w:val="20"/>
                <w:szCs w:val="20"/>
                <w:color w:val="auto"/>
              </w:rPr>
            </w:pPr>
            <w:r>
              <w:rPr>
                <w:rFonts w:ascii="Arial" w:cs="Arial" w:eastAsia="Arial" w:hAnsi="Arial"/>
                <w:sz w:val="12"/>
                <w:szCs w:val="12"/>
                <w:color w:val="282A32"/>
              </w:rPr>
              <w:t>—</w:t>
            </w:r>
          </w:p>
        </w:tc>
      </w:tr>
      <w:tr>
        <w:trPr>
          <w:trHeight w:val="19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w:t>
            </w:r>
          </w:p>
        </w:tc>
        <w:tc>
          <w:tcPr>
            <w:tcW w:w="26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194.6</w:t>
            </w: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282A32"/>
              </w:rPr>
              <w:t>71.6</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282A32"/>
              </w:rPr>
              <w:t>70.8</w:t>
            </w: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282A32"/>
              </w:rPr>
              <w:t>25.1</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27.1</w:t>
            </w:r>
          </w:p>
        </w:tc>
      </w:tr>
      <w:tr>
        <w:trPr>
          <w:trHeight w:val="197"/>
        </w:trPr>
        <w:tc>
          <w:tcPr>
            <w:tcW w:w="40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282A32"/>
              </w:rPr>
              <w:t>$1,697.3</w:t>
            </w: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282A32"/>
              </w:rPr>
              <w:t>$295.4</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282A32"/>
              </w:rPr>
              <w:t>$681.5</w:t>
            </w: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282A32"/>
              </w:rPr>
              <w:t>$167.0</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$553.4</w:t>
            </w:r>
          </w:p>
        </w:tc>
      </w:tr>
    </w:tbl>
    <w:p>
      <w:pPr>
        <w:spacing w:after="0" w:line="146"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Our liability for gross unrecognized tax benefits, including related interest and penalties, of $44.0 million is excluded from the commitments above as we cannot determine the years in which these positions might ultimately be settled.</w:t>
      </w:r>
    </w:p>
    <w:p>
      <w:pPr>
        <w:spacing w:after="0" w:line="125"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We recorded net restructuring costs of $16.4 million in 2015 in selling and administrative expenses, primarily related to severances and office closures and consolidations in multiple countries. During 2016, we made payments of $11.9 million out of our restructuring reserve. We expect a majority of the remaining $4.5 million reserve will be paid by the end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33</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58" w:name="page59"/>
    <w:bookmarkEnd w:id="58"/>
    <w:p>
      <w:pPr>
        <w:ind w:right="80"/>
        <w:spacing w:after="0" w:line="256" w:lineRule="auto"/>
        <w:rPr>
          <w:sz w:val="20"/>
          <w:szCs w:val="20"/>
          <w:color w:val="auto"/>
        </w:rPr>
      </w:pPr>
      <w:r>
        <w:rPr>
          <w:rFonts w:ascii="Arial" w:cs="Arial" w:eastAsia="Arial" w:hAnsi="Arial"/>
          <w:sz w:val="12"/>
          <w:szCs w:val="12"/>
          <w:color w:val="282A32"/>
        </w:rPr>
        <w:t>We have entered into guarantee contracts and stand-by letters of credit that total approximately $177.6 million and $190.2 million as of December 31, 2016 and 2015, respectively ($130.7 million and $144.7 million for guarantees, respectively, and $46.9 million and $45.5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$1.7 million and $1.5 million in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162560</wp:posOffset>
            </wp:positionV>
            <wp:extent cx="1530350" cy="1188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0350" cy="1188720"/>
                    </a:xfrm>
                    <a:prstGeom prst="rect">
                      <a:avLst/>
                    </a:prstGeom>
                    <a:noFill/>
                  </pic:spPr>
                </pic:pic>
              </a:graphicData>
            </a:graphic>
          </wp:anchor>
        </w:drawing>
      </w:r>
    </w:p>
    <w:p>
      <w:pPr>
        <w:spacing w:after="0" w:line="237" w:lineRule="exact"/>
        <w:rPr>
          <w:sz w:val="20"/>
          <w:szCs w:val="20"/>
          <w:color w:val="auto"/>
        </w:rPr>
      </w:pPr>
    </w:p>
    <w:p>
      <w:pPr>
        <w:jc w:val="both"/>
        <w:ind w:left="4640" w:right="80"/>
        <w:spacing w:after="0" w:line="257" w:lineRule="auto"/>
        <w:rPr>
          <w:sz w:val="20"/>
          <w:szCs w:val="20"/>
          <w:color w:val="auto"/>
        </w:rPr>
      </w:pPr>
      <w:r>
        <w:rPr>
          <w:rFonts w:ascii="Arial" w:cs="Arial" w:eastAsia="Arial" w:hAnsi="Arial"/>
          <w:sz w:val="12"/>
          <w:szCs w:val="12"/>
          <w:color w:val="282A32"/>
        </w:rPr>
        <w:t>Total capitalization as of December 31, 2016 was $3,271.8 million, comprised of $825.4 million in debt and $2,446.4 million in equity. Debt as a percentage of total capitalization was 25%, 24% and 14% as of December 31, 2016, 2015 and 2014, respectively. The increase in 2015 in debt as a percentage of total capitalization was primarily due to the offering of our €400.0 million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color w:val="2989B9"/>
        </w:rPr>
        <w:t>Euro Notes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On September 11, 2015, we offered and sold €400.0 million aggregate principal amount of the Company's 1.875% notes due September 11, 2022 (the "€400.0 million Notes"). The net proceeds from the</w:t>
      </w:r>
    </w:p>
    <w:p>
      <w:pPr>
        <w:spacing w:after="0" w:line="7" w:lineRule="exact"/>
        <w:rPr>
          <w:sz w:val="20"/>
          <w:szCs w:val="20"/>
          <w:color w:val="auto"/>
        </w:rPr>
      </w:pPr>
    </w:p>
    <w:p>
      <w:pPr>
        <w:ind w:right="220"/>
        <w:spacing w:after="0" w:line="260" w:lineRule="auto"/>
        <w:rPr>
          <w:sz w:val="20"/>
          <w:szCs w:val="20"/>
          <w:color w:val="auto"/>
        </w:rPr>
      </w:pPr>
      <w:r>
        <w:rPr>
          <w:rFonts w:ascii="Arial" w:cs="Arial" w:eastAsia="Arial" w:hAnsi="Arial"/>
          <w:sz w:val="12"/>
          <w:szCs w:val="12"/>
          <w:color w:val="282A32"/>
        </w:rPr>
        <w:t>€400.0 million Notes of €397.4 million were used for general corporate purposes, including share repurchases and the acquisition of or investment in complementary businesses or other assets. The €400.0 million Notes were issued at a price of 99.753% to yield an effective interest rate of 1.913%. Interest on the €400.0 million Notes is payable in arrears on September 11 of each year. We may redeem the €400.0 million Notes, in whole but not in part, at our option at any time for a redemption price determined in accordance with the term of the €400.0 million Notes.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also have €350.0 million aggregate principal amount 4.50% notes due June 22, 2018 (the “€350.0 million Notes”), which were issued at a price of 99.974% to yield an effective interest rate of 4.505%. Interest on the €350.0 million Notes is payable in arrears on June 22 of each year. We may redeem the €350.0 million Notes, in whole but not in part, at our option at any time for a redemption price determined in accordance with the term of the €350.0 million Notes.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When the €400.0 million Notes and €350.0 million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€400.0 million Notes or the €350.0 million Notes.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Both the €400.0 million Notes and €350.0 million Notes contain certain customary non-financial restrictive covenants and events of default and are unsecured senior obligations and rank equally with all of our existing and future senior unsecured debt and other liabilities. A portion of these notes has been designated as a hedge of our net investment in our foreign subsidiaries with a Euro-functional currency as of December 31, 2016. For this portion of the Euro-denominated notes, since our net investment in these subsidiaries exceeds the respective amount of the designated borrowings, both net of taxes, the related translation gains or losses are included as a component of accumulated other comprehensive loss. (See the Significant Matters Affecting Results of Operations section and Notes 7 and 12 to the Consolidated Financial Statements for further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Revolving Credit Agreement</w:t>
      </w:r>
    </w:p>
    <w:p>
      <w:pPr>
        <w:spacing w:after="0" w:line="152" w:lineRule="exact"/>
        <w:rPr>
          <w:sz w:val="20"/>
          <w:szCs w:val="20"/>
          <w:color w:val="auto"/>
        </w:rPr>
      </w:pPr>
    </w:p>
    <w:p>
      <w:pPr>
        <w:ind w:right="280"/>
        <w:spacing w:after="0" w:line="269" w:lineRule="auto"/>
        <w:rPr>
          <w:sz w:val="20"/>
          <w:szCs w:val="20"/>
          <w:color w:val="auto"/>
        </w:rPr>
      </w:pPr>
      <w:r>
        <w:rPr>
          <w:rFonts w:ascii="Arial" w:cs="Arial" w:eastAsia="Arial" w:hAnsi="Arial"/>
          <w:sz w:val="12"/>
          <w:szCs w:val="12"/>
          <w:color w:val="282A32"/>
        </w:rPr>
        <w:t>We have a Five Year Credit Agreement (the “Credit Agreement”) with a syndicate of commercial banks with a termination date of September 16, 2020. The Credit Agreement allows for borrowing of $600.0 million in various currencies, and up to</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34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ind w:right="100"/>
        <w:spacing w:after="0" w:line="260" w:lineRule="auto"/>
        <w:rPr>
          <w:sz w:val="20"/>
          <w:szCs w:val="20"/>
          <w:color w:val="auto"/>
        </w:rPr>
      </w:pPr>
      <w:r>
        <w:rPr>
          <w:rFonts w:ascii="Arial" w:cs="Arial" w:eastAsia="Arial" w:hAnsi="Arial"/>
          <w:sz w:val="12"/>
          <w:szCs w:val="12"/>
          <w:color w:val="282A32"/>
        </w:rPr>
        <w:t>$150.0 million may be used for the issuance of stand-by letters of credit. We had no borrowings under this facility as of both December 31, 2016 and 2015. Outstanding letters of credit issued under the Credit Agreement totaled $0.8 million and $0.9 million as of December 31, 2016 and 2015, respectively. Additional borrowings of $599.2 million and $599.1 million were available to us under the facility as of December 31, 2016 and 2015, respectively.</w:t>
      </w:r>
    </w:p>
    <w:p>
      <w:pPr>
        <w:spacing w:after="0" w:line="121" w:lineRule="exact"/>
        <w:rPr>
          <w:sz w:val="20"/>
          <w:szCs w:val="20"/>
          <w:color w:val="auto"/>
        </w:rPr>
      </w:pPr>
    </w:p>
    <w:p>
      <w:pPr>
        <w:ind w:right="160"/>
        <w:spacing w:after="0" w:line="260" w:lineRule="auto"/>
        <w:rPr>
          <w:sz w:val="20"/>
          <w:szCs w:val="20"/>
          <w:color w:val="auto"/>
        </w:rPr>
      </w:pPr>
      <w:r>
        <w:rPr>
          <w:rFonts w:ascii="Arial" w:cs="Arial" w:eastAsia="Arial" w:hAnsi="Arial"/>
          <w:sz w:val="12"/>
          <w:szCs w:val="12"/>
          <w:color w:val="282A32"/>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 A downgrade from both credit agencies would unfavorably impact our facility fees and result in additional costs ranging from approximately $0.2 million to $0.8 million annually.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As defined in the Credit Agreement, we had a net Debt-to-EBITDA ratio of 0.75 to 1 (compared to the maximum allowable ratio of 3.5 to 1) and a Fixed Charge Coverage ratio of 4.94 to 1 (compared to the minimum required ratio of 1.5 to 1) as of December 31, 2016.</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989B9"/>
        </w:rPr>
        <w:t>Other</w:t>
      </w:r>
    </w:p>
    <w:p>
      <w:pPr>
        <w:spacing w:after="0" w:line="152" w:lineRule="exact"/>
        <w:rPr>
          <w:sz w:val="20"/>
          <w:szCs w:val="20"/>
          <w:color w:val="auto"/>
        </w:rPr>
      </w:pPr>
    </w:p>
    <w:p>
      <w:pPr>
        <w:jc w:val="both"/>
        <w:ind w:right="260"/>
        <w:spacing w:after="0" w:line="260" w:lineRule="auto"/>
        <w:rPr>
          <w:sz w:val="20"/>
          <w:szCs w:val="20"/>
          <w:color w:val="auto"/>
        </w:rPr>
      </w:pPr>
      <w:r>
        <w:rPr>
          <w:rFonts w:ascii="Arial" w:cs="Arial" w:eastAsia="Arial" w:hAnsi="Arial"/>
          <w:sz w:val="12"/>
          <w:szCs w:val="12"/>
          <w:color w:val="282A32"/>
        </w:rPr>
        <w:t>In addition to the previously mentioned facilities, we maintain separate bank credit lines with financial institutions to meet working capital needs of our subsidiary operations. As of December 31, 2016, such uncommitted credit lines totaled $281.5 million, of which $241.3 million was unused. Under the Amended Agreement, total subsidiary borrowings cannot exceed $300.0 million in the first, second and fourth quarters, and $600.0 million in the third quarter of each year.</w:t>
      </w:r>
    </w:p>
    <w:p>
      <w:pPr>
        <w:spacing w:after="0" w:line="131" w:lineRule="exact"/>
        <w:rPr>
          <w:sz w:val="20"/>
          <w:szCs w:val="20"/>
          <w:color w:val="auto"/>
        </w:rPr>
      </w:pPr>
    </w:p>
    <w:p>
      <w:pPr>
        <w:jc w:val="both"/>
        <w:ind w:right="260"/>
        <w:spacing w:after="0" w:line="269" w:lineRule="auto"/>
        <w:rPr>
          <w:sz w:val="20"/>
          <w:szCs w:val="20"/>
          <w:color w:val="auto"/>
        </w:rPr>
      </w:pPr>
      <w:r>
        <w:rPr>
          <w:rFonts w:ascii="Arial" w:cs="Arial" w:eastAsia="Arial" w:hAnsi="Arial"/>
          <w:sz w:val="12"/>
          <w:szCs w:val="12"/>
          <w:color w:val="282A32"/>
        </w:rPr>
        <w:t>Our long-term debt has a rating of Baa1 from Moody's Investor Services and BBB from Standard and Poor's, both with a stable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2989B9"/>
        </w:rPr>
        <w:t>APPLICATION OF CRITICAL ACCOUNTING POLICIES</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282A32"/>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2989B9"/>
        </w:rPr>
        <w:t>Allowance for Doubtful Accounts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Bad debt expense, which increases our allowance for doubtful accounts, is recorded as a selling and administrative expense and was $20.4 million, $16.3 million and $18.9 million for 2016, 2015 and 2014, respectively. Factors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35</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60" w:name="page61"/>
    <w:bookmarkEnd w:id="60"/>
    <w:p>
      <w:pPr>
        <w:jc w:val="both"/>
        <w:spacing w:after="0" w:line="269" w:lineRule="auto"/>
        <w:rPr>
          <w:sz w:val="20"/>
          <w:szCs w:val="20"/>
          <w:color w:val="auto"/>
        </w:rPr>
      </w:pPr>
      <w:r>
        <w:rPr>
          <w:rFonts w:ascii="Arial" w:cs="Arial" w:eastAsia="Arial" w:hAnsi="Arial"/>
          <w:sz w:val="12"/>
          <w:szCs w:val="12"/>
          <w:color w:val="282A32"/>
        </w:rPr>
        <w:t>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Write-offs, which decrease our allowance for doubtful accounts, are recorded as a reduction to our accounts receivable balance and were $16.9 million, $20.3 million and $15.8 million for 2016, 2015 and 2014,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989B9"/>
        </w:rPr>
        <w:t>Employment-Related Items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i w:val="1"/>
          <w:iCs w:val="1"/>
          <w:color w:val="2989B9"/>
        </w:rPr>
        <w:t>Defined Benefit Pension Plans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We sponsor several qualified and nonqualified pension plans covering permanent employees. The most significant plans are located in the United Kingdom, the United States, the Netherlands, Germany and France. Annual expense relating to these plans is recorded in selling and administrative expenses and is estimated to be approximately $12.0 million in 2017, compared to $3.4 million, $11.4 million and $12.6 million in 2016, 2015 and 2014, respectively. The lower expense in 2016 resulted mainly from a $6.9 million curtailment and settlement gain as we terminated a defined benefit plan in Northern Europe and transitioned our employees to a defined contribution plan effective July 1, 2016. We adopted the spot rate approach for all of our United States defined benefit plans in measuring the service and interest cost components of the 2016 net periodic benefit cost, and changed the amortization period for gains and losses for two of our United States defined benefit plans to use average life expectancy, resulting in a minimal reduction in the 2016 expense. These changes had an immaterial impact on the Consolidated Financial Statements. Our pension expense is expected to increase slightly in 2017 due to a new German pension plan. (See Note 8 to the Consolidated Financial Statements for further information.)</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In determining the estimated 2017 pension expense for the United States plans, we used weighted-average discount rates of 4.1%, 3.3% and 4.0% for service cost, interest cost and net loss, respectively. These rates compare to the 2016 weighted-average discount rate of 4.4%</w:t>
      </w:r>
      <w:r>
        <w:rPr>
          <w:rFonts w:ascii="Arial" w:cs="Arial" w:eastAsia="Arial" w:hAnsi="Arial"/>
          <w:sz w:val="12"/>
          <w:szCs w:val="12"/>
          <w:color w:val="000000"/>
        </w:rPr>
        <w:t>, 3.4% and 4.3%</w:t>
      </w:r>
      <w:r>
        <w:rPr>
          <w:rFonts w:ascii="Arial" w:cs="Arial" w:eastAsia="Arial" w:hAnsi="Arial"/>
          <w:sz w:val="12"/>
          <w:szCs w:val="12"/>
          <w:color w:val="282A32"/>
        </w:rPr>
        <w:t xml:space="preserve"> for service cost, interest cost and net loss, respectively. In determining the estimated 2017 pension expense for non-United States plans, we used a weighted-average discount rate of 2.2% compared to 3.2% for 2016, reflecting the current interest rate environment. We have selected a weighted-average expected return on plan assets of 4.8% for the United States plans and 2.8% for the non-United States plans in determining the 2017 estimated pension expense. The comparable rates used for the calculation of the 2016 pension expense were 5.3% and 3.4% for the United States plans and non-United States plans, respectively. Absent any other changes, a 25 basis point increase and decrease in the weighted-average discount rate or weighted-average expected return on plan assets for the United States plans would not have a material impact on the 2017 consolidated pension expense.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36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non-United States plans, a 25 basis point change in the weighted-average discount rate and the weighted-average expected return on plan assets would impact the 2017 consolidated pension expense by approximately $1.4 million and $0.8 million, respectively. Changes to these assumptions have historically not been significant in any jurisdiction for any reporting period, and no significant adjustments to the amounts recorded have been required in the past or are expected in the future. (See Note 8 to the Consolidated Financial Statements for further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i w:val="1"/>
          <w:iCs w:val="1"/>
          <w:color w:val="2989B9"/>
        </w:rPr>
        <w:t>United States Workers’ Compensation</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 the United States, we are under a self-insured retention program in most states covering workers’ compensation claims for our contingent workers. We determine the proper reserve balance using an actuarial valuation, which considers our historical payment experience and current employee demographics. Our reserve for such claims as of December 31, 2016 and 2015 was $71.5 million and $76.5 million, respectively. Workers’ compensation expense is recorded as a component of cost of services.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has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United States by approximately $2.8 million.</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Historically, we have not had significant changes in our assumptions used in calculating our reserve balance or significant adjustments to our reserve level. We continue our focus on safety, which includes training of contingent workers and client site reviews. Given our current claims experience and cost per claim, we do not expect a significant change in our workers’ compensation reserve in the near future.</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i w:val="1"/>
          <w:iCs w:val="1"/>
          <w:color w:val="2989B9"/>
        </w:rPr>
        <w:t>Social Program Remittances and Payroll Tax Audit Exposure</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On a routine basis, various governmental agencies in some of the countries and territories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282A32"/>
        </w:rPr>
        <w:t>In particular, the French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w:t>
      </w:r>
    </w:p>
    <w:p>
      <w:pPr>
        <w:spacing w:after="0" w:line="27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In France, we currently maintain a reserve related to these programs for 2007 through 2016, which has been estimated based on the results of past audits and changes in business volumes. We do not expect any significant adjustments to the recorded amount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37</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2"/>
          <w:szCs w:val="12"/>
          <w:color w:val="282A32"/>
        </w:rPr>
        <w:t>The French government passed legislation effective January 1, 2013 to improve the competitiveness and reduce employment costs by offering payroll tax credits to most French and foreign enterprises subject to corporate tax in France. This law, Credit d’Impôt pour la Compétitivité et l’Emploi (“CICE”), provides credits based on a percentage of wages paid to employees receiving less than two-and-a-half times the French minimum wage. The payroll tax credit was equal to 4% of eligible wages in 2013, 6% of eligible wages from 2014 to 2016, and 7% starting in 2017. We have used, and intend to use, the credit to invest in employment opportunities and to improve our competitiveness, as required by the law. Due to the complexity of compliance with this law, we may have adjustments to the payroll tax credit amount as a result of any audits. The CICE credit is accounted for as a reduction of our cost of services in the period earned, and has had a favorable impact on our consolidated gross profit margin, as well as margins in France and Southern Europe.</w:t>
      </w:r>
    </w:p>
    <w:p>
      <w:pPr>
        <w:spacing w:after="0" w:line="27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The payroll tax credit is creditable against our current French income tax payable, with any remaining amount being paid after three years. Given the amount of our current income taxes payable, we would generally receive the vast majority of the CICE credits after the three-year period. In March 2016 and July 2015, we entered into an agreement to sell a portion of the credits earned in 2015 and 2014, respectively, for net proceeds of $143.1 million (€129.9 million) and $132.8 million ( €120.1 million), respectively. We derecognized these receivables upon the sale as the terms of the agreement are such that the transaction qualifies for sale treatment according to the accounting guidance on the transfer and servicing of assets. The discount on the sale of these receivables was recorded as a reduction of the payroll tax credits earned in the respective years in cost of services. We received the cash from these sales in March 2016 and July 2015, which improved our operating cash flows in the first quarter of 2016 and third quarter of 2015,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2989B9"/>
        </w:rPr>
        <w:t>Income Taxes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that would be realized upon ultimate settlement is recognized. An uncertain tax position, one which does not meet the 50% threshold, will not be recognized in the financial statements.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and territories. To the extent these items are settled for an amount different than we currently expect, the unrecognized tax benefit will be adjusted.</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38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2989B9"/>
        </w:rPr>
        <w:t>Goodwill and Indefinite-Lived Intangible Asset Impairment</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 performed our annual impairment test of our goodwill and indefinite-lived intangible assets during the third quarter of 2016, 2015 and 2014, and there was no impairment of our goodwill or our indefinite-lived intangible assets as a result of our annual tests.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Significant assumptions used in our annual goodwill impairment test during the third quarter of 2016 included: expected future revenue growth rates, operating unit profit margins, working capital levels, discount rates ranging from 10.8% to 15.3%,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The table below provides our reporting units’ estimated fair values and carrying values, determined as part of our annual goodwill impairment test performed in the third quarter, representing approximately 78% of our consolidated goodwill balance as of September 30, 2016.</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vMerge w:val="restart"/>
          </w:tcPr>
          <w:p>
            <w:pPr>
              <w:ind w:left="20"/>
              <w:spacing w:after="0"/>
              <w:rPr>
                <w:sz w:val="20"/>
                <w:szCs w:val="20"/>
                <w:color w:val="auto"/>
              </w:rPr>
            </w:pPr>
            <w:r>
              <w:rPr>
                <w:rFonts w:ascii="Arial" w:cs="Arial" w:eastAsia="Arial" w:hAnsi="Arial"/>
                <w:sz w:val="10"/>
                <w:szCs w:val="10"/>
                <w:i w:val="1"/>
                <w:iCs w:val="1"/>
                <w:color w:val="auto"/>
              </w:rPr>
              <w:t>(in millions)</w:t>
            </w:r>
          </w:p>
        </w:tc>
        <w:tc>
          <w:tcPr>
            <w:tcW w:w="20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40" w:type="dxa"/>
            <w:vAlign w:val="bottom"/>
          </w:tcPr>
          <w:p>
            <w:pPr>
              <w:jc w:val="right"/>
              <w:ind w:right="465"/>
              <w:spacing w:after="0"/>
              <w:rPr>
                <w:sz w:val="20"/>
                <w:szCs w:val="20"/>
                <w:color w:val="auto"/>
              </w:rPr>
            </w:pPr>
            <w:r>
              <w:rPr>
                <w:rFonts w:ascii="Arial" w:cs="Arial" w:eastAsia="Arial" w:hAnsi="Arial"/>
                <w:sz w:val="10"/>
                <w:szCs w:val="10"/>
                <w:color w:val="auto"/>
              </w:rPr>
              <w:t>Right</w:t>
            </w:r>
          </w:p>
        </w:tc>
        <w:tc>
          <w:tcPr>
            <w:tcW w:w="1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Borders>
              <w:bottom w:val="single" w:sz="8" w:color="auto"/>
            </w:tcBorders>
            <w:vMerge w:val="continue"/>
          </w:tcPr>
          <w:p>
            <w:pPr>
              <w:spacing w:after="0"/>
              <w:rPr>
                <w:sz w:val="10"/>
                <w:szCs w:val="10"/>
                <w:color w:val="auto"/>
              </w:rPr>
            </w:pPr>
          </w:p>
        </w:tc>
        <w:tc>
          <w:tcPr>
            <w:tcW w:w="20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color w:val="auto"/>
              </w:rPr>
              <w:t>France</w:t>
            </w:r>
          </w:p>
        </w:tc>
        <w:tc>
          <w:tcPr>
            <w:tcW w:w="142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color w:val="auto"/>
              </w:rPr>
              <w:t>United States</w:t>
            </w:r>
          </w:p>
        </w:tc>
        <w:tc>
          <w:tcPr>
            <w:tcW w:w="15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color w:val="auto"/>
              </w:rPr>
              <w:t>United Kingdom</w:t>
            </w:r>
          </w:p>
        </w:tc>
        <w:tc>
          <w:tcPr>
            <w:tcW w:w="1540" w:type="dxa"/>
            <w:vAlign w:val="bottom"/>
            <w:tcBorders>
              <w:bottom w:val="single" w:sz="8" w:color="auto"/>
            </w:tcBorders>
          </w:tcPr>
          <w:p>
            <w:pPr>
              <w:jc w:val="right"/>
              <w:ind w:right="465"/>
              <w:spacing w:after="0"/>
              <w:rPr>
                <w:sz w:val="20"/>
                <w:szCs w:val="20"/>
                <w:color w:val="auto"/>
              </w:rPr>
            </w:pPr>
            <w:r>
              <w:rPr>
                <w:rFonts w:ascii="Arial" w:cs="Arial" w:eastAsia="Arial" w:hAnsi="Arial"/>
                <w:sz w:val="10"/>
                <w:szCs w:val="10"/>
                <w:color w:val="auto"/>
              </w:rPr>
              <w:t>Management</w:t>
            </w:r>
          </w:p>
        </w:tc>
        <w:tc>
          <w:tcPr>
            <w:tcW w:w="140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color w:val="auto"/>
              </w:rPr>
              <w:t>Germany</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rPr>
              <w:t>Netherlands</w:t>
            </w:r>
          </w:p>
        </w:tc>
        <w:tc>
          <w:tcPr>
            <w:tcW w:w="0" w:type="dxa"/>
            <w:vAlign w:val="bottom"/>
          </w:tcPr>
          <w:p>
            <w:pPr>
              <w:spacing w:after="0"/>
              <w:rPr>
                <w:sz w:val="1"/>
                <w:szCs w:val="1"/>
                <w:color w:val="auto"/>
              </w:rPr>
            </w:pPr>
          </w:p>
        </w:tc>
      </w:tr>
      <w:tr>
        <w:trPr>
          <w:trHeight w:val="188"/>
        </w:trPr>
        <w:tc>
          <w:tcPr>
            <w:tcW w:w="2280" w:type="dxa"/>
            <w:vAlign w:val="bottom"/>
          </w:tcPr>
          <w:p>
            <w:pPr>
              <w:ind w:left="20"/>
              <w:spacing w:after="0"/>
              <w:rPr>
                <w:sz w:val="20"/>
                <w:szCs w:val="20"/>
                <w:color w:val="auto"/>
              </w:rPr>
            </w:pPr>
            <w:r>
              <w:rPr>
                <w:rFonts w:ascii="Arial" w:cs="Arial" w:eastAsia="Arial" w:hAnsi="Arial"/>
                <w:sz w:val="12"/>
                <w:szCs w:val="12"/>
                <w:color w:val="282A32"/>
              </w:rPr>
              <w:t>Estimated fair values</w:t>
            </w:r>
          </w:p>
        </w:tc>
        <w:tc>
          <w:tcPr>
            <w:tcW w:w="2040" w:type="dxa"/>
            <w:vAlign w:val="bottom"/>
          </w:tcPr>
          <w:p>
            <w:pPr>
              <w:jc w:val="right"/>
              <w:ind w:right="403"/>
              <w:spacing w:after="0"/>
              <w:rPr>
                <w:sz w:val="20"/>
                <w:szCs w:val="20"/>
                <w:color w:val="auto"/>
              </w:rPr>
            </w:pPr>
            <w:r>
              <w:rPr>
                <w:rFonts w:ascii="Arial" w:cs="Arial" w:eastAsia="Arial" w:hAnsi="Arial"/>
                <w:sz w:val="12"/>
                <w:szCs w:val="12"/>
                <w:color w:val="282A32"/>
              </w:rPr>
              <w:t>$2,061.4</w:t>
            </w:r>
          </w:p>
        </w:tc>
        <w:tc>
          <w:tcPr>
            <w:tcW w:w="1420" w:type="dxa"/>
            <w:vAlign w:val="bottom"/>
          </w:tcPr>
          <w:p>
            <w:pPr>
              <w:jc w:val="right"/>
              <w:ind w:right="343"/>
              <w:spacing w:after="0"/>
              <w:rPr>
                <w:sz w:val="20"/>
                <w:szCs w:val="20"/>
                <w:color w:val="auto"/>
              </w:rPr>
            </w:pPr>
            <w:r>
              <w:rPr>
                <w:rFonts w:ascii="Arial" w:cs="Arial" w:eastAsia="Arial" w:hAnsi="Arial"/>
                <w:sz w:val="12"/>
                <w:szCs w:val="12"/>
                <w:color w:val="282A32"/>
              </w:rPr>
              <w:t>$1,114.3</w:t>
            </w:r>
          </w:p>
        </w:tc>
        <w:tc>
          <w:tcPr>
            <w:tcW w:w="1540" w:type="dxa"/>
            <w:vAlign w:val="bottom"/>
          </w:tcPr>
          <w:p>
            <w:pPr>
              <w:jc w:val="right"/>
              <w:ind w:right="403"/>
              <w:spacing w:after="0"/>
              <w:rPr>
                <w:sz w:val="20"/>
                <w:szCs w:val="20"/>
                <w:color w:val="auto"/>
              </w:rPr>
            </w:pPr>
            <w:r>
              <w:rPr>
                <w:rFonts w:ascii="Arial" w:cs="Arial" w:eastAsia="Arial" w:hAnsi="Arial"/>
                <w:sz w:val="12"/>
                <w:szCs w:val="12"/>
                <w:color w:val="282A32"/>
              </w:rPr>
              <w:t>$383.5</w:t>
            </w:r>
          </w:p>
        </w:tc>
        <w:tc>
          <w:tcPr>
            <w:tcW w:w="1540" w:type="dxa"/>
            <w:vAlign w:val="bottom"/>
          </w:tcPr>
          <w:p>
            <w:pPr>
              <w:jc w:val="right"/>
              <w:ind w:right="465"/>
              <w:spacing w:after="0"/>
              <w:rPr>
                <w:sz w:val="20"/>
                <w:szCs w:val="20"/>
                <w:color w:val="auto"/>
              </w:rPr>
            </w:pPr>
            <w:r>
              <w:rPr>
                <w:rFonts w:ascii="Arial" w:cs="Arial" w:eastAsia="Arial" w:hAnsi="Arial"/>
                <w:sz w:val="12"/>
                <w:szCs w:val="12"/>
                <w:color w:val="282A32"/>
              </w:rPr>
              <w:t>$302.5</w:t>
            </w:r>
          </w:p>
        </w:tc>
        <w:tc>
          <w:tcPr>
            <w:tcW w:w="1400" w:type="dxa"/>
            <w:vAlign w:val="bottom"/>
          </w:tcPr>
          <w:p>
            <w:pPr>
              <w:jc w:val="right"/>
              <w:ind w:right="423"/>
              <w:spacing w:after="0"/>
              <w:rPr>
                <w:sz w:val="20"/>
                <w:szCs w:val="20"/>
                <w:color w:val="auto"/>
              </w:rPr>
            </w:pPr>
            <w:r>
              <w:rPr>
                <w:rFonts w:ascii="Arial" w:cs="Arial" w:eastAsia="Arial" w:hAnsi="Arial"/>
                <w:sz w:val="12"/>
                <w:szCs w:val="12"/>
                <w:color w:val="282A32"/>
              </w:rPr>
              <w:t>$277.4</w:t>
            </w:r>
          </w:p>
        </w:tc>
        <w:tc>
          <w:tcPr>
            <w:tcW w:w="1080" w:type="dxa"/>
            <w:vAlign w:val="bottom"/>
          </w:tcPr>
          <w:p>
            <w:pPr>
              <w:jc w:val="right"/>
              <w:ind w:right="43"/>
              <w:spacing w:after="0"/>
              <w:rPr>
                <w:sz w:val="20"/>
                <w:szCs w:val="20"/>
                <w:color w:val="auto"/>
              </w:rPr>
            </w:pPr>
            <w:r>
              <w:rPr>
                <w:rFonts w:ascii="Arial" w:cs="Arial" w:eastAsia="Arial" w:hAnsi="Arial"/>
                <w:sz w:val="12"/>
                <w:szCs w:val="12"/>
                <w:color w:val="282A32"/>
              </w:rPr>
              <w:t>$234.1</w:t>
            </w:r>
          </w:p>
        </w:tc>
        <w:tc>
          <w:tcPr>
            <w:tcW w:w="0" w:type="dxa"/>
            <w:vAlign w:val="bottom"/>
          </w:tcPr>
          <w:p>
            <w:pPr>
              <w:spacing w:after="0"/>
              <w:rPr>
                <w:sz w:val="1"/>
                <w:szCs w:val="1"/>
                <w:color w:val="auto"/>
              </w:rPr>
            </w:pPr>
          </w:p>
        </w:tc>
      </w:tr>
      <w:tr>
        <w:trPr>
          <w:trHeight w:val="194"/>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Carrying values</w:t>
            </w:r>
          </w:p>
        </w:tc>
        <w:tc>
          <w:tcPr>
            <w:tcW w:w="204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color w:val="282A32"/>
              </w:rPr>
              <w:t>807.3</w:t>
            </w:r>
          </w:p>
        </w:tc>
        <w:tc>
          <w:tcPr>
            <w:tcW w:w="1420" w:type="dxa"/>
            <w:vAlign w:val="bottom"/>
            <w:tcBorders>
              <w:bottom w:val="single" w:sz="8" w:color="auto"/>
            </w:tcBorders>
          </w:tcPr>
          <w:p>
            <w:pPr>
              <w:jc w:val="right"/>
              <w:ind w:right="343"/>
              <w:spacing w:after="0"/>
              <w:rPr>
                <w:sz w:val="20"/>
                <w:szCs w:val="20"/>
                <w:color w:val="auto"/>
              </w:rPr>
            </w:pPr>
            <w:r>
              <w:rPr>
                <w:rFonts w:ascii="Arial" w:cs="Arial" w:eastAsia="Arial" w:hAnsi="Arial"/>
                <w:sz w:val="12"/>
                <w:szCs w:val="12"/>
                <w:color w:val="282A32"/>
              </w:rPr>
              <w:t>742.0</w:t>
            </w:r>
          </w:p>
        </w:tc>
        <w:tc>
          <w:tcPr>
            <w:tcW w:w="154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color w:val="282A32"/>
              </w:rPr>
              <w:t>306.3</w:t>
            </w:r>
          </w:p>
        </w:tc>
        <w:tc>
          <w:tcPr>
            <w:tcW w:w="1540" w:type="dxa"/>
            <w:vAlign w:val="bottom"/>
            <w:tcBorders>
              <w:bottom w:val="single" w:sz="8" w:color="auto"/>
            </w:tcBorders>
          </w:tcPr>
          <w:p>
            <w:pPr>
              <w:jc w:val="right"/>
              <w:ind w:right="465"/>
              <w:spacing w:after="0"/>
              <w:rPr>
                <w:sz w:val="20"/>
                <w:szCs w:val="20"/>
                <w:color w:val="auto"/>
              </w:rPr>
            </w:pPr>
            <w:r>
              <w:rPr>
                <w:rFonts w:ascii="Arial" w:cs="Arial" w:eastAsia="Arial" w:hAnsi="Arial"/>
                <w:sz w:val="12"/>
                <w:szCs w:val="12"/>
                <w:color w:val="282A32"/>
              </w:rPr>
              <w:t>123.1</w:t>
            </w:r>
          </w:p>
        </w:tc>
        <w:tc>
          <w:tcPr>
            <w:tcW w:w="140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color w:val="282A32"/>
              </w:rPr>
              <w:t>209.7</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282A32"/>
              </w:rPr>
              <w:t>179.1</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2989B9"/>
        </w:rPr>
        <w:t>SIGNIFICANT MATTERS AFFECTING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color w:val="2989B9"/>
        </w:rPr>
        <w:t>Market Risks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282A32"/>
        </w:rPr>
        <w:t>We are exposed to the impact of foreign currency exchange rate fluctuations and interest rate changes.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2"/>
          <w:szCs w:val="12"/>
          <w:i w:val="1"/>
          <w:iCs w:val="1"/>
          <w:color w:val="2989B9"/>
        </w:rPr>
        <w:t xml:space="preserve">Exchange Rates </w:t>
      </w:r>
      <w:r>
        <w:rPr>
          <w:rFonts w:ascii="Arial" w:cs="Arial" w:eastAsia="Arial" w:hAnsi="Arial"/>
          <w:sz w:val="12"/>
          <w:szCs w:val="12"/>
          <w:color w:val="282A32"/>
        </w:rPr>
        <w:t>— Our exposure to foreign currency exchange rates relates primarily to our foreign subsidiaries and our Euro-denominated borrowings. For our foreign subsidiaries, exchange rates impact the</w:t>
      </w:r>
      <w:r>
        <w:rPr>
          <w:rFonts w:ascii="Arial" w:cs="Arial" w:eastAsia="Arial" w:hAnsi="Arial"/>
          <w:sz w:val="12"/>
          <w:szCs w:val="12"/>
          <w:i w:val="1"/>
          <w:iCs w:val="1"/>
          <w:color w:val="2989B9"/>
        </w:rPr>
        <w:t xml:space="preserve"> </w:t>
      </w:r>
      <w:r>
        <w:rPr>
          <w:rFonts w:ascii="Arial" w:cs="Arial" w:eastAsia="Arial" w:hAnsi="Arial"/>
          <w:sz w:val="12"/>
          <w:szCs w:val="12"/>
          <w:color w:val="282A32"/>
        </w:rPr>
        <w:t>United States dollar value of our reported earnings, our investments in the subsidiaries and the intercompany transactions with the subsidiaries.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Approximately 85% of our revenues and profits are generated outside of the United States, with 47%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276"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 both 2016 and 2015, the United States dollar generally strengthened against many of the currencies of our major markets. Revenues from services in constant currency were 2.4% and 13.5% higher than reported revenues in 2016 and 2015, respectively. A change in the strength of the United States dollar by an additional 10% would have impacted our revenues from services by approximately 8.5% and 8.4% from the amounts reported in 2016 and 2015, respectively.</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strengthened relative to many foreign currencies as of December 31, 2016 compared to December 31, 2015. Consequently, shareholders’ equity decreased by $123.3 million as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39</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64" w:name="page65"/>
    <w:bookmarkEnd w:id="64"/>
    <w:p>
      <w:pPr>
        <w:jc w:val="both"/>
        <w:spacing w:after="0" w:line="269" w:lineRule="auto"/>
        <w:rPr>
          <w:sz w:val="20"/>
          <w:szCs w:val="20"/>
          <w:color w:val="auto"/>
        </w:rPr>
      </w:pPr>
      <w:r>
        <w:rPr>
          <w:rFonts w:ascii="Arial" w:cs="Arial" w:eastAsia="Arial" w:hAnsi="Arial"/>
          <w:sz w:val="12"/>
          <w:szCs w:val="12"/>
          <w:color w:val="282A32"/>
        </w:rPr>
        <w:t>a result of the foreign currency translation as of December 31, 2016. If the United States dollar had strengthened an additional 10% as of December 31, 2016, resulting translation adjustments recorded in shareholders’ equity would have decreased by approximately $250.0 million from the amounts reported.</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As of December 31, 2015, the United States dollar strengthened relative to many foreign currencies compared to December 31, 2014. Consequently, shareholders’ equity decreased by $150.4 million as a result of the foreign currency translation as of December 31, 2015. If the United States dollar had strengthened an additional 10% as of December 31, 2015, resulting translation adjustments recorded in shareholders’ equity would have decreased by approximately $137.7 million from the amounts reported.</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On occasion, forward contracts are designated as an economic hedge of our net investment in our foreign subsidiaries. As of December 31, 2016, we had a translation loss of $4.2 million included in accumulated other comprehensive loss, net of taxes, as the net investment hedge was deemed effective.</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As of December 31, 2016, there were £4.0 ($5.0) million and 10,500.0 ($0.6) million in Argentine Pesos ("ARS") of forward contracts that relate to cash flows owed to our foreign subsidiaries in 2017. For our forward contracts that are not designated as hedges, any gain or loss resulting from the change in fair value is recognized in the current period earnings.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As of December 31, 2016, we had outstanding $785.2 million in principal amount of Euro-denominated notes (€750.0 million). A portion of the notes has been designated as a hedge of our net investment in subsidiaries with a Euro-functional currency as of December 31, 2016. For this portion of the Euro-denominated notes, since our net investment in these subsidiaries exceeds the respective amount of the designated borrowings, both net of tax, the related translation gains or losses are included as a component of accumulated other comprehensive loss. Shareholders’ equity increased by $14.9 million, net of tax, due to changes in accumulated other comprehensive loss during the year due to the currency impact on these designated borrowings.</w:t>
      </w:r>
    </w:p>
    <w:p>
      <w:pPr>
        <w:spacing w:after="0" w:line="131" w:lineRule="exact"/>
        <w:rPr>
          <w:sz w:val="20"/>
          <w:szCs w:val="20"/>
          <w:color w:val="auto"/>
        </w:rPr>
      </w:pPr>
    </w:p>
    <w:p>
      <w:pPr>
        <w:ind w:right="340"/>
        <w:spacing w:after="0" w:line="326" w:lineRule="auto"/>
        <w:rPr>
          <w:sz w:val="20"/>
          <w:szCs w:val="20"/>
          <w:color w:val="auto"/>
        </w:rPr>
      </w:pPr>
      <w:r>
        <w:rPr>
          <w:rFonts w:ascii="Arial" w:cs="Arial" w:eastAsia="Arial" w:hAnsi="Arial"/>
          <w:sz w:val="12"/>
          <w:szCs w:val="12"/>
          <w:i w:val="1"/>
          <w:iCs w:val="1"/>
          <w:color w:val="2989B9"/>
        </w:rPr>
        <w:t xml:space="preserve">Interest Rates </w:t>
      </w:r>
      <w:r>
        <w:rPr>
          <w:rFonts w:ascii="Arial" w:cs="Arial" w:eastAsia="Arial" w:hAnsi="Arial"/>
          <w:sz w:val="12"/>
          <w:szCs w:val="12"/>
          <w:color w:val="282A32"/>
        </w:rPr>
        <w:t>—</w:t>
      </w:r>
      <w:r>
        <w:rPr>
          <w:rFonts w:ascii="Arial" w:cs="Arial" w:eastAsia="Arial" w:hAnsi="Arial"/>
          <w:sz w:val="12"/>
          <w:szCs w:val="12"/>
          <w:i w:val="1"/>
          <w:iCs w:val="1"/>
          <w:color w:val="2989B9"/>
        </w:rPr>
        <w:t xml:space="preserve"> </w:t>
      </w:r>
      <w:r>
        <w:rPr>
          <w:rFonts w:ascii="Arial" w:cs="Arial" w:eastAsia="Arial" w:hAnsi="Arial"/>
          <w:sz w:val="12"/>
          <w:szCs w:val="12"/>
          <w:color w:val="000000"/>
        </w:rPr>
        <w:t>Our exposure to market risk for changes in interest rates relates primarily to our variable rate long-term debt obligations. We have historically managed interest rates through the use of a</w:t>
      </w:r>
      <w:r>
        <w:rPr>
          <w:rFonts w:ascii="Arial" w:cs="Arial" w:eastAsia="Arial" w:hAnsi="Arial"/>
          <w:sz w:val="12"/>
          <w:szCs w:val="12"/>
          <w:i w:val="1"/>
          <w:iCs w:val="1"/>
          <w:color w:val="2989B9"/>
        </w:rPr>
        <w:t xml:space="preserve"> </w:t>
      </w:r>
      <w:r>
        <w:rPr>
          <w:rFonts w:ascii="Arial" w:cs="Arial" w:eastAsia="Arial" w:hAnsi="Arial"/>
          <w:sz w:val="12"/>
          <w:szCs w:val="12"/>
          <w:color w:val="000000"/>
        </w:rPr>
        <w:t>combination of fixed- and variable-rate borrowings. As of December 31, 2016, we had the following fixed- and variable-rate borrowings: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340" w:type="dxa"/>
            <w:vAlign w:val="bottom"/>
          </w:tcPr>
          <w:p>
            <w:pPr>
              <w:jc w:val="right"/>
              <w:ind w:right="65"/>
              <w:spacing w:after="0"/>
              <w:rPr>
                <w:sz w:val="20"/>
                <w:szCs w:val="20"/>
                <w:color w:val="auto"/>
              </w:rPr>
            </w:pPr>
            <w:r>
              <w:rPr>
                <w:rFonts w:ascii="Arial" w:cs="Arial" w:eastAsia="Arial" w:hAnsi="Arial"/>
                <w:sz w:val="11"/>
                <w:szCs w:val="11"/>
                <w:color w:val="282A32"/>
              </w:rPr>
              <w:t>Weighted-</w:t>
            </w:r>
          </w:p>
        </w:tc>
        <w:tc>
          <w:tcPr>
            <w:tcW w:w="0" w:type="dxa"/>
            <w:vAlign w:val="bottom"/>
          </w:tcPr>
          <w:p>
            <w:pPr>
              <w:spacing w:after="0"/>
              <w:rPr>
                <w:sz w:val="1"/>
                <w:szCs w:val="1"/>
                <w:color w:val="auto"/>
              </w:rPr>
            </w:pPr>
          </w:p>
        </w:tc>
      </w:tr>
      <w:tr>
        <w:trPr>
          <w:trHeight w:val="120"/>
        </w:trPr>
        <w:tc>
          <w:tcPr>
            <w:tcW w:w="4900" w:type="dxa"/>
            <w:vAlign w:val="bottom"/>
            <w:vMerge w:val="restart"/>
          </w:tcPr>
          <w:p>
            <w:pPr>
              <w:ind w:left="20"/>
              <w:spacing w:after="0"/>
              <w:rPr>
                <w:sz w:val="20"/>
                <w:szCs w:val="20"/>
                <w:color w:val="auto"/>
              </w:rPr>
            </w:pPr>
            <w:r>
              <w:rPr>
                <w:rFonts w:ascii="Arial" w:cs="Arial" w:eastAsia="Arial" w:hAnsi="Arial"/>
                <w:sz w:val="11"/>
                <w:szCs w:val="11"/>
                <w:i w:val="1"/>
                <w:iCs w:val="1"/>
                <w:color w:val="282A32"/>
              </w:rPr>
              <w:t>(in millions)</w:t>
            </w:r>
          </w:p>
        </w:tc>
        <w:tc>
          <w:tcPr>
            <w:tcW w:w="5220" w:type="dxa"/>
            <w:vAlign w:val="bottom"/>
          </w:tcPr>
          <w:p>
            <w:pPr>
              <w:spacing w:after="0"/>
              <w:rPr>
                <w:sz w:val="10"/>
                <w:szCs w:val="10"/>
                <w:color w:val="auto"/>
              </w:rPr>
            </w:pPr>
          </w:p>
        </w:tc>
        <w:tc>
          <w:tcPr>
            <w:tcW w:w="1340" w:type="dxa"/>
            <w:vAlign w:val="bottom"/>
          </w:tcPr>
          <w:p>
            <w:pPr>
              <w:jc w:val="right"/>
              <w:ind w:right="65"/>
              <w:spacing w:after="0" w:line="121" w:lineRule="exact"/>
              <w:rPr>
                <w:sz w:val="20"/>
                <w:szCs w:val="20"/>
                <w:color w:val="auto"/>
              </w:rPr>
            </w:pPr>
            <w:r>
              <w:rPr>
                <w:rFonts w:ascii="Arial" w:cs="Arial" w:eastAsia="Arial" w:hAnsi="Arial"/>
                <w:sz w:val="11"/>
                <w:szCs w:val="11"/>
                <w:color w:val="282A32"/>
              </w:rPr>
              <w:t>Average</w:t>
            </w:r>
          </w:p>
        </w:tc>
        <w:tc>
          <w:tcPr>
            <w:tcW w:w="0" w:type="dxa"/>
            <w:vAlign w:val="bottom"/>
          </w:tcPr>
          <w:p>
            <w:pPr>
              <w:spacing w:after="0"/>
              <w:rPr>
                <w:sz w:val="1"/>
                <w:szCs w:val="1"/>
                <w:color w:val="auto"/>
              </w:rPr>
            </w:pPr>
          </w:p>
        </w:tc>
      </w:tr>
      <w:tr>
        <w:trPr>
          <w:trHeight w:val="145"/>
        </w:trPr>
        <w:tc>
          <w:tcPr>
            <w:tcW w:w="4900" w:type="dxa"/>
            <w:vAlign w:val="bottom"/>
            <w:tcBorders>
              <w:bottom w:val="single" w:sz="8" w:color="auto"/>
            </w:tcBorders>
            <w:vMerge w:val="continue"/>
          </w:tcPr>
          <w:p>
            <w:pPr>
              <w:spacing w:after="0"/>
              <w:rPr>
                <w:sz w:val="12"/>
                <w:szCs w:val="12"/>
                <w:color w:val="auto"/>
              </w:rPr>
            </w:pPr>
          </w:p>
        </w:tc>
        <w:tc>
          <w:tcPr>
            <w:tcW w:w="5220" w:type="dxa"/>
            <w:vAlign w:val="bottom"/>
            <w:tcBorders>
              <w:bottom w:val="single" w:sz="8" w:color="auto"/>
            </w:tcBorders>
          </w:tcPr>
          <w:p>
            <w:pPr>
              <w:ind w:left="4340"/>
              <w:spacing w:after="0"/>
              <w:rPr>
                <w:sz w:val="20"/>
                <w:szCs w:val="20"/>
                <w:color w:val="auto"/>
              </w:rPr>
            </w:pPr>
            <w:r>
              <w:rPr>
                <w:rFonts w:ascii="Arial" w:cs="Arial" w:eastAsia="Arial" w:hAnsi="Arial"/>
                <w:sz w:val="11"/>
                <w:szCs w:val="11"/>
                <w:color w:val="282A32"/>
              </w:rPr>
              <w:t>Amount</w:t>
            </w:r>
          </w:p>
        </w:tc>
        <w:tc>
          <w:tcPr>
            <w:tcW w:w="1340" w:type="dxa"/>
            <w:vAlign w:val="bottom"/>
            <w:tcBorders>
              <w:bottom w:val="single" w:sz="8" w:color="auto"/>
            </w:tcBorders>
          </w:tcPr>
          <w:p>
            <w:pPr>
              <w:jc w:val="right"/>
              <w:ind w:right="65"/>
              <w:spacing w:after="0" w:line="145" w:lineRule="exact"/>
              <w:rPr>
                <w:sz w:val="20"/>
                <w:szCs w:val="20"/>
                <w:color w:val="auto"/>
              </w:rPr>
            </w:pPr>
            <w:r>
              <w:rPr>
                <w:rFonts w:ascii="Arial" w:cs="Arial" w:eastAsia="Arial" w:hAnsi="Arial"/>
                <w:sz w:val="11"/>
                <w:szCs w:val="11"/>
                <w:color w:val="282A32"/>
              </w:rPr>
              <w:t>Interest Rate</w:t>
            </w:r>
            <w:r>
              <w:rPr>
                <w:rFonts w:ascii="Arial" w:cs="Arial" w:eastAsia="Arial" w:hAnsi="Arial"/>
                <w:sz w:val="13"/>
                <w:szCs w:val="13"/>
                <w:color w:val="282A32"/>
                <w:vertAlign w:val="superscript"/>
              </w:rPr>
              <w:t>(1)</w:t>
            </w:r>
          </w:p>
        </w:tc>
        <w:tc>
          <w:tcPr>
            <w:tcW w:w="0" w:type="dxa"/>
            <w:vAlign w:val="bottom"/>
          </w:tcPr>
          <w:p>
            <w:pPr>
              <w:spacing w:after="0"/>
              <w:rPr>
                <w:sz w:val="1"/>
                <w:szCs w:val="1"/>
                <w:color w:val="auto"/>
              </w:rPr>
            </w:pPr>
          </w:p>
        </w:tc>
      </w:tr>
    </w:tbl>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300" w:type="dxa"/>
            <w:vAlign w:val="bottom"/>
          </w:tcPr>
          <w:p>
            <w:pPr>
              <w:ind w:left="20"/>
              <w:spacing w:after="0"/>
              <w:rPr>
                <w:sz w:val="20"/>
                <w:szCs w:val="20"/>
                <w:color w:val="auto"/>
              </w:rPr>
            </w:pPr>
            <w:r>
              <w:rPr>
                <w:rFonts w:ascii="Arial" w:cs="Arial" w:eastAsia="Arial" w:hAnsi="Arial"/>
                <w:sz w:val="12"/>
                <w:szCs w:val="12"/>
                <w:color w:val="282A32"/>
              </w:rPr>
              <w:t>Variable-rate borrowings</w:t>
            </w:r>
          </w:p>
        </w:tc>
        <w:tc>
          <w:tcPr>
            <w:tcW w:w="5060" w:type="dxa"/>
            <w:vAlign w:val="bottom"/>
          </w:tcPr>
          <w:p>
            <w:pPr>
              <w:jc w:val="right"/>
              <w:ind w:right="678"/>
              <w:spacing w:after="0"/>
              <w:rPr>
                <w:sz w:val="20"/>
                <w:szCs w:val="20"/>
                <w:color w:val="auto"/>
              </w:rPr>
            </w:pPr>
            <w:r>
              <w:rPr>
                <w:rFonts w:ascii="Arial" w:cs="Arial" w:eastAsia="Arial" w:hAnsi="Arial"/>
                <w:sz w:val="12"/>
                <w:szCs w:val="12"/>
                <w:color w:val="282A32"/>
              </w:rPr>
              <w:t>$39.5</w:t>
            </w:r>
          </w:p>
        </w:tc>
        <w:tc>
          <w:tcPr>
            <w:tcW w:w="1100" w:type="dxa"/>
            <w:vAlign w:val="bottom"/>
          </w:tcPr>
          <w:p>
            <w:pPr>
              <w:jc w:val="right"/>
              <w:spacing w:after="0"/>
              <w:rPr>
                <w:sz w:val="20"/>
                <w:szCs w:val="20"/>
                <w:color w:val="auto"/>
              </w:rPr>
            </w:pPr>
            <w:r>
              <w:rPr>
                <w:rFonts w:ascii="Arial" w:cs="Arial" w:eastAsia="Arial" w:hAnsi="Arial"/>
                <w:sz w:val="12"/>
                <w:szCs w:val="12"/>
                <w:color w:val="282A32"/>
              </w:rPr>
              <w:t>11.1%</w:t>
            </w:r>
          </w:p>
        </w:tc>
      </w:tr>
      <w:tr>
        <w:trPr>
          <w:trHeight w:val="19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Fixed-rate borrowings</w:t>
            </w:r>
          </w:p>
        </w:tc>
        <w:tc>
          <w:tcPr>
            <w:tcW w:w="5060" w:type="dxa"/>
            <w:vAlign w:val="bottom"/>
            <w:tcBorders>
              <w:bottom w:val="single" w:sz="8" w:color="auto"/>
            </w:tcBorders>
          </w:tcPr>
          <w:p>
            <w:pPr>
              <w:jc w:val="right"/>
              <w:ind w:right="678"/>
              <w:spacing w:after="0"/>
              <w:rPr>
                <w:sz w:val="20"/>
                <w:szCs w:val="20"/>
                <w:color w:val="auto"/>
              </w:rPr>
            </w:pPr>
            <w:r>
              <w:rPr>
                <w:rFonts w:ascii="Arial" w:cs="Arial" w:eastAsia="Arial" w:hAnsi="Arial"/>
                <w:sz w:val="12"/>
                <w:szCs w:val="12"/>
                <w:color w:val="282A32"/>
              </w:rPr>
              <w:t>785.9</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282A32"/>
              </w:rPr>
              <w:t>3.1</w:t>
            </w:r>
          </w:p>
        </w:tc>
      </w:tr>
      <w:tr>
        <w:trPr>
          <w:trHeight w:val="197"/>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Total debt</w:t>
            </w:r>
          </w:p>
        </w:tc>
        <w:tc>
          <w:tcPr>
            <w:tcW w:w="5060" w:type="dxa"/>
            <w:vAlign w:val="bottom"/>
            <w:tcBorders>
              <w:bottom w:val="single" w:sz="8" w:color="auto"/>
            </w:tcBorders>
          </w:tcPr>
          <w:p>
            <w:pPr>
              <w:jc w:val="right"/>
              <w:ind w:right="678"/>
              <w:spacing w:after="0"/>
              <w:rPr>
                <w:sz w:val="20"/>
                <w:szCs w:val="20"/>
                <w:color w:val="auto"/>
              </w:rPr>
            </w:pPr>
            <w:r>
              <w:rPr>
                <w:rFonts w:ascii="Arial" w:cs="Arial" w:eastAsia="Arial" w:hAnsi="Arial"/>
                <w:sz w:val="12"/>
                <w:szCs w:val="12"/>
                <w:color w:val="282A32"/>
              </w:rPr>
              <w:t>$825.4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3.5%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282A32"/>
        </w:rPr>
        <w:t>(1) The rates are impacted by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40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i w:val="1"/>
          <w:iCs w:val="1"/>
          <w:color w:val="2989B9"/>
        </w:rPr>
        <w:t xml:space="preserve">Sensitivity Analysis </w:t>
      </w:r>
      <w:r>
        <w:rPr>
          <w:rFonts w:ascii="Arial" w:cs="Arial" w:eastAsia="Arial" w:hAnsi="Arial"/>
          <w:sz w:val="12"/>
          <w:szCs w:val="12"/>
          <w:color w:val="282A32"/>
        </w:rPr>
        <w:t>— The following tables summarize our debt and derivative instruments that are sensitive to foreign currency exchange rate and interest rate movements. All computations below are based</w:t>
      </w:r>
      <w:r>
        <w:rPr>
          <w:rFonts w:ascii="Arial" w:cs="Arial" w:eastAsia="Arial" w:hAnsi="Arial"/>
          <w:sz w:val="12"/>
          <w:szCs w:val="12"/>
          <w:i w:val="1"/>
          <w:iCs w:val="1"/>
          <w:color w:val="2989B9"/>
        </w:rPr>
        <w:t xml:space="preserve"> </w:t>
      </w:r>
      <w:r>
        <w:rPr>
          <w:rFonts w:ascii="Arial" w:cs="Arial" w:eastAsia="Arial" w:hAnsi="Arial"/>
          <w:sz w:val="12"/>
          <w:szCs w:val="12"/>
          <w:color w:val="282A32"/>
        </w:rPr>
        <w:t>on the United States dollar spot rate as of December 31, 2016 and 2015. The exchange rate computations assume a 10% appreciation or 10% depreciation of the Euro, British pound, and Argentine Peso to the United States dollar.</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282A32"/>
        </w:rPr>
        <w:t>The hypothetical impact on 2016 and 2015 net earnings and total other comprehensive (loss) income of the stated change in rates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 xml:space="preserve">2016 </w:t>
            </w:r>
            <w:r>
              <w:rPr>
                <w:rFonts w:ascii="Arial" w:cs="Arial" w:eastAsia="Arial" w:hAnsi="Arial"/>
                <w:sz w:val="11"/>
                <w:szCs w:val="11"/>
                <w:i w:val="1"/>
                <w:iCs w:val="1"/>
                <w:color w:val="282A32"/>
              </w:rPr>
              <w:t>(in millions)</w:t>
            </w:r>
          </w:p>
        </w:tc>
        <w:tc>
          <w:tcPr>
            <w:tcW w:w="44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282A32"/>
              </w:rPr>
              <w:t>Movements in Exchange Rates</w:t>
            </w:r>
          </w:p>
        </w:tc>
      </w:tr>
      <w:tr>
        <w:trPr>
          <w:trHeight w:val="19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Market Sensitive Instrument</w:t>
            </w:r>
          </w:p>
        </w:tc>
        <w:tc>
          <w:tcPr>
            <w:tcW w:w="4480" w:type="dxa"/>
            <w:vAlign w:val="bottom"/>
            <w:tcBorders>
              <w:bottom w:val="single" w:sz="8" w:color="auto"/>
            </w:tcBorders>
          </w:tcPr>
          <w:p>
            <w:pPr>
              <w:ind w:left="3400"/>
              <w:spacing w:after="0"/>
              <w:rPr>
                <w:sz w:val="20"/>
                <w:szCs w:val="20"/>
                <w:color w:val="auto"/>
              </w:rPr>
            </w:pPr>
            <w:r>
              <w:rPr>
                <w:rFonts w:ascii="Arial" w:cs="Arial" w:eastAsia="Arial" w:hAnsi="Arial"/>
                <w:sz w:val="11"/>
                <w:szCs w:val="11"/>
                <w:color w:val="282A32"/>
              </w:rPr>
              <w:t>10% Depreciation</w:t>
            </w:r>
          </w:p>
        </w:tc>
        <w:tc>
          <w:tcPr>
            <w:tcW w:w="218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282A32"/>
              </w:rPr>
              <w:t>10% Appreciation</w:t>
            </w:r>
          </w:p>
        </w:tc>
      </w:tr>
    </w:tbl>
    <w:p>
      <w:pPr>
        <w:spacing w:after="0" w:line="43" w:lineRule="exact"/>
        <w:rPr>
          <w:sz w:val="20"/>
          <w:szCs w:val="20"/>
          <w:color w:val="auto"/>
        </w:rPr>
      </w:pPr>
    </w:p>
    <w:p>
      <w:pPr>
        <w:sectPr>
          <w:pgSz w:w="11900" w:h="16838" w:orient="portrait"/>
          <w:cols w:equalWidth="0" w:num="1">
            <w:col w:w="11460"/>
          </w:cols>
          <w:pgMar w:left="220" w:top="166" w:right="219" w:bottom="1440" w:gutter="0" w:footer="0" w:header="0"/>
        </w:sectPr>
      </w:pPr>
    </w:p>
    <w:tbl>
      <w:tblPr>
        <w:tblLayout w:type="fixed"/>
        <w:tblInd w:w="20" w:type="dxa"/>
        <w:tblCellMar>
          <w:top w:w="0" w:type="dxa"/>
          <w:left w:w="0" w:type="dxa"/>
          <w:bottom w:w="0" w:type="dxa"/>
          <w:right w:w="0" w:type="dxa"/>
        </w:tblCellMar>
      </w:tblPr>
      <w:tr>
        <w:trPr>
          <w:trHeight w:val="148"/>
        </w:trPr>
        <w:tc>
          <w:tcPr>
            <w:tcW w:w="820" w:type="dxa"/>
            <w:vAlign w:val="bottom"/>
          </w:tcPr>
          <w:p>
            <w:pPr>
              <w:spacing w:after="0"/>
              <w:rPr>
                <w:sz w:val="20"/>
                <w:szCs w:val="20"/>
                <w:color w:val="auto"/>
              </w:rPr>
            </w:pPr>
            <w:r>
              <w:rPr>
                <w:rFonts w:ascii="Arial" w:cs="Arial" w:eastAsia="Arial" w:hAnsi="Arial"/>
                <w:sz w:val="12"/>
                <w:szCs w:val="12"/>
                <w:color w:val="2989B9"/>
              </w:rPr>
              <w:t>Euro Notes:</w:t>
            </w:r>
          </w:p>
        </w:tc>
        <w:tc>
          <w:tcPr>
            <w:tcW w:w="474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€400.0, 1.91%</w:t>
            </w:r>
          </w:p>
        </w:tc>
        <w:tc>
          <w:tcPr>
            <w:tcW w:w="4740" w:type="dxa"/>
            <w:vAlign w:val="bottom"/>
          </w:tcPr>
          <w:p>
            <w:pPr>
              <w:ind w:left="20"/>
              <w:spacing w:after="0"/>
              <w:rPr>
                <w:sz w:val="20"/>
                <w:szCs w:val="20"/>
                <w:color w:val="auto"/>
              </w:rPr>
            </w:pPr>
            <w:r>
              <w:rPr>
                <w:rFonts w:ascii="Arial" w:cs="Arial" w:eastAsia="Arial" w:hAnsi="Arial"/>
                <w:sz w:val="12"/>
                <w:szCs w:val="12"/>
                <w:color w:val="282A32"/>
              </w:rPr>
              <w:t>Notes due September 2022</w:t>
            </w:r>
          </w:p>
        </w:tc>
        <w:tc>
          <w:tcPr>
            <w:tcW w:w="3540" w:type="dxa"/>
            <w:vAlign w:val="bottom"/>
          </w:tcPr>
          <w:p>
            <w:pPr>
              <w:jc w:val="right"/>
              <w:spacing w:after="0"/>
              <w:rPr>
                <w:sz w:val="20"/>
                <w:szCs w:val="20"/>
                <w:color w:val="auto"/>
              </w:rPr>
            </w:pPr>
            <w:r>
              <w:rPr>
                <w:rFonts w:ascii="Arial" w:cs="Arial" w:eastAsia="Arial" w:hAnsi="Arial"/>
                <w:sz w:val="12"/>
                <w:szCs w:val="12"/>
                <w:color w:val="282A32"/>
              </w:rPr>
              <w:t>$42.1</w:t>
            </w: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€350.0, 4.51%</w:t>
            </w:r>
          </w:p>
        </w:tc>
        <w:tc>
          <w:tcPr>
            <w:tcW w:w="4740" w:type="dxa"/>
            <w:vAlign w:val="bottom"/>
          </w:tcPr>
          <w:p>
            <w:pPr>
              <w:ind w:left="20"/>
              <w:spacing w:after="0"/>
              <w:rPr>
                <w:sz w:val="20"/>
                <w:szCs w:val="20"/>
                <w:color w:val="auto"/>
              </w:rPr>
            </w:pPr>
            <w:r>
              <w:rPr>
                <w:rFonts w:ascii="Arial" w:cs="Arial" w:eastAsia="Arial" w:hAnsi="Arial"/>
                <w:sz w:val="12"/>
                <w:szCs w:val="12"/>
                <w:color w:val="282A32"/>
              </w:rPr>
              <w:t>Notes due June 2018</w:t>
            </w:r>
          </w:p>
        </w:tc>
        <w:tc>
          <w:tcPr>
            <w:tcW w:w="3540" w:type="dxa"/>
            <w:vAlign w:val="bottom"/>
          </w:tcPr>
          <w:p>
            <w:pPr>
              <w:jc w:val="right"/>
              <w:spacing w:after="0"/>
              <w:rPr>
                <w:sz w:val="20"/>
                <w:szCs w:val="20"/>
                <w:color w:val="auto"/>
              </w:rPr>
            </w:pPr>
            <w:r>
              <w:rPr>
                <w:rFonts w:ascii="Arial" w:cs="Arial" w:eastAsia="Arial" w:hAnsi="Arial"/>
                <w:sz w:val="12"/>
                <w:szCs w:val="12"/>
                <w:color w:val="282A32"/>
              </w:rPr>
              <w:t>36.8</w:t>
            </w: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2989B9"/>
              </w:rPr>
              <w:t>Forward contracts:</w:t>
            </w:r>
          </w:p>
        </w:tc>
        <w:tc>
          <w:tcPr>
            <w:tcW w:w="3540" w:type="dxa"/>
            <w:vAlign w:val="bottom"/>
          </w:tcPr>
          <w:p>
            <w:pPr>
              <w:spacing w:after="0"/>
              <w:rPr>
                <w:sz w:val="17"/>
                <w:szCs w:val="17"/>
                <w:color w:val="auto"/>
              </w:rPr>
            </w:pP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£4.0 to $5.0</w:t>
            </w:r>
          </w:p>
        </w:tc>
        <w:tc>
          <w:tcPr>
            <w:tcW w:w="474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2"/>
                <w:szCs w:val="12"/>
                <w:color w:val="282A32"/>
              </w:rPr>
              <w:t>0.5</w:t>
            </w: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282A32"/>
              </w:rPr>
              <w:t>ARS 10,500.0 to $0.6</w:t>
            </w:r>
          </w:p>
        </w:tc>
        <w:tc>
          <w:tcPr>
            <w:tcW w:w="3540" w:type="dxa"/>
            <w:vAlign w:val="bottom"/>
          </w:tcPr>
          <w:p>
            <w:pPr>
              <w:jc w:val="right"/>
              <w:spacing w:after="0"/>
              <w:rPr>
                <w:sz w:val="20"/>
                <w:szCs w:val="20"/>
                <w:color w:val="auto"/>
              </w:rPr>
            </w:pPr>
            <w:r>
              <w:rPr>
                <w:rFonts w:ascii="Arial" w:cs="Arial" w:eastAsia="Arial" w:hAnsi="Arial"/>
                <w:sz w:val="12"/>
                <w:szCs w:val="12"/>
                <w:color w:val="282A32"/>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837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450" w:hanging="1450"/>
        <w:spacing w:after="0"/>
        <w:tabs>
          <w:tab w:leader="none" w:pos="1450" w:val="left"/>
        </w:tabs>
        <w:numPr>
          <w:ilvl w:val="0"/>
          <w:numId w:val="49"/>
        </w:numPr>
        <w:rPr>
          <w:rFonts w:ascii="Arial" w:cs="Arial" w:eastAsia="Arial" w:hAnsi="Arial"/>
          <w:sz w:val="17"/>
          <w:szCs w:val="17"/>
          <w:color w:val="282A32"/>
          <w:vertAlign w:val="superscript"/>
        </w:rPr>
      </w:pPr>
      <w:r>
        <w:rPr>
          <w:rFonts w:ascii="Arial" w:cs="Arial" w:eastAsia="Arial" w:hAnsi="Arial"/>
          <w:sz w:val="12"/>
          <w:szCs w:val="12"/>
          <w:color w:val="282A32"/>
        </w:rPr>
        <w:t xml:space="preserve">($42.1)  </w:t>
      </w:r>
      <w:r>
        <w:rPr>
          <w:rFonts w:ascii="Arial" w:cs="Arial" w:eastAsia="Arial" w:hAnsi="Arial"/>
          <w:sz w:val="16"/>
          <w:szCs w:val="16"/>
          <w:color w:val="282A32"/>
          <w:vertAlign w:val="superscript"/>
        </w:rPr>
        <w:t>(1)</w:t>
      </w:r>
    </w:p>
    <w:p>
      <w:pPr>
        <w:spacing w:after="0" w:line="11" w:lineRule="exact"/>
        <w:rPr>
          <w:sz w:val="20"/>
          <w:szCs w:val="20"/>
          <w:color w:val="auto"/>
        </w:rPr>
      </w:pPr>
    </w:p>
    <w:p>
      <w:pPr>
        <w:ind w:left="10"/>
        <w:spacing w:after="0"/>
        <w:tabs>
          <w:tab w:leader="none" w:pos="1490" w:val="left"/>
        </w:tabs>
        <w:rPr>
          <w:sz w:val="20"/>
          <w:szCs w:val="20"/>
          <w:color w:val="auto"/>
        </w:rPr>
      </w:pPr>
      <w:r>
        <w:rPr>
          <w:rFonts w:ascii="Arial" w:cs="Arial" w:eastAsia="Arial" w:hAnsi="Arial"/>
          <w:sz w:val="17"/>
          <w:szCs w:val="17"/>
          <w:color w:val="282A32"/>
          <w:vertAlign w:val="superscript"/>
        </w:rPr>
        <w:t>(1)</w:t>
      </w:r>
      <w:r>
        <w:rPr>
          <w:sz w:val="20"/>
          <w:szCs w:val="20"/>
          <w:color w:val="auto"/>
        </w:rPr>
        <w:tab/>
      </w:r>
      <w:r>
        <w:rPr>
          <w:rFonts w:ascii="Arial" w:cs="Arial" w:eastAsia="Arial" w:hAnsi="Arial"/>
          <w:sz w:val="12"/>
          <w:szCs w:val="12"/>
          <w:color w:val="282A32"/>
        </w:rPr>
        <w:t xml:space="preserve">(36.8)  </w:t>
      </w:r>
      <w:r>
        <w:rPr>
          <w:rFonts w:ascii="Arial" w:cs="Arial" w:eastAsia="Arial" w:hAnsi="Arial"/>
          <w:sz w:val="16"/>
          <w:szCs w:val="16"/>
          <w:color w:val="282A32"/>
          <w:vertAlign w:val="superscript"/>
        </w:rPr>
        <w:t>(1)</w:t>
      </w:r>
    </w:p>
    <w:p>
      <w:pPr>
        <w:spacing w:after="0" w:line="222" w:lineRule="exact"/>
        <w:rPr>
          <w:sz w:val="20"/>
          <w:szCs w:val="20"/>
          <w:color w:val="auto"/>
        </w:rPr>
      </w:pPr>
    </w:p>
    <w:p>
      <w:pPr>
        <w:ind w:left="1590"/>
        <w:spacing w:after="0"/>
        <w:rPr>
          <w:sz w:val="20"/>
          <w:szCs w:val="20"/>
          <w:color w:val="auto"/>
        </w:rPr>
      </w:pPr>
      <w:r>
        <w:rPr>
          <w:rFonts w:ascii="Arial" w:cs="Arial" w:eastAsia="Arial" w:hAnsi="Arial"/>
          <w:sz w:val="12"/>
          <w:szCs w:val="12"/>
          <w:color w:val="282A32"/>
        </w:rPr>
        <w:t>(0.5)</w:t>
      </w:r>
    </w:p>
    <w:p>
      <w:pPr>
        <w:spacing w:after="0" w:line="69" w:lineRule="exact"/>
        <w:rPr>
          <w:sz w:val="20"/>
          <w:szCs w:val="20"/>
          <w:color w:val="auto"/>
        </w:rPr>
      </w:pPr>
    </w:p>
    <w:p>
      <w:pPr>
        <w:ind w:left="1630"/>
        <w:spacing w:after="0"/>
        <w:rPr>
          <w:sz w:val="20"/>
          <w:szCs w:val="20"/>
          <w:color w:val="auto"/>
        </w:rPr>
      </w:pPr>
      <w:r>
        <w:rPr>
          <w:rFonts w:ascii="Arial" w:cs="Arial" w:eastAsia="Arial" w:hAnsi="Arial"/>
          <w:sz w:val="12"/>
          <w:szCs w:val="12"/>
          <w:color w:val="282A32"/>
        </w:rPr>
        <w:t>0.1</w:t>
      </w:r>
    </w:p>
    <w:p>
      <w:pPr>
        <w:spacing w:after="0" w:line="210" w:lineRule="exact"/>
        <w:rPr>
          <w:sz w:val="20"/>
          <w:szCs w:val="20"/>
          <w:color w:val="auto"/>
        </w:rPr>
      </w:pPr>
    </w:p>
    <w:p>
      <w:pPr>
        <w:sectPr>
          <w:pgSz w:w="11900" w:h="16838" w:orient="portrait"/>
          <w:cols w:equalWidth="0" w:num="2">
            <w:col w:w="9120" w:space="90"/>
            <w:col w:w="2250"/>
          </w:cols>
          <w:pgMar w:left="220" w:top="166" w:right="21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 xml:space="preserve">2015 </w:t>
            </w:r>
            <w:r>
              <w:rPr>
                <w:rFonts w:ascii="Arial" w:cs="Arial" w:eastAsia="Arial" w:hAnsi="Arial"/>
                <w:sz w:val="11"/>
                <w:szCs w:val="11"/>
                <w:i w:val="1"/>
                <w:iCs w:val="1"/>
                <w:color w:val="282A32"/>
              </w:rPr>
              <w:t>(in millions)</w:t>
            </w:r>
          </w:p>
        </w:tc>
        <w:tc>
          <w:tcPr>
            <w:tcW w:w="44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282A32"/>
              </w:rPr>
              <w:t>Movements in Exchange Rates</w:t>
            </w:r>
          </w:p>
        </w:tc>
      </w:tr>
      <w:tr>
        <w:trPr>
          <w:trHeight w:val="19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Market Sensitive Instrument</w:t>
            </w:r>
          </w:p>
        </w:tc>
        <w:tc>
          <w:tcPr>
            <w:tcW w:w="4480" w:type="dxa"/>
            <w:vAlign w:val="bottom"/>
            <w:tcBorders>
              <w:bottom w:val="single" w:sz="8" w:color="auto"/>
            </w:tcBorders>
          </w:tcPr>
          <w:p>
            <w:pPr>
              <w:ind w:left="3400"/>
              <w:spacing w:after="0"/>
              <w:rPr>
                <w:sz w:val="20"/>
                <w:szCs w:val="20"/>
                <w:color w:val="auto"/>
              </w:rPr>
            </w:pPr>
            <w:r>
              <w:rPr>
                <w:rFonts w:ascii="Arial" w:cs="Arial" w:eastAsia="Arial" w:hAnsi="Arial"/>
                <w:sz w:val="11"/>
                <w:szCs w:val="11"/>
                <w:color w:val="282A32"/>
              </w:rPr>
              <w:t>10% Depreciation</w:t>
            </w:r>
          </w:p>
        </w:tc>
        <w:tc>
          <w:tcPr>
            <w:tcW w:w="218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282A32"/>
              </w:rPr>
              <w:t>10% Appreciation</w:t>
            </w:r>
          </w:p>
        </w:tc>
      </w:tr>
    </w:tbl>
    <w:p>
      <w:pPr>
        <w:spacing w:after="0" w:line="43" w:lineRule="exact"/>
        <w:rPr>
          <w:sz w:val="20"/>
          <w:szCs w:val="20"/>
          <w:color w:val="auto"/>
        </w:rPr>
      </w:pPr>
    </w:p>
    <w:p>
      <w:pPr>
        <w:sectPr>
          <w:pgSz w:w="11900" w:h="16838" w:orient="portrait"/>
          <w:cols w:equalWidth="0" w:num="1">
            <w:col w:w="11460"/>
          </w:cols>
          <w:pgMar w:left="220" w:top="166" w:right="219" w:bottom="1440" w:gutter="0" w:footer="0" w:header="0"/>
          <w:type w:val="continuous"/>
        </w:sectPr>
      </w:pPr>
    </w:p>
    <w:tbl>
      <w:tblPr>
        <w:tblLayout w:type="fixed"/>
        <w:tblInd w:w="20" w:type="dxa"/>
        <w:tblCellMar>
          <w:top w:w="0" w:type="dxa"/>
          <w:left w:w="0" w:type="dxa"/>
          <w:bottom w:w="0" w:type="dxa"/>
          <w:right w:w="0" w:type="dxa"/>
        </w:tblCellMar>
      </w:tblPr>
      <w:tr>
        <w:trPr>
          <w:trHeight w:val="148"/>
        </w:trPr>
        <w:tc>
          <w:tcPr>
            <w:tcW w:w="820" w:type="dxa"/>
            <w:vAlign w:val="bottom"/>
          </w:tcPr>
          <w:p>
            <w:pPr>
              <w:spacing w:after="0"/>
              <w:rPr>
                <w:sz w:val="20"/>
                <w:szCs w:val="20"/>
                <w:color w:val="auto"/>
              </w:rPr>
            </w:pPr>
            <w:r>
              <w:rPr>
                <w:rFonts w:ascii="Arial" w:cs="Arial" w:eastAsia="Arial" w:hAnsi="Arial"/>
                <w:sz w:val="12"/>
                <w:szCs w:val="12"/>
                <w:color w:val="2989B9"/>
              </w:rPr>
              <w:t>Euro Notes:</w:t>
            </w:r>
          </w:p>
        </w:tc>
        <w:tc>
          <w:tcPr>
            <w:tcW w:w="4740" w:type="dxa"/>
            <w:vAlign w:val="bottom"/>
          </w:tcPr>
          <w:p>
            <w:pPr>
              <w:spacing w:after="0"/>
              <w:rPr>
                <w:sz w:val="12"/>
                <w:szCs w:val="12"/>
                <w:color w:val="auto"/>
              </w:rPr>
            </w:pPr>
          </w:p>
        </w:tc>
        <w:tc>
          <w:tcPr>
            <w:tcW w:w="3500" w:type="dxa"/>
            <w:vAlign w:val="bottom"/>
          </w:tcPr>
          <w:p>
            <w:pPr>
              <w:spacing w:after="0"/>
              <w:rPr>
                <w:sz w:val="12"/>
                <w:szCs w:val="12"/>
                <w:color w:val="auto"/>
              </w:rPr>
            </w:pP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€400.0, 1.91%</w:t>
            </w:r>
          </w:p>
        </w:tc>
        <w:tc>
          <w:tcPr>
            <w:tcW w:w="4740" w:type="dxa"/>
            <w:vAlign w:val="bottom"/>
          </w:tcPr>
          <w:p>
            <w:pPr>
              <w:ind w:left="20"/>
              <w:spacing w:after="0"/>
              <w:rPr>
                <w:sz w:val="20"/>
                <w:szCs w:val="20"/>
                <w:color w:val="auto"/>
              </w:rPr>
            </w:pPr>
            <w:r>
              <w:rPr>
                <w:rFonts w:ascii="Arial" w:cs="Arial" w:eastAsia="Arial" w:hAnsi="Arial"/>
                <w:sz w:val="12"/>
                <w:szCs w:val="12"/>
                <w:color w:val="282A32"/>
              </w:rPr>
              <w:t>Notes due September 2022</w:t>
            </w:r>
          </w:p>
        </w:tc>
        <w:tc>
          <w:tcPr>
            <w:tcW w:w="3500" w:type="dxa"/>
            <w:vAlign w:val="bottom"/>
          </w:tcPr>
          <w:p>
            <w:pPr>
              <w:jc w:val="right"/>
              <w:spacing w:after="0"/>
              <w:rPr>
                <w:sz w:val="20"/>
                <w:szCs w:val="20"/>
                <w:color w:val="auto"/>
              </w:rPr>
            </w:pPr>
            <w:r>
              <w:rPr>
                <w:rFonts w:ascii="Arial" w:cs="Arial" w:eastAsia="Arial" w:hAnsi="Arial"/>
                <w:sz w:val="12"/>
                <w:szCs w:val="12"/>
                <w:color w:val="282A32"/>
              </w:rPr>
              <w:t>$43.4</w:t>
            </w: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€350.0, 4.51%</w:t>
            </w:r>
          </w:p>
        </w:tc>
        <w:tc>
          <w:tcPr>
            <w:tcW w:w="4740" w:type="dxa"/>
            <w:vAlign w:val="bottom"/>
          </w:tcPr>
          <w:p>
            <w:pPr>
              <w:ind w:left="20"/>
              <w:spacing w:after="0"/>
              <w:rPr>
                <w:sz w:val="20"/>
                <w:szCs w:val="20"/>
                <w:color w:val="auto"/>
              </w:rPr>
            </w:pPr>
            <w:r>
              <w:rPr>
                <w:rFonts w:ascii="Arial" w:cs="Arial" w:eastAsia="Arial" w:hAnsi="Arial"/>
                <w:sz w:val="12"/>
                <w:szCs w:val="12"/>
                <w:color w:val="282A32"/>
              </w:rPr>
              <w:t>Notes due June 2018</w:t>
            </w:r>
          </w:p>
        </w:tc>
        <w:tc>
          <w:tcPr>
            <w:tcW w:w="3500" w:type="dxa"/>
            <w:vAlign w:val="bottom"/>
          </w:tcPr>
          <w:p>
            <w:pPr>
              <w:jc w:val="right"/>
              <w:spacing w:after="0"/>
              <w:rPr>
                <w:sz w:val="20"/>
                <w:szCs w:val="20"/>
                <w:color w:val="auto"/>
              </w:rPr>
            </w:pPr>
            <w:r>
              <w:rPr>
                <w:rFonts w:ascii="Arial" w:cs="Arial" w:eastAsia="Arial" w:hAnsi="Arial"/>
                <w:sz w:val="12"/>
                <w:szCs w:val="12"/>
                <w:color w:val="282A32"/>
              </w:rPr>
              <w:t>38.0</w:t>
            </w: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2989B9"/>
              </w:rPr>
              <w:t>Forward contracts:</w:t>
            </w:r>
          </w:p>
        </w:tc>
        <w:tc>
          <w:tcPr>
            <w:tcW w:w="3500" w:type="dxa"/>
            <w:vAlign w:val="bottom"/>
          </w:tcPr>
          <w:p>
            <w:pPr>
              <w:spacing w:after="0"/>
              <w:rPr>
                <w:sz w:val="17"/>
                <w:szCs w:val="17"/>
                <w:color w:val="auto"/>
              </w:rPr>
            </w:pP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£11.1 to $16.8</w:t>
            </w:r>
          </w:p>
        </w:tc>
        <w:tc>
          <w:tcPr>
            <w:tcW w:w="4740" w:type="dxa"/>
            <w:vAlign w:val="bottom"/>
          </w:tcPr>
          <w:p>
            <w:pPr>
              <w:spacing w:after="0"/>
              <w:rPr>
                <w:sz w:val="17"/>
                <w:szCs w:val="17"/>
                <w:color w:val="auto"/>
              </w:rPr>
            </w:pPr>
          </w:p>
        </w:tc>
        <w:tc>
          <w:tcPr>
            <w:tcW w:w="3500" w:type="dxa"/>
            <w:vAlign w:val="bottom"/>
          </w:tcPr>
          <w:p>
            <w:pPr>
              <w:jc w:val="right"/>
              <w:spacing w:after="0"/>
              <w:rPr>
                <w:sz w:val="20"/>
                <w:szCs w:val="20"/>
                <w:color w:val="auto"/>
              </w:rPr>
            </w:pPr>
            <w:r>
              <w:rPr>
                <w:rFonts w:ascii="Arial" w:cs="Arial" w:eastAsia="Arial" w:hAnsi="Arial"/>
                <w:sz w:val="12"/>
                <w:szCs w:val="12"/>
                <w:color w:val="282A32"/>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837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450" w:hanging="1450"/>
        <w:spacing w:after="0"/>
        <w:tabs>
          <w:tab w:leader="none" w:pos="1450" w:val="left"/>
        </w:tabs>
        <w:numPr>
          <w:ilvl w:val="0"/>
          <w:numId w:val="50"/>
        </w:numPr>
        <w:rPr>
          <w:rFonts w:ascii="Arial" w:cs="Arial" w:eastAsia="Arial" w:hAnsi="Arial"/>
          <w:sz w:val="17"/>
          <w:szCs w:val="17"/>
          <w:color w:val="282A32"/>
          <w:vertAlign w:val="superscript"/>
        </w:rPr>
      </w:pPr>
      <w:r>
        <w:rPr>
          <w:rFonts w:ascii="Arial" w:cs="Arial" w:eastAsia="Arial" w:hAnsi="Arial"/>
          <w:sz w:val="12"/>
          <w:szCs w:val="12"/>
          <w:color w:val="282A32"/>
        </w:rPr>
        <w:t xml:space="preserve">($43.4)  </w:t>
      </w:r>
      <w:r>
        <w:rPr>
          <w:rFonts w:ascii="Arial" w:cs="Arial" w:eastAsia="Arial" w:hAnsi="Arial"/>
          <w:sz w:val="16"/>
          <w:szCs w:val="16"/>
          <w:color w:val="282A32"/>
          <w:vertAlign w:val="superscript"/>
        </w:rPr>
        <w:t>(1)</w:t>
      </w:r>
    </w:p>
    <w:p>
      <w:pPr>
        <w:ind w:left="10"/>
        <w:spacing w:after="0"/>
        <w:tabs>
          <w:tab w:leader="none" w:pos="1490" w:val="left"/>
          <w:tab w:leader="none" w:pos="1910" w:val="left"/>
        </w:tabs>
        <w:rPr>
          <w:sz w:val="20"/>
          <w:szCs w:val="20"/>
          <w:color w:val="auto"/>
        </w:rPr>
      </w:pPr>
      <w:r>
        <w:rPr>
          <w:rFonts w:ascii="Arial" w:cs="Arial" w:eastAsia="Arial" w:hAnsi="Arial"/>
          <w:sz w:val="7"/>
          <w:szCs w:val="7"/>
          <w:color w:val="282A32"/>
        </w:rPr>
        <w:t>(1)</w:t>
      </w:r>
      <w:r>
        <w:rPr>
          <w:sz w:val="20"/>
          <w:szCs w:val="20"/>
          <w:color w:val="auto"/>
        </w:rPr>
        <w:tab/>
      </w:r>
      <w:r>
        <w:rPr>
          <w:rFonts w:ascii="Arial" w:cs="Arial" w:eastAsia="Arial" w:hAnsi="Arial"/>
          <w:sz w:val="18"/>
          <w:szCs w:val="18"/>
          <w:color w:val="282A32"/>
          <w:vertAlign w:val="subscript"/>
        </w:rPr>
        <w:t>(38.0)</w:t>
      </w:r>
      <w:r>
        <w:rPr>
          <w:sz w:val="20"/>
          <w:szCs w:val="20"/>
          <w:color w:val="auto"/>
        </w:rPr>
        <w:tab/>
      </w:r>
      <w:r>
        <w:rPr>
          <w:rFonts w:ascii="Arial" w:cs="Arial" w:eastAsia="Arial" w:hAnsi="Arial"/>
          <w:sz w:val="8"/>
          <w:szCs w:val="8"/>
          <w:color w:val="282A32"/>
        </w:rPr>
        <w:t>(1)</w:t>
      </w:r>
    </w:p>
    <w:p>
      <w:pPr>
        <w:spacing w:after="0" w:line="266" w:lineRule="exact"/>
        <w:rPr>
          <w:sz w:val="20"/>
          <w:szCs w:val="20"/>
          <w:color w:val="auto"/>
        </w:rPr>
      </w:pPr>
    </w:p>
    <w:p>
      <w:pPr>
        <w:ind w:left="1590"/>
        <w:spacing w:after="0"/>
        <w:rPr>
          <w:sz w:val="20"/>
          <w:szCs w:val="20"/>
          <w:color w:val="auto"/>
        </w:rPr>
      </w:pPr>
      <w:r>
        <w:rPr>
          <w:rFonts w:ascii="Arial" w:cs="Arial" w:eastAsia="Arial" w:hAnsi="Arial"/>
          <w:sz w:val="12"/>
          <w:szCs w:val="12"/>
          <w:color w:val="282A32"/>
        </w:rPr>
        <w:t>(1.6)</w:t>
      </w:r>
    </w:p>
    <w:p>
      <w:pPr>
        <w:spacing w:after="0" w:line="154" w:lineRule="exact"/>
        <w:rPr>
          <w:sz w:val="20"/>
          <w:szCs w:val="20"/>
          <w:color w:val="auto"/>
        </w:rPr>
      </w:pPr>
    </w:p>
    <w:p>
      <w:pPr>
        <w:sectPr>
          <w:pgSz w:w="11900" w:h="16838" w:orient="portrait"/>
          <w:cols w:equalWidth="0" w:num="2">
            <w:col w:w="9080" w:space="130"/>
            <w:col w:w="2250"/>
          </w:cols>
          <w:pgMar w:left="220" w:top="166" w:right="219" w:bottom="1440" w:gutter="0" w:footer="0" w:header="0"/>
          <w:type w:val="continuous"/>
        </w:sectPr>
      </w:pPr>
    </w:p>
    <w:p>
      <w:pPr>
        <w:spacing w:after="0"/>
        <w:rPr>
          <w:sz w:val="20"/>
          <w:szCs w:val="20"/>
          <w:color w:val="auto"/>
        </w:rPr>
      </w:pPr>
      <w:r>
        <w:rPr>
          <w:rFonts w:ascii="Arial" w:cs="Arial" w:eastAsia="Arial" w:hAnsi="Arial"/>
          <w:sz w:val="11"/>
          <w:szCs w:val="11"/>
          <w:color w:val="282A32"/>
        </w:rPr>
        <w:t>(1) Exchange rate movements are recorded through accumulated other comprehensive loss as these instruments have been designated as an economic hedge of our net investment in subsidiaries with a Euro-functional currency.</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The hypothetical (increases)/decreases in the fair value of our market sensitive instruments due to changes in our Euro Notes' quoted prices and changes in foreign currency exchange rates for the forward contracts are as follows: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1"/>
          <w:szCs w:val="11"/>
          <w:color w:val="282A32"/>
        </w:rPr>
        <w:t>As of December 31, 2016</w:t>
      </w:r>
    </w:p>
    <w:p>
      <w:pPr>
        <w:ind w:left="20"/>
        <w:spacing w:after="0"/>
        <w:tabs>
          <w:tab w:leader="none" w:pos="8340" w:val="left"/>
          <w:tab w:leader="none" w:pos="10320" w:val="left"/>
        </w:tabs>
        <w:rPr>
          <w:sz w:val="20"/>
          <w:szCs w:val="20"/>
          <w:color w:val="auto"/>
        </w:rPr>
      </w:pPr>
      <w:r>
        <w:rPr>
          <w:rFonts w:ascii="Arial" w:cs="Arial" w:eastAsia="Arial" w:hAnsi="Arial"/>
          <w:sz w:val="11"/>
          <w:szCs w:val="11"/>
          <w:color w:val="282A32"/>
        </w:rPr>
        <w:t xml:space="preserve">Market Sensitive Instrument </w:t>
      </w:r>
      <w:r>
        <w:rPr>
          <w:rFonts w:ascii="Arial" w:cs="Arial" w:eastAsia="Arial" w:hAnsi="Arial"/>
          <w:sz w:val="11"/>
          <w:szCs w:val="11"/>
          <w:i w:val="1"/>
          <w:iCs w:val="1"/>
          <w:color w:val="282A32"/>
        </w:rPr>
        <w:t>(in millions)</w:t>
      </w:r>
      <w:r>
        <w:rPr>
          <w:sz w:val="20"/>
          <w:szCs w:val="20"/>
          <w:color w:val="auto"/>
        </w:rPr>
        <w:tab/>
      </w:r>
      <w:r>
        <w:rPr>
          <w:rFonts w:ascii="Arial" w:cs="Arial" w:eastAsia="Arial" w:hAnsi="Arial"/>
          <w:sz w:val="11"/>
          <w:szCs w:val="11"/>
          <w:color w:val="282A32"/>
        </w:rPr>
        <w:t>10% Decrease</w:t>
      </w:r>
      <w:r>
        <w:rPr>
          <w:sz w:val="20"/>
          <w:szCs w:val="20"/>
          <w:color w:val="auto"/>
        </w:rPr>
        <w:tab/>
      </w:r>
      <w:r>
        <w:rPr>
          <w:rFonts w:ascii="Arial" w:cs="Arial" w:eastAsia="Arial" w:hAnsi="Arial"/>
          <w:sz w:val="11"/>
          <w:szCs w:val="11"/>
          <w:color w:val="282A32"/>
        </w:rPr>
        <w:t>10%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27837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460"/>
          </w:cols>
          <w:pgMar w:left="220" w:top="166" w:right="219" w:bottom="1440" w:gutter="0" w:footer="0" w:header="0"/>
          <w:type w:val="continuous"/>
        </w:sectPr>
      </w:pP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20" w:type="dxa"/>
            <w:vAlign w:val="bottom"/>
          </w:tcPr>
          <w:p>
            <w:pPr>
              <w:spacing w:after="0"/>
              <w:rPr>
                <w:sz w:val="20"/>
                <w:szCs w:val="20"/>
                <w:color w:val="auto"/>
              </w:rPr>
            </w:pPr>
            <w:r>
              <w:rPr>
                <w:rFonts w:ascii="Arial" w:cs="Arial" w:eastAsia="Arial" w:hAnsi="Arial"/>
                <w:sz w:val="12"/>
                <w:szCs w:val="12"/>
                <w:color w:val="2989B9"/>
              </w:rPr>
              <w:t>Euro Notes:</w:t>
            </w:r>
          </w:p>
        </w:tc>
        <w:tc>
          <w:tcPr>
            <w:tcW w:w="474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€400.0, 1.91%</w:t>
            </w:r>
          </w:p>
        </w:tc>
        <w:tc>
          <w:tcPr>
            <w:tcW w:w="4740" w:type="dxa"/>
            <w:vAlign w:val="bottom"/>
          </w:tcPr>
          <w:p>
            <w:pPr>
              <w:ind w:left="20"/>
              <w:spacing w:after="0"/>
              <w:rPr>
                <w:sz w:val="20"/>
                <w:szCs w:val="20"/>
                <w:color w:val="auto"/>
              </w:rPr>
            </w:pPr>
            <w:r>
              <w:rPr>
                <w:rFonts w:ascii="Arial" w:cs="Arial" w:eastAsia="Arial" w:hAnsi="Arial"/>
                <w:sz w:val="12"/>
                <w:szCs w:val="12"/>
                <w:color w:val="282A32"/>
              </w:rPr>
              <w:t>Notes due September 2022</w:t>
            </w:r>
          </w:p>
        </w:tc>
        <w:tc>
          <w:tcPr>
            <w:tcW w:w="3540" w:type="dxa"/>
            <w:vAlign w:val="bottom"/>
          </w:tcPr>
          <w:p>
            <w:pPr>
              <w:jc w:val="right"/>
              <w:spacing w:after="0"/>
              <w:rPr>
                <w:sz w:val="20"/>
                <w:szCs w:val="20"/>
                <w:color w:val="auto"/>
              </w:rPr>
            </w:pPr>
            <w:r>
              <w:rPr>
                <w:rFonts w:ascii="Arial" w:cs="Arial" w:eastAsia="Arial" w:hAnsi="Arial"/>
                <w:sz w:val="12"/>
                <w:szCs w:val="12"/>
                <w:color w:val="282A32"/>
              </w:rPr>
              <w:t>$44.0</w:t>
            </w: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€350.0, 4.51%</w:t>
            </w:r>
          </w:p>
        </w:tc>
        <w:tc>
          <w:tcPr>
            <w:tcW w:w="4740" w:type="dxa"/>
            <w:vAlign w:val="bottom"/>
          </w:tcPr>
          <w:p>
            <w:pPr>
              <w:ind w:left="20"/>
              <w:spacing w:after="0"/>
              <w:rPr>
                <w:sz w:val="20"/>
                <w:szCs w:val="20"/>
                <w:color w:val="auto"/>
              </w:rPr>
            </w:pPr>
            <w:r>
              <w:rPr>
                <w:rFonts w:ascii="Arial" w:cs="Arial" w:eastAsia="Arial" w:hAnsi="Arial"/>
                <w:sz w:val="12"/>
                <w:szCs w:val="12"/>
                <w:color w:val="282A32"/>
              </w:rPr>
              <w:t>Notes due June 2018</w:t>
            </w:r>
          </w:p>
        </w:tc>
        <w:tc>
          <w:tcPr>
            <w:tcW w:w="3540" w:type="dxa"/>
            <w:vAlign w:val="bottom"/>
          </w:tcPr>
          <w:p>
            <w:pPr>
              <w:jc w:val="right"/>
              <w:spacing w:after="0"/>
              <w:rPr>
                <w:sz w:val="20"/>
                <w:szCs w:val="20"/>
                <w:color w:val="auto"/>
              </w:rPr>
            </w:pPr>
            <w:r>
              <w:rPr>
                <w:rFonts w:ascii="Arial" w:cs="Arial" w:eastAsia="Arial" w:hAnsi="Arial"/>
                <w:sz w:val="12"/>
                <w:szCs w:val="12"/>
                <w:color w:val="282A32"/>
              </w:rPr>
              <w:t>39.2</w:t>
            </w: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2989B9"/>
              </w:rPr>
              <w:t>Forward contracts:</w:t>
            </w:r>
          </w:p>
        </w:tc>
        <w:tc>
          <w:tcPr>
            <w:tcW w:w="3540" w:type="dxa"/>
            <w:vAlign w:val="bottom"/>
          </w:tcPr>
          <w:p>
            <w:pPr>
              <w:spacing w:after="0"/>
              <w:rPr>
                <w:sz w:val="17"/>
                <w:szCs w:val="17"/>
                <w:color w:val="auto"/>
              </w:rPr>
            </w:pP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£4.0 to $5.0</w:t>
            </w:r>
          </w:p>
        </w:tc>
        <w:tc>
          <w:tcPr>
            <w:tcW w:w="474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2"/>
                <w:szCs w:val="12"/>
                <w:color w:val="282A32"/>
              </w:rPr>
              <w:t>0.5</w:t>
            </w: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282A32"/>
              </w:rPr>
              <w:t>ARS 10,500.0 to $0.6</w:t>
            </w:r>
          </w:p>
        </w:tc>
        <w:tc>
          <w:tcPr>
            <w:tcW w:w="3540" w:type="dxa"/>
            <w:vAlign w:val="bottom"/>
          </w:tcPr>
          <w:p>
            <w:pPr>
              <w:jc w:val="right"/>
              <w:spacing w:after="0"/>
              <w:rPr>
                <w:sz w:val="20"/>
                <w:szCs w:val="20"/>
                <w:color w:val="auto"/>
              </w:rPr>
            </w:pPr>
            <w:r>
              <w:rPr>
                <w:rFonts w:ascii="Arial" w:cs="Arial" w:eastAsia="Arial" w:hAnsi="Arial"/>
                <w:sz w:val="12"/>
                <w:szCs w:val="12"/>
                <w:color w:val="282A32"/>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837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450" w:hanging="1450"/>
        <w:spacing w:after="0"/>
        <w:tabs>
          <w:tab w:leader="none" w:pos="1450" w:val="left"/>
        </w:tabs>
        <w:numPr>
          <w:ilvl w:val="0"/>
          <w:numId w:val="51"/>
        </w:numPr>
        <w:rPr>
          <w:rFonts w:ascii="Arial" w:cs="Arial" w:eastAsia="Arial" w:hAnsi="Arial"/>
          <w:sz w:val="17"/>
          <w:szCs w:val="17"/>
          <w:color w:val="282A32"/>
          <w:vertAlign w:val="superscript"/>
        </w:rPr>
      </w:pPr>
      <w:r>
        <w:rPr>
          <w:rFonts w:ascii="Arial" w:cs="Arial" w:eastAsia="Arial" w:hAnsi="Arial"/>
          <w:sz w:val="12"/>
          <w:szCs w:val="12"/>
          <w:color w:val="282A32"/>
        </w:rPr>
        <w:t xml:space="preserve">($44.0)  </w:t>
      </w:r>
      <w:r>
        <w:rPr>
          <w:rFonts w:ascii="Arial" w:cs="Arial" w:eastAsia="Arial" w:hAnsi="Arial"/>
          <w:sz w:val="16"/>
          <w:szCs w:val="16"/>
          <w:color w:val="282A32"/>
          <w:vertAlign w:val="superscript"/>
        </w:rPr>
        <w:t>(1)</w:t>
      </w:r>
    </w:p>
    <w:p>
      <w:pPr>
        <w:ind w:left="10"/>
        <w:spacing w:after="0"/>
        <w:tabs>
          <w:tab w:leader="none" w:pos="1490" w:val="left"/>
          <w:tab w:leader="none" w:pos="1910" w:val="left"/>
        </w:tabs>
        <w:rPr>
          <w:sz w:val="20"/>
          <w:szCs w:val="20"/>
          <w:color w:val="auto"/>
        </w:rPr>
      </w:pPr>
      <w:r>
        <w:rPr>
          <w:rFonts w:ascii="Arial" w:cs="Arial" w:eastAsia="Arial" w:hAnsi="Arial"/>
          <w:sz w:val="7"/>
          <w:szCs w:val="7"/>
          <w:color w:val="282A32"/>
        </w:rPr>
        <w:t>(1)</w:t>
      </w:r>
      <w:r>
        <w:rPr>
          <w:sz w:val="20"/>
          <w:szCs w:val="20"/>
          <w:color w:val="auto"/>
        </w:rPr>
        <w:tab/>
      </w:r>
      <w:r>
        <w:rPr>
          <w:rFonts w:ascii="Arial" w:cs="Arial" w:eastAsia="Arial" w:hAnsi="Arial"/>
          <w:sz w:val="18"/>
          <w:szCs w:val="18"/>
          <w:color w:val="282A32"/>
          <w:vertAlign w:val="subscript"/>
        </w:rPr>
        <w:t>(39.2)</w:t>
      </w:r>
      <w:r>
        <w:rPr>
          <w:sz w:val="20"/>
          <w:szCs w:val="20"/>
          <w:color w:val="auto"/>
        </w:rPr>
        <w:tab/>
      </w:r>
      <w:r>
        <w:rPr>
          <w:rFonts w:ascii="Arial" w:cs="Arial" w:eastAsia="Arial" w:hAnsi="Arial"/>
          <w:sz w:val="8"/>
          <w:szCs w:val="8"/>
          <w:color w:val="282A32"/>
        </w:rPr>
        <w:t>(1)</w:t>
      </w:r>
    </w:p>
    <w:p>
      <w:pPr>
        <w:spacing w:after="0" w:line="266" w:lineRule="exact"/>
        <w:rPr>
          <w:sz w:val="20"/>
          <w:szCs w:val="20"/>
          <w:color w:val="auto"/>
        </w:rPr>
      </w:pPr>
    </w:p>
    <w:p>
      <w:pPr>
        <w:ind w:left="1590"/>
        <w:spacing w:after="0"/>
        <w:rPr>
          <w:sz w:val="20"/>
          <w:szCs w:val="20"/>
          <w:color w:val="auto"/>
        </w:rPr>
      </w:pPr>
      <w:r>
        <w:rPr>
          <w:rFonts w:ascii="Arial" w:cs="Arial" w:eastAsia="Arial" w:hAnsi="Arial"/>
          <w:sz w:val="12"/>
          <w:szCs w:val="12"/>
          <w:color w:val="282A32"/>
        </w:rPr>
        <w:t>(0.5)</w:t>
      </w:r>
    </w:p>
    <w:p>
      <w:pPr>
        <w:spacing w:after="0" w:line="69" w:lineRule="exact"/>
        <w:rPr>
          <w:sz w:val="20"/>
          <w:szCs w:val="20"/>
          <w:color w:val="auto"/>
        </w:rPr>
      </w:pPr>
    </w:p>
    <w:p>
      <w:pPr>
        <w:ind w:left="1630"/>
        <w:spacing w:after="0"/>
        <w:rPr>
          <w:sz w:val="20"/>
          <w:szCs w:val="20"/>
          <w:color w:val="auto"/>
        </w:rPr>
      </w:pPr>
      <w:r>
        <w:rPr>
          <w:rFonts w:ascii="Arial" w:cs="Arial" w:eastAsia="Arial" w:hAnsi="Arial"/>
          <w:sz w:val="12"/>
          <w:szCs w:val="12"/>
          <w:color w:val="282A32"/>
        </w:rPr>
        <w:t>0.1</w:t>
      </w:r>
    </w:p>
    <w:p>
      <w:pPr>
        <w:spacing w:after="0" w:line="210" w:lineRule="exact"/>
        <w:rPr>
          <w:sz w:val="20"/>
          <w:szCs w:val="20"/>
          <w:color w:val="auto"/>
        </w:rPr>
      </w:pPr>
    </w:p>
    <w:p>
      <w:pPr>
        <w:sectPr>
          <w:pgSz w:w="11900" w:h="16838" w:orient="portrait"/>
          <w:cols w:equalWidth="0" w:num="2">
            <w:col w:w="9120" w:space="90"/>
            <w:col w:w="2250"/>
          </w:cols>
          <w:pgMar w:left="220" w:top="166" w:right="219" w:bottom="1440" w:gutter="0" w:footer="0" w:header="0"/>
          <w:type w:val="continuous"/>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1"/>
          <w:szCs w:val="11"/>
          <w:color w:val="282A32"/>
        </w:rPr>
        <w:t>As of December 31, 2015</w:t>
      </w:r>
    </w:p>
    <w:p>
      <w:pPr>
        <w:ind w:left="20"/>
        <w:spacing w:after="0"/>
        <w:tabs>
          <w:tab w:leader="none" w:pos="8340" w:val="left"/>
          <w:tab w:leader="none" w:pos="10320" w:val="left"/>
        </w:tabs>
        <w:rPr>
          <w:sz w:val="20"/>
          <w:szCs w:val="20"/>
          <w:color w:val="auto"/>
        </w:rPr>
      </w:pPr>
      <w:r>
        <w:rPr>
          <w:rFonts w:ascii="Arial" w:cs="Arial" w:eastAsia="Arial" w:hAnsi="Arial"/>
          <w:sz w:val="11"/>
          <w:szCs w:val="11"/>
          <w:color w:val="282A32"/>
        </w:rPr>
        <w:t xml:space="preserve">Market Sensitive Instrument </w:t>
      </w:r>
      <w:r>
        <w:rPr>
          <w:rFonts w:ascii="Arial" w:cs="Arial" w:eastAsia="Arial" w:hAnsi="Arial"/>
          <w:sz w:val="11"/>
          <w:szCs w:val="11"/>
          <w:i w:val="1"/>
          <w:iCs w:val="1"/>
          <w:color w:val="282A32"/>
        </w:rPr>
        <w:t>(in millions)</w:t>
      </w:r>
      <w:r>
        <w:rPr>
          <w:sz w:val="20"/>
          <w:szCs w:val="20"/>
          <w:color w:val="auto"/>
        </w:rPr>
        <w:tab/>
      </w:r>
      <w:r>
        <w:rPr>
          <w:rFonts w:ascii="Arial" w:cs="Arial" w:eastAsia="Arial" w:hAnsi="Arial"/>
          <w:sz w:val="11"/>
          <w:szCs w:val="11"/>
          <w:color w:val="282A32"/>
        </w:rPr>
        <w:t>10% Decrease</w:t>
      </w:r>
      <w:r>
        <w:rPr>
          <w:sz w:val="20"/>
          <w:szCs w:val="20"/>
          <w:color w:val="auto"/>
        </w:rPr>
        <w:tab/>
      </w:r>
      <w:r>
        <w:rPr>
          <w:rFonts w:ascii="Arial" w:cs="Arial" w:eastAsia="Arial" w:hAnsi="Arial"/>
          <w:sz w:val="11"/>
          <w:szCs w:val="11"/>
          <w:color w:val="282A32"/>
        </w:rPr>
        <w:t>10%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27837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460"/>
          </w:cols>
          <w:pgMar w:left="220" w:top="166" w:right="219" w:bottom="1440" w:gutter="0" w:footer="0" w:header="0"/>
          <w:type w:val="continuous"/>
        </w:sectPr>
      </w:pP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820" w:type="dxa"/>
            <w:vAlign w:val="bottom"/>
          </w:tcPr>
          <w:p>
            <w:pPr>
              <w:spacing w:after="0"/>
              <w:rPr>
                <w:sz w:val="20"/>
                <w:szCs w:val="20"/>
                <w:color w:val="auto"/>
              </w:rPr>
            </w:pPr>
            <w:r>
              <w:rPr>
                <w:rFonts w:ascii="Arial" w:cs="Arial" w:eastAsia="Arial" w:hAnsi="Arial"/>
                <w:sz w:val="12"/>
                <w:szCs w:val="12"/>
                <w:color w:val="2989B9"/>
              </w:rPr>
              <w:t>Euro Notes:</w:t>
            </w:r>
          </w:p>
        </w:tc>
        <w:tc>
          <w:tcPr>
            <w:tcW w:w="4740" w:type="dxa"/>
            <w:vAlign w:val="bottom"/>
          </w:tcPr>
          <w:p>
            <w:pPr>
              <w:spacing w:after="0"/>
              <w:rPr>
                <w:sz w:val="12"/>
                <w:szCs w:val="12"/>
                <w:color w:val="auto"/>
              </w:rPr>
            </w:pPr>
          </w:p>
        </w:tc>
        <w:tc>
          <w:tcPr>
            <w:tcW w:w="3500" w:type="dxa"/>
            <w:vAlign w:val="bottom"/>
          </w:tcPr>
          <w:p>
            <w:pPr>
              <w:spacing w:after="0"/>
              <w:rPr>
                <w:sz w:val="12"/>
                <w:szCs w:val="12"/>
                <w:color w:val="auto"/>
              </w:rPr>
            </w:pP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€400.0, 1.91%</w:t>
            </w:r>
          </w:p>
        </w:tc>
        <w:tc>
          <w:tcPr>
            <w:tcW w:w="4740" w:type="dxa"/>
            <w:vAlign w:val="bottom"/>
          </w:tcPr>
          <w:p>
            <w:pPr>
              <w:ind w:left="20"/>
              <w:spacing w:after="0"/>
              <w:rPr>
                <w:sz w:val="20"/>
                <w:szCs w:val="20"/>
                <w:color w:val="auto"/>
              </w:rPr>
            </w:pPr>
            <w:r>
              <w:rPr>
                <w:rFonts w:ascii="Arial" w:cs="Arial" w:eastAsia="Arial" w:hAnsi="Arial"/>
                <w:sz w:val="12"/>
                <w:szCs w:val="12"/>
                <w:color w:val="282A32"/>
              </w:rPr>
              <w:t>Notes due September 2022</w:t>
            </w:r>
          </w:p>
        </w:tc>
        <w:tc>
          <w:tcPr>
            <w:tcW w:w="3500" w:type="dxa"/>
            <w:vAlign w:val="bottom"/>
          </w:tcPr>
          <w:p>
            <w:pPr>
              <w:jc w:val="right"/>
              <w:spacing w:after="0"/>
              <w:rPr>
                <w:sz w:val="20"/>
                <w:szCs w:val="20"/>
                <w:color w:val="auto"/>
              </w:rPr>
            </w:pPr>
            <w:r>
              <w:rPr>
                <w:rFonts w:ascii="Arial" w:cs="Arial" w:eastAsia="Arial" w:hAnsi="Arial"/>
                <w:sz w:val="12"/>
                <w:szCs w:val="12"/>
                <w:color w:val="282A32"/>
              </w:rPr>
              <w:t>$44.4</w:t>
            </w: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€350.0, 4.51%</w:t>
            </w:r>
          </w:p>
        </w:tc>
        <w:tc>
          <w:tcPr>
            <w:tcW w:w="4740" w:type="dxa"/>
            <w:vAlign w:val="bottom"/>
          </w:tcPr>
          <w:p>
            <w:pPr>
              <w:ind w:left="20"/>
              <w:spacing w:after="0"/>
              <w:rPr>
                <w:sz w:val="20"/>
                <w:szCs w:val="20"/>
                <w:color w:val="auto"/>
              </w:rPr>
            </w:pPr>
            <w:r>
              <w:rPr>
                <w:rFonts w:ascii="Arial" w:cs="Arial" w:eastAsia="Arial" w:hAnsi="Arial"/>
                <w:sz w:val="12"/>
                <w:szCs w:val="12"/>
                <w:color w:val="282A32"/>
              </w:rPr>
              <w:t>Notes due June 2018</w:t>
            </w:r>
          </w:p>
        </w:tc>
        <w:tc>
          <w:tcPr>
            <w:tcW w:w="3500" w:type="dxa"/>
            <w:vAlign w:val="bottom"/>
          </w:tcPr>
          <w:p>
            <w:pPr>
              <w:jc w:val="right"/>
              <w:spacing w:after="0"/>
              <w:rPr>
                <w:sz w:val="20"/>
                <w:szCs w:val="20"/>
                <w:color w:val="auto"/>
              </w:rPr>
            </w:pPr>
            <w:r>
              <w:rPr>
                <w:rFonts w:ascii="Arial" w:cs="Arial" w:eastAsia="Arial" w:hAnsi="Arial"/>
                <w:sz w:val="12"/>
                <w:szCs w:val="12"/>
                <w:color w:val="282A32"/>
              </w:rPr>
              <w:t>41.5</w:t>
            </w:r>
          </w:p>
        </w:tc>
      </w:tr>
      <w:tr>
        <w:trPr>
          <w:trHeight w:val="207"/>
        </w:trPr>
        <w:tc>
          <w:tcPr>
            <w:tcW w:w="5560" w:type="dxa"/>
            <w:vAlign w:val="bottom"/>
            <w:gridSpan w:val="2"/>
          </w:tcPr>
          <w:p>
            <w:pPr>
              <w:spacing w:after="0"/>
              <w:rPr>
                <w:sz w:val="20"/>
                <w:szCs w:val="20"/>
                <w:color w:val="auto"/>
              </w:rPr>
            </w:pPr>
            <w:r>
              <w:rPr>
                <w:rFonts w:ascii="Arial" w:cs="Arial" w:eastAsia="Arial" w:hAnsi="Arial"/>
                <w:sz w:val="12"/>
                <w:szCs w:val="12"/>
                <w:color w:val="2989B9"/>
              </w:rPr>
              <w:t>Forward contracts:</w:t>
            </w:r>
          </w:p>
        </w:tc>
        <w:tc>
          <w:tcPr>
            <w:tcW w:w="3500" w:type="dxa"/>
            <w:vAlign w:val="bottom"/>
          </w:tcPr>
          <w:p>
            <w:pPr>
              <w:spacing w:after="0"/>
              <w:rPr>
                <w:sz w:val="17"/>
                <w:szCs w:val="17"/>
                <w:color w:val="auto"/>
              </w:rPr>
            </w:pPr>
          </w:p>
        </w:tc>
      </w:tr>
      <w:tr>
        <w:trPr>
          <w:trHeight w:val="207"/>
        </w:trPr>
        <w:tc>
          <w:tcPr>
            <w:tcW w:w="820" w:type="dxa"/>
            <w:vAlign w:val="bottom"/>
          </w:tcPr>
          <w:p>
            <w:pPr>
              <w:spacing w:after="0"/>
              <w:rPr>
                <w:sz w:val="20"/>
                <w:szCs w:val="20"/>
                <w:color w:val="auto"/>
              </w:rPr>
            </w:pPr>
            <w:r>
              <w:rPr>
                <w:rFonts w:ascii="Arial" w:cs="Arial" w:eastAsia="Arial" w:hAnsi="Arial"/>
                <w:sz w:val="12"/>
                <w:szCs w:val="12"/>
                <w:color w:val="282A32"/>
              </w:rPr>
              <w:t>£11.1 to $16.8</w:t>
            </w:r>
          </w:p>
        </w:tc>
        <w:tc>
          <w:tcPr>
            <w:tcW w:w="4740" w:type="dxa"/>
            <w:vAlign w:val="bottom"/>
          </w:tcPr>
          <w:p>
            <w:pPr>
              <w:spacing w:after="0"/>
              <w:rPr>
                <w:sz w:val="17"/>
                <w:szCs w:val="17"/>
                <w:color w:val="auto"/>
              </w:rPr>
            </w:pPr>
          </w:p>
        </w:tc>
        <w:tc>
          <w:tcPr>
            <w:tcW w:w="3500" w:type="dxa"/>
            <w:vAlign w:val="bottom"/>
          </w:tcPr>
          <w:p>
            <w:pPr>
              <w:jc w:val="right"/>
              <w:spacing w:after="0"/>
              <w:rPr>
                <w:sz w:val="20"/>
                <w:szCs w:val="20"/>
                <w:color w:val="auto"/>
              </w:rPr>
            </w:pPr>
            <w:r>
              <w:rPr>
                <w:rFonts w:ascii="Arial" w:cs="Arial" w:eastAsia="Arial" w:hAnsi="Arial"/>
                <w:sz w:val="12"/>
                <w:szCs w:val="12"/>
                <w:color w:val="282A32"/>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837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450" w:hanging="1450"/>
        <w:spacing w:after="0"/>
        <w:tabs>
          <w:tab w:leader="none" w:pos="1450" w:val="left"/>
        </w:tabs>
        <w:numPr>
          <w:ilvl w:val="0"/>
          <w:numId w:val="52"/>
        </w:numPr>
        <w:rPr>
          <w:rFonts w:ascii="Arial" w:cs="Arial" w:eastAsia="Arial" w:hAnsi="Arial"/>
          <w:sz w:val="17"/>
          <w:szCs w:val="17"/>
          <w:color w:val="282A32"/>
          <w:vertAlign w:val="superscript"/>
        </w:rPr>
      </w:pPr>
      <w:r>
        <w:rPr>
          <w:rFonts w:ascii="Arial" w:cs="Arial" w:eastAsia="Arial" w:hAnsi="Arial"/>
          <w:sz w:val="12"/>
          <w:szCs w:val="12"/>
          <w:color w:val="282A32"/>
        </w:rPr>
        <w:t xml:space="preserve">($44.4)  </w:t>
      </w:r>
      <w:r>
        <w:rPr>
          <w:rFonts w:ascii="Arial" w:cs="Arial" w:eastAsia="Arial" w:hAnsi="Arial"/>
          <w:sz w:val="16"/>
          <w:szCs w:val="16"/>
          <w:color w:val="282A32"/>
          <w:vertAlign w:val="superscript"/>
        </w:rPr>
        <w:t>(1)</w:t>
      </w:r>
    </w:p>
    <w:p>
      <w:pPr>
        <w:ind w:left="10"/>
        <w:spacing w:after="0"/>
        <w:tabs>
          <w:tab w:leader="none" w:pos="1490" w:val="left"/>
          <w:tab w:leader="none" w:pos="1910" w:val="left"/>
        </w:tabs>
        <w:rPr>
          <w:sz w:val="20"/>
          <w:szCs w:val="20"/>
          <w:color w:val="auto"/>
        </w:rPr>
      </w:pPr>
      <w:r>
        <w:rPr>
          <w:rFonts w:ascii="Arial" w:cs="Arial" w:eastAsia="Arial" w:hAnsi="Arial"/>
          <w:sz w:val="7"/>
          <w:szCs w:val="7"/>
          <w:color w:val="282A32"/>
        </w:rPr>
        <w:t>(1)</w:t>
      </w:r>
      <w:r>
        <w:rPr>
          <w:sz w:val="20"/>
          <w:szCs w:val="20"/>
          <w:color w:val="auto"/>
        </w:rPr>
        <w:tab/>
      </w:r>
      <w:r>
        <w:rPr>
          <w:rFonts w:ascii="Arial" w:cs="Arial" w:eastAsia="Arial" w:hAnsi="Arial"/>
          <w:sz w:val="18"/>
          <w:szCs w:val="18"/>
          <w:color w:val="282A32"/>
          <w:vertAlign w:val="subscript"/>
        </w:rPr>
        <w:t>(41.5)</w:t>
      </w:r>
      <w:r>
        <w:rPr>
          <w:sz w:val="20"/>
          <w:szCs w:val="20"/>
          <w:color w:val="auto"/>
        </w:rPr>
        <w:tab/>
      </w:r>
      <w:r>
        <w:rPr>
          <w:rFonts w:ascii="Arial" w:cs="Arial" w:eastAsia="Arial" w:hAnsi="Arial"/>
          <w:sz w:val="8"/>
          <w:szCs w:val="8"/>
          <w:color w:val="282A32"/>
        </w:rPr>
        <w:t>(1)</w:t>
      </w:r>
    </w:p>
    <w:p>
      <w:pPr>
        <w:spacing w:after="0" w:line="266" w:lineRule="exact"/>
        <w:rPr>
          <w:sz w:val="20"/>
          <w:szCs w:val="20"/>
          <w:color w:val="auto"/>
        </w:rPr>
      </w:pPr>
    </w:p>
    <w:p>
      <w:pPr>
        <w:ind w:left="1590"/>
        <w:spacing w:after="0"/>
        <w:rPr>
          <w:sz w:val="20"/>
          <w:szCs w:val="20"/>
          <w:color w:val="auto"/>
        </w:rPr>
      </w:pPr>
      <w:r>
        <w:rPr>
          <w:rFonts w:ascii="Arial" w:cs="Arial" w:eastAsia="Arial" w:hAnsi="Arial"/>
          <w:sz w:val="12"/>
          <w:szCs w:val="12"/>
          <w:color w:val="282A32"/>
        </w:rPr>
        <w:t>(1.6)</w:t>
      </w:r>
    </w:p>
    <w:p>
      <w:pPr>
        <w:spacing w:after="0" w:line="154" w:lineRule="exact"/>
        <w:rPr>
          <w:sz w:val="20"/>
          <w:szCs w:val="20"/>
          <w:color w:val="auto"/>
        </w:rPr>
      </w:pPr>
    </w:p>
    <w:p>
      <w:pPr>
        <w:sectPr>
          <w:pgSz w:w="11900" w:h="16838" w:orient="portrait"/>
          <w:cols w:equalWidth="0" w:num="2">
            <w:col w:w="9080" w:space="130"/>
            <w:col w:w="2250"/>
          </w:cols>
          <w:pgMar w:left="220" w:top="166" w:right="219" w:bottom="1440" w:gutter="0" w:footer="0" w:header="0"/>
          <w:type w:val="continuous"/>
        </w:sectPr>
      </w:pPr>
    </w:p>
    <w:p>
      <w:pPr>
        <w:spacing w:after="0"/>
        <w:rPr>
          <w:sz w:val="20"/>
          <w:szCs w:val="20"/>
          <w:color w:val="auto"/>
        </w:rPr>
      </w:pPr>
      <w:r>
        <w:rPr>
          <w:rFonts w:ascii="Arial" w:cs="Arial" w:eastAsia="Arial" w:hAnsi="Arial"/>
          <w:sz w:val="11"/>
          <w:szCs w:val="11"/>
          <w:color w:val="282A32"/>
        </w:rPr>
        <w:t>(1) This (increase)/decrease in fair value is not recorded in the Consolidated Financial Statements; however, disclosure of the fair value is included in Note 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41</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2"/>
          <w:szCs w:val="12"/>
          <w:b w:val="1"/>
          <w:bCs w:val="1"/>
          <w:color w:val="2989B9"/>
        </w:rPr>
        <w:t>Impact of Economic Conditions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2989B9"/>
        </w:rPr>
        <w:t>Legal Regulations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The workforce solutions and services industry is closely regulated in all of the major markets in which we operate except the United States and Canada. Many countries and territories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workforce solutions and services firms, including us.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As noted above, our results in France are affected by complementary health insurance costs, CICE, and changes in social charges and our results in Italy are affected by subsidies. In addition, our businesses in Germany and the United States are potentially impacted by the following regulatory requirements related to employment.</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In Germany, the Confederation of German Trade Unions (representing eight German trade unions and over six million people) and the Employer’s Association of the Temporary Staffing Industry (representing two major temporary worker employers’ associations) entered into a Collective Labor Agreement (“CLA”), which was implemented in three phases between 2014 and 2016. The first phases of the CLA required higher wages to temporary employees and higher cost for vacation, sick pay, and temporary staff time accounts. The last phase went into effect in June 2016 with a 2.3% to 3.6% wage increase. Starting in 2017, there is a new CLA that requires three additional wage increases through 2019, with wage increases of 2.5% to 4.8% in 2017, and requires that the wage differences between the East and West be eliminated by 2021. There is also a mandate effective in 2018 of equal pay for our associates after nine months on assignment. These changes generally have an unfavorable impact on our gross profit margin in Germany, as we pass on many of these additional costs to the client without a mark-up, however there has not been a significant impact on our consolidated or Northern Europe financial results.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The employer mandate provisions of the United States healthcare legislation, Patient Protection and Affordable Care Act ("PPACA") took effect in 2015 having a significant financial impact on us and our clients with United States-based employees. This legislation has increased the employment costs of our permanent employees and our associates. We pass on to our clients the expected cost increase related to our associates; however, there is still uncertainty around the actual cost of PPACA, which will vary based on associate usage, and so we may not recover all of the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10520" w:val="left"/>
        </w:tabs>
        <w:rPr>
          <w:sz w:val="20"/>
          <w:szCs w:val="20"/>
          <w:color w:val="auto"/>
        </w:rPr>
      </w:pPr>
      <w:r>
        <w:rPr>
          <w:rFonts w:ascii="Arial" w:cs="Arial" w:eastAsia="Arial" w:hAnsi="Arial"/>
          <w:sz w:val="10"/>
          <w:szCs w:val="10"/>
          <w:color w:val="auto"/>
        </w:rPr>
        <w:t>Management's Discussion &amp; Analysis</w:t>
      </w:r>
      <w:r>
        <w:rPr>
          <w:sz w:val="20"/>
          <w:szCs w:val="20"/>
          <w:color w:val="auto"/>
        </w:rPr>
        <w:tab/>
      </w:r>
      <w:r>
        <w:rPr>
          <w:rFonts w:ascii="Arial" w:cs="Arial" w:eastAsia="Arial" w:hAnsi="Arial"/>
          <w:sz w:val="8"/>
          <w:szCs w:val="8"/>
          <w:b w:val="1"/>
          <w:bCs w:val="1"/>
          <w:color w:val="auto"/>
        </w:rPr>
        <w:t xml:space="preserve">42 </w:t>
      </w:r>
      <w:r>
        <w:rPr>
          <w:rFonts w:ascii="Arial" w:cs="Arial" w:eastAsia="Arial" w:hAnsi="Arial"/>
          <w:sz w:val="8"/>
          <w:szCs w:val="8"/>
          <w:color w:val="auto"/>
        </w:rPr>
        <w:t>| ManpowerGroup</w:t>
      </w:r>
    </w:p>
    <w:p>
      <w:pPr>
        <w:sectPr>
          <w:pgSz w:w="11900" w:h="16838" w:orient="portrait"/>
          <w:cols w:equalWidth="0" w:num="1">
            <w:col w:w="11460"/>
          </w:cols>
          <w:pgMar w:left="220" w:top="313" w:right="21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2989B9"/>
        </w:rPr>
        <w:t>MANAGEMENT’S DISCUSSION &amp; ANALYSIS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2989B9"/>
        </w:rPr>
        <w:t>OF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2989B9"/>
        </w:rPr>
        <w:t>Recently Issued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282A32"/>
        </w:rPr>
        <w:t>See Note 1 to the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2989B9"/>
        </w:rPr>
        <w:t>Forward-Looking Statements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Statements made in this annual report that are not statements of historical fact are forward-looking statements. All forward-looking statements involve risks and uncertainties. The information under the heading “Item 1A. Risk Factors” in our annual report on Form 10-K for the year ended December 31, 2016,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354" w:lineRule="exact"/>
        <w:rPr>
          <w:sz w:val="20"/>
          <w:szCs w:val="20"/>
          <w:color w:val="auto"/>
        </w:rPr>
      </w:pPr>
    </w:p>
    <w:p>
      <w:pPr>
        <w:ind w:left="120"/>
        <w:spacing w:after="0"/>
        <w:tabs>
          <w:tab w:leader="none" w:pos="9740" w:val="left"/>
        </w:tabs>
        <w:rPr>
          <w:sz w:val="20"/>
          <w:szCs w:val="20"/>
          <w:color w:val="auto"/>
        </w:rPr>
      </w:pPr>
      <w:r>
        <w:rPr>
          <w:rFonts w:ascii="Arial" w:cs="Arial" w:eastAsia="Arial" w:hAnsi="Arial"/>
          <w:sz w:val="10"/>
          <w:szCs w:val="10"/>
          <w:color w:val="auto"/>
        </w:rPr>
        <w:t xml:space="preserve">Annual Report 2016 | </w:t>
      </w:r>
      <w:r>
        <w:rPr>
          <w:rFonts w:ascii="Arial" w:cs="Arial" w:eastAsia="Arial" w:hAnsi="Arial"/>
          <w:sz w:val="10"/>
          <w:szCs w:val="10"/>
          <w:b w:val="1"/>
          <w:bCs w:val="1"/>
          <w:color w:val="auto"/>
        </w:rPr>
        <w:t>43</w:t>
      </w:r>
      <w:r>
        <w:rPr>
          <w:sz w:val="20"/>
          <w:szCs w:val="20"/>
          <w:color w:val="auto"/>
        </w:rPr>
        <w:tab/>
      </w:r>
      <w:r>
        <w:rPr>
          <w:rFonts w:ascii="Arial" w:cs="Arial" w:eastAsia="Arial" w:hAnsi="Arial"/>
          <w:sz w:val="8"/>
          <w:szCs w:val="8"/>
          <w:color w:val="auto"/>
        </w:rPr>
        <w:t>Management's Discussion &amp; Analysis</w:t>
      </w:r>
    </w:p>
    <w:p>
      <w:pPr>
        <w:sectPr>
          <w:pgSz w:w="11900" w:h="16838" w:orient="portrait"/>
          <w:cols w:equalWidth="0" w:num="1">
            <w:col w:w="11460"/>
          </w:cols>
          <w:pgMar w:left="220" w:top="166" w:right="219" w:bottom="1440" w:gutter="0" w:footer="0" w:header="0"/>
        </w:sectPr>
      </w:pPr>
    </w:p>
    <w:bookmarkStart w:id="68" w:name="page69"/>
    <w:bookmarkEnd w:id="68"/>
    <w:p>
      <w:pPr>
        <w:spacing w:after="0"/>
        <w:rPr>
          <w:sz w:val="20"/>
          <w:szCs w:val="20"/>
          <w:color w:val="auto"/>
        </w:rPr>
      </w:pPr>
      <w:r>
        <w:rPr>
          <w:rFonts w:ascii="Arial" w:cs="Arial" w:eastAsia="Arial" w:hAnsi="Arial"/>
          <w:sz w:val="12"/>
          <w:szCs w:val="12"/>
          <w:color w:val="2989B9"/>
        </w:rPr>
        <w:t>MANAGEMENT REPORT ON INTERNAL CONTROL OVER FINANCIAL REPORTING</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 xml:space="preserve">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w:t>
      </w:r>
      <w:r>
        <w:rPr>
          <w:rFonts w:ascii="Arial" w:cs="Arial" w:eastAsia="Arial" w:hAnsi="Arial"/>
          <w:sz w:val="12"/>
          <w:szCs w:val="12"/>
          <w:i w:val="1"/>
          <w:iCs w:val="1"/>
          <w:color w:val="282A32"/>
        </w:rPr>
        <w:t>Internal Control — Integrated Framework (2013)</w:t>
      </w:r>
      <w:r>
        <w:rPr>
          <w:rFonts w:ascii="Arial" w:cs="Arial" w:eastAsia="Arial" w:hAnsi="Arial"/>
          <w:sz w:val="12"/>
          <w:szCs w:val="12"/>
          <w:color w:val="282A32"/>
        </w:rPr>
        <w:t xml:space="preserve">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2016.</w:t>
      </w:r>
    </w:p>
    <w:p>
      <w:pPr>
        <w:spacing w:after="0" w:line="133" w:lineRule="exact"/>
        <w:rPr>
          <w:sz w:val="20"/>
          <w:szCs w:val="20"/>
          <w:color w:val="auto"/>
        </w:rPr>
      </w:pPr>
    </w:p>
    <w:p>
      <w:pPr>
        <w:ind w:right="320"/>
        <w:spacing w:after="0" w:line="269" w:lineRule="auto"/>
        <w:rPr>
          <w:sz w:val="20"/>
          <w:szCs w:val="20"/>
          <w:color w:val="auto"/>
        </w:rPr>
      </w:pPr>
      <w:r>
        <w:rPr>
          <w:rFonts w:ascii="Arial" w:cs="Arial" w:eastAsia="Arial" w:hAnsi="Arial"/>
          <w:sz w:val="12"/>
          <w:szCs w:val="12"/>
          <w:color w:val="282A32"/>
        </w:rPr>
        <w:t>Deloitte &amp; Touche LLP, our independent registered public accounting firm, issued an attestation report on the effectiveness of our internal control over financial reporting as of December 31, 2016, which is included herein.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282A32"/>
        </w:rPr>
        <w:t>February 21, 2017</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44</w:t>
      </w:r>
      <w:r>
        <w:rPr>
          <w:sz w:val="20"/>
          <w:szCs w:val="20"/>
          <w:color w:val="auto"/>
        </w:rPr>
        <w:tab/>
      </w:r>
      <w:r>
        <w:rPr>
          <w:rFonts w:ascii="Arial" w:cs="Arial" w:eastAsia="Arial" w:hAnsi="Arial"/>
          <w:sz w:val="8"/>
          <w:szCs w:val="8"/>
          <w:color w:val="auto"/>
        </w:rPr>
        <w:t>Management Report on Internal Control Over Financial Reporting</w:t>
      </w:r>
    </w:p>
    <w:p>
      <w:pPr>
        <w:sectPr>
          <w:pgSz w:w="11900" w:h="16838" w:orient="portrait"/>
          <w:cols w:equalWidth="0" w:num="1">
            <w:col w:w="11460"/>
          </w:cols>
          <w:pgMar w:left="220" w:top="327" w:right="219" w:bottom="1440" w:gutter="0" w:footer="0" w:header="0"/>
        </w:sectPr>
      </w:pPr>
    </w:p>
    <w:bookmarkStart w:id="69" w:name="page70"/>
    <w:bookmarkEnd w:id="69"/>
    <w:p>
      <w:pPr>
        <w:spacing w:after="0"/>
        <w:rPr>
          <w:sz w:val="20"/>
          <w:szCs w:val="20"/>
          <w:color w:val="auto"/>
        </w:rPr>
      </w:pPr>
      <w:r>
        <w:rPr>
          <w:rFonts w:ascii="Arial" w:cs="Arial" w:eastAsia="Arial" w:hAnsi="Arial"/>
          <w:sz w:val="12"/>
          <w:szCs w:val="12"/>
          <w:color w:val="2989B9"/>
        </w:rPr>
        <w:t>REPORT OF INDEPENDENT REGISTERED PUBLIC ACCOUNTING FIRM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989B9"/>
        </w:rPr>
        <w:t>TO THE BOARD OF DIRECTORS AND SHAREHOLDERS OF MANPOWERGROUP INC.</w:t>
      </w: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have audited the accompanying consolidated balance sheets of ManpowerGroup Inc. and subsidiaries (the “Company”) as of December 31, 2016 and 2015, and the related consolidated statements of operations, comprehensive income, shareholders’ equity, and cash flows for each of the three years in the period ended December 31, 2016. These financial statements are the responsibility of the Company’s management. Our responsibility is to express an opinion on the consolidated financial statements based on our audits.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In our opinion, such consolidated financial statements present fairly, in all material respects, the financial position of ManpowerGroup Inc.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 xml:space="preserve">We have also audited, in accordance with the standards of the Public Company Accounting Oversight Board (United States), the Company’s internal control over financial reporting as of December 31, 2016, based on criteria established in </w:t>
      </w:r>
      <w:r>
        <w:rPr>
          <w:rFonts w:ascii="Arial" w:cs="Arial" w:eastAsia="Arial" w:hAnsi="Arial"/>
          <w:sz w:val="12"/>
          <w:szCs w:val="12"/>
          <w:i w:val="1"/>
          <w:iCs w:val="1"/>
          <w:color w:val="282A32"/>
        </w:rPr>
        <w:t>Internal Control — Integrated Framework (2013)</w:t>
      </w:r>
      <w:r>
        <w:rPr>
          <w:rFonts w:ascii="Arial" w:cs="Arial" w:eastAsia="Arial" w:hAnsi="Arial"/>
          <w:sz w:val="12"/>
          <w:szCs w:val="12"/>
          <w:color w:val="282A32"/>
        </w:rPr>
        <w:t xml:space="preserve"> issued by the Committee of Sponsoring Organizations of the Treadway Commission and our report dated February 21, 2017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1583055" cy="262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305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282A32"/>
        </w:rPr>
        <w:t>Milwaukee, Wisconsin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82A32"/>
        </w:rPr>
        <w:t>February 21, 2017</w:t>
      </w: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Report of Independent Registered Public Accounting Firm</w:t>
      </w:r>
      <w:r>
        <w:rPr>
          <w:sz w:val="20"/>
          <w:szCs w:val="20"/>
          <w:color w:val="auto"/>
        </w:rPr>
        <w:tab/>
      </w:r>
      <w:r>
        <w:rPr>
          <w:rFonts w:ascii="Arial" w:cs="Arial" w:eastAsia="Arial" w:hAnsi="Arial"/>
          <w:sz w:val="8"/>
          <w:szCs w:val="8"/>
          <w:b w:val="1"/>
          <w:bCs w:val="1"/>
          <w:color w:val="auto"/>
        </w:rPr>
        <w:t xml:space="preserve">45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70" w:name="page71"/>
    <w:bookmarkEnd w:id="70"/>
    <w:p>
      <w:pPr>
        <w:spacing w:after="0"/>
        <w:rPr>
          <w:sz w:val="20"/>
          <w:szCs w:val="20"/>
          <w:color w:val="auto"/>
        </w:rPr>
      </w:pPr>
      <w:r>
        <w:rPr>
          <w:rFonts w:ascii="Arial" w:cs="Arial" w:eastAsia="Arial" w:hAnsi="Arial"/>
          <w:sz w:val="12"/>
          <w:szCs w:val="12"/>
          <w:color w:val="2989B9"/>
        </w:rPr>
        <w:t>REPORT OF INDEPENDENT REGISTERED PUBLIC ACCOUNTING FIRM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989B9"/>
        </w:rPr>
        <w:t>TO THE BOARD OF DIRECTORS AND SHAREHOLDERS OF MANPOWERGROUP INC.</w:t>
      </w:r>
    </w:p>
    <w:p>
      <w:pPr>
        <w:spacing w:after="0" w:line="285" w:lineRule="exact"/>
        <w:rPr>
          <w:sz w:val="20"/>
          <w:szCs w:val="20"/>
          <w:color w:val="auto"/>
        </w:rPr>
      </w:pPr>
    </w:p>
    <w:p>
      <w:pPr>
        <w:ind w:right="220"/>
        <w:spacing w:after="0" w:line="264" w:lineRule="auto"/>
        <w:rPr>
          <w:sz w:val="20"/>
          <w:szCs w:val="20"/>
          <w:color w:val="auto"/>
        </w:rPr>
      </w:pPr>
      <w:r>
        <w:rPr>
          <w:rFonts w:ascii="Arial" w:cs="Arial" w:eastAsia="Arial" w:hAnsi="Arial"/>
          <w:sz w:val="12"/>
          <w:szCs w:val="12"/>
          <w:color w:val="282A32"/>
        </w:rPr>
        <w:t xml:space="preserve">We have audited the internal control over financial reporting of ManpowerGroup Inc. and subsidiaries (the "Company") as of December 31, 2016, based on criteria established in </w:t>
      </w:r>
      <w:r>
        <w:rPr>
          <w:rFonts w:ascii="Arial" w:cs="Arial" w:eastAsia="Arial" w:hAnsi="Arial"/>
          <w:sz w:val="12"/>
          <w:szCs w:val="12"/>
          <w:i w:val="1"/>
          <w:iCs w:val="1"/>
          <w:color w:val="282A32"/>
        </w:rPr>
        <w:t>Internal Control - Integrated</w:t>
      </w:r>
      <w:r>
        <w:rPr>
          <w:rFonts w:ascii="Arial" w:cs="Arial" w:eastAsia="Arial" w:hAnsi="Arial"/>
          <w:sz w:val="12"/>
          <w:szCs w:val="12"/>
          <w:color w:val="282A32"/>
        </w:rPr>
        <w:t xml:space="preserve"> </w:t>
      </w:r>
      <w:r>
        <w:rPr>
          <w:rFonts w:ascii="Arial" w:cs="Arial" w:eastAsia="Arial" w:hAnsi="Arial"/>
          <w:sz w:val="12"/>
          <w:szCs w:val="12"/>
          <w:i w:val="1"/>
          <w:iCs w:val="1"/>
          <w:color w:val="282A32"/>
        </w:rPr>
        <w:t xml:space="preserve">Framework (2013) </w:t>
      </w:r>
      <w:r>
        <w:rPr>
          <w:rFonts w:ascii="Arial" w:cs="Arial" w:eastAsia="Arial" w:hAnsi="Arial"/>
          <w:sz w:val="12"/>
          <w:szCs w:val="12"/>
          <w:color w:val="282A32"/>
        </w:rPr>
        <w:t>issued by the Committee of Sponsoring Organizations of the Treadway Commission. The Company's management is responsible for maintaining effective internal control over financial</w:t>
      </w:r>
      <w:r>
        <w:rPr>
          <w:rFonts w:ascii="Arial" w:cs="Arial" w:eastAsia="Arial" w:hAnsi="Arial"/>
          <w:sz w:val="12"/>
          <w:szCs w:val="12"/>
          <w:i w:val="1"/>
          <w:iCs w:val="1"/>
          <w:color w:val="282A32"/>
        </w:rPr>
        <w:t xml:space="preserve"> </w:t>
      </w:r>
      <w:r>
        <w:rPr>
          <w:rFonts w:ascii="Arial" w:cs="Arial" w:eastAsia="Arial" w:hAnsi="Arial"/>
          <w:sz w:val="12"/>
          <w:szCs w:val="12"/>
          <w:color w:val="282A32"/>
        </w:rPr>
        <w:t>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50"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282A32"/>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2"/>
          <w:szCs w:val="12"/>
          <w:color w:val="282A32"/>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282A32"/>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40"/>
        <w:spacing w:after="0" w:line="290" w:lineRule="auto"/>
        <w:rPr>
          <w:sz w:val="20"/>
          <w:szCs w:val="20"/>
          <w:color w:val="auto"/>
        </w:rPr>
      </w:pPr>
      <w:r>
        <w:rPr>
          <w:rFonts w:ascii="Arial" w:cs="Arial" w:eastAsia="Arial" w:hAnsi="Arial"/>
          <w:sz w:val="12"/>
          <w:szCs w:val="12"/>
          <w:color w:val="282A32"/>
        </w:rPr>
        <w:t xml:space="preserve">In our opinion, the Company maintained, in all material respects, effective internal control over financial reporting as of December 31, 2016, based on the criteria established in </w:t>
      </w:r>
      <w:r>
        <w:rPr>
          <w:rFonts w:ascii="Arial" w:cs="Arial" w:eastAsia="Arial" w:hAnsi="Arial"/>
          <w:sz w:val="12"/>
          <w:szCs w:val="12"/>
          <w:i w:val="1"/>
          <w:iCs w:val="1"/>
          <w:color w:val="282A32"/>
        </w:rPr>
        <w:t>Internal Control — Integrated</w:t>
      </w:r>
      <w:r>
        <w:rPr>
          <w:rFonts w:ascii="Arial" w:cs="Arial" w:eastAsia="Arial" w:hAnsi="Arial"/>
          <w:sz w:val="12"/>
          <w:szCs w:val="12"/>
          <w:color w:val="282A32"/>
        </w:rPr>
        <w:t xml:space="preserve"> </w:t>
      </w:r>
      <w:r>
        <w:rPr>
          <w:rFonts w:ascii="Arial" w:cs="Arial" w:eastAsia="Arial" w:hAnsi="Arial"/>
          <w:sz w:val="12"/>
          <w:szCs w:val="12"/>
          <w:i w:val="1"/>
          <w:iCs w:val="1"/>
          <w:color w:val="282A32"/>
        </w:rPr>
        <w:t xml:space="preserve">Framework (2013) </w:t>
      </w:r>
      <w:r>
        <w:rPr>
          <w:rFonts w:ascii="Arial" w:cs="Arial" w:eastAsia="Arial" w:hAnsi="Arial"/>
          <w:sz w:val="12"/>
          <w:szCs w:val="12"/>
          <w:color w:val="282A32"/>
        </w:rPr>
        <w:t>issued by the Committee of Sponsoring Organizations of the Treadway Commission.</w:t>
      </w:r>
    </w:p>
    <w:p>
      <w:pPr>
        <w:spacing w:after="0" w:line="134" w:lineRule="exact"/>
        <w:rPr>
          <w:sz w:val="20"/>
          <w:szCs w:val="20"/>
          <w:color w:val="auto"/>
        </w:rPr>
      </w:pPr>
    </w:p>
    <w:p>
      <w:pPr>
        <w:ind w:right="160"/>
        <w:spacing w:after="0" w:line="269" w:lineRule="auto"/>
        <w:rPr>
          <w:sz w:val="20"/>
          <w:szCs w:val="20"/>
          <w:color w:val="auto"/>
        </w:rPr>
      </w:pPr>
      <w:r>
        <w:rPr>
          <w:rFonts w:ascii="Arial" w:cs="Arial" w:eastAsia="Arial" w:hAnsi="Arial"/>
          <w:sz w:val="12"/>
          <w:szCs w:val="12"/>
          <w:color w:val="282A32"/>
        </w:rPr>
        <w:t>We have also audited, in accordance with the standards of the Public Company Accounting Oversight Board (United States), the consolidated financial statements as of and for the year ended December 31, 2016 of the Company and our report dated February 21, 2017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1583055" cy="262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8305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282A32"/>
        </w:rPr>
        <w:t>Milwaukee, Wisconsin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82A32"/>
        </w:rPr>
        <w:t>February 21, 2017</w:t>
      </w:r>
    </w:p>
    <w:p>
      <w:pPr>
        <w:spacing w:after="0" w:line="370"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46</w:t>
      </w:r>
      <w:r>
        <w:rPr>
          <w:sz w:val="20"/>
          <w:szCs w:val="20"/>
          <w:color w:val="auto"/>
        </w:rPr>
        <w:tab/>
      </w:r>
      <w:r>
        <w:rPr>
          <w:rFonts w:ascii="Arial" w:cs="Arial" w:eastAsia="Arial" w:hAnsi="Arial"/>
          <w:sz w:val="8"/>
          <w:szCs w:val="8"/>
          <w:color w:val="auto"/>
        </w:rPr>
        <w:t>Report of Independent Registered Public Accounting Firm</w:t>
      </w:r>
    </w:p>
    <w:p>
      <w:pPr>
        <w:sectPr>
          <w:pgSz w:w="11900" w:h="16838" w:orient="portrait"/>
          <w:cols w:equalWidth="0" w:num="1">
            <w:col w:w="11460"/>
          </w:cols>
          <w:pgMar w:left="220" w:top="327" w:right="21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2989B9"/>
        </w:rPr>
        <w:t>CONSOLIDATED STATEMENTS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4A89BE"/>
        </w:rPr>
        <w:t>in millions, except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Year Ended December 31</w:t>
            </w:r>
          </w:p>
        </w:tc>
        <w:tc>
          <w:tcPr>
            <w:tcW w:w="100" w:type="dxa"/>
            <w:vAlign w:val="bottom"/>
            <w:tcBorders>
              <w:bottom w:val="single" w:sz="8" w:color="auto"/>
            </w:tcBorders>
            <w:shd w:val="clear" w:color="auto" w:fill="E1F4FD"/>
          </w:tcPr>
          <w:p>
            <w:pPr>
              <w:spacing w:after="0"/>
              <w:rPr>
                <w:sz w:val="13"/>
                <w:szCs w:val="13"/>
                <w:color w:val="auto"/>
              </w:rPr>
            </w:pP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82A32"/>
              </w:rPr>
              <w:t>2015</w:t>
            </w:r>
          </w:p>
        </w:tc>
        <w:tc>
          <w:tcPr>
            <w:tcW w:w="6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282A32"/>
              </w:rPr>
              <w:t>2014</w:t>
            </w:r>
          </w:p>
        </w:tc>
        <w:tc>
          <w:tcPr>
            <w:tcW w:w="0" w:type="dxa"/>
            <w:vAlign w:val="bottom"/>
          </w:tcPr>
          <w:p>
            <w:pPr>
              <w:spacing w:after="0"/>
              <w:rPr>
                <w:sz w:val="1"/>
                <w:szCs w:val="1"/>
                <w:color w:val="auto"/>
              </w:rPr>
            </w:pPr>
          </w:p>
        </w:tc>
      </w:tr>
      <w:tr>
        <w:trPr>
          <w:trHeight w:val="166"/>
        </w:trPr>
        <w:tc>
          <w:tcPr>
            <w:tcW w:w="6320" w:type="dxa"/>
            <w:vAlign w:val="bottom"/>
          </w:tcPr>
          <w:p>
            <w:pPr>
              <w:ind w:left="20"/>
              <w:spacing w:after="0"/>
              <w:rPr>
                <w:sz w:val="20"/>
                <w:szCs w:val="20"/>
                <w:color w:val="auto"/>
              </w:rPr>
            </w:pPr>
            <w:r>
              <w:rPr>
                <w:rFonts w:ascii="Arial" w:cs="Arial" w:eastAsia="Arial" w:hAnsi="Arial"/>
                <w:sz w:val="12"/>
                <w:szCs w:val="12"/>
                <w:color w:val="282A32"/>
              </w:rPr>
              <w:t>Revenues from services</w:t>
            </w:r>
          </w:p>
        </w:tc>
        <w:tc>
          <w:tcPr>
            <w:tcW w:w="100" w:type="dxa"/>
            <w:vAlign w:val="bottom"/>
            <w:shd w:val="clear" w:color="auto" w:fill="E1F4FD"/>
          </w:tcPr>
          <w:p>
            <w:pPr>
              <w:jc w:val="right"/>
              <w:spacing w:after="0"/>
              <w:rPr>
                <w:sz w:val="20"/>
                <w:szCs w:val="20"/>
                <w:color w:val="auto"/>
              </w:rPr>
            </w:pPr>
            <w:r>
              <w:rPr>
                <w:rFonts w:ascii="Arial" w:cs="Arial" w:eastAsia="Arial" w:hAnsi="Arial"/>
                <w:sz w:val="12"/>
                <w:szCs w:val="12"/>
                <w:color w:val="4F8ABE"/>
                <w:w w:val="89"/>
              </w:rPr>
              <w:t>$</w:t>
            </w:r>
          </w:p>
        </w:tc>
        <w:tc>
          <w:tcPr>
            <w:tcW w:w="162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19,654.1</w:t>
            </w:r>
          </w:p>
        </w:tc>
        <w:tc>
          <w:tcPr>
            <w:tcW w:w="600" w:type="dxa"/>
            <w:vAlign w:val="bottom"/>
          </w:tcPr>
          <w:p>
            <w:pPr>
              <w:jc w:val="right"/>
              <w:ind w:right="458"/>
              <w:spacing w:after="0"/>
              <w:rPr>
                <w:sz w:val="20"/>
                <w:szCs w:val="20"/>
                <w:color w:val="auto"/>
              </w:rPr>
            </w:pPr>
            <w:r>
              <w:rPr>
                <w:rFonts w:ascii="Arial" w:cs="Arial" w:eastAsia="Arial" w:hAnsi="Arial"/>
                <w:sz w:val="12"/>
                <w:szCs w:val="12"/>
                <w:color w:val="282A32"/>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282A32"/>
              </w:rPr>
              <w:t>19,329.9</w:t>
            </w:r>
          </w:p>
        </w:tc>
        <w:tc>
          <w:tcPr>
            <w:tcW w:w="660" w:type="dxa"/>
            <w:vAlign w:val="bottom"/>
          </w:tcPr>
          <w:p>
            <w:pPr>
              <w:jc w:val="right"/>
              <w:ind w:right="458"/>
              <w:spacing w:after="0"/>
              <w:rPr>
                <w:sz w:val="20"/>
                <w:szCs w:val="20"/>
                <w:color w:val="auto"/>
              </w:rPr>
            </w:pPr>
            <w:r>
              <w:rPr>
                <w:rFonts w:ascii="Arial" w:cs="Arial" w:eastAsia="Arial" w:hAnsi="Arial"/>
                <w:sz w:val="12"/>
                <w:szCs w:val="12"/>
                <w:color w:val="282A32"/>
              </w:rPr>
              <w:t>$</w:t>
            </w:r>
          </w:p>
        </w:tc>
        <w:tc>
          <w:tcPr>
            <w:tcW w:w="1100" w:type="dxa"/>
            <w:vAlign w:val="bottom"/>
          </w:tcPr>
          <w:p>
            <w:pPr>
              <w:jc w:val="right"/>
              <w:ind w:right="38"/>
              <w:spacing w:after="0"/>
              <w:rPr>
                <w:sz w:val="20"/>
                <w:szCs w:val="20"/>
                <w:color w:val="auto"/>
              </w:rPr>
            </w:pPr>
            <w:r>
              <w:rPr>
                <w:rFonts w:ascii="Arial" w:cs="Arial" w:eastAsia="Arial" w:hAnsi="Arial"/>
                <w:sz w:val="12"/>
                <w:szCs w:val="12"/>
                <w:color w:val="282A32"/>
              </w:rPr>
              <w:t>20,762.8</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Cost of services</w:t>
            </w:r>
          </w:p>
        </w:tc>
        <w:tc>
          <w:tcPr>
            <w:tcW w:w="100" w:type="dxa"/>
            <w:vAlign w:val="bottom"/>
            <w:tcBorders>
              <w:bottom w:val="single" w:sz="8" w:color="auto"/>
            </w:tcBorders>
            <w:shd w:val="clear" w:color="auto" w:fill="E1F4FD"/>
          </w:tcPr>
          <w:p>
            <w:pPr>
              <w:spacing w:after="0"/>
              <w:rPr>
                <w:sz w:val="16"/>
                <w:szCs w:val="16"/>
                <w:color w:val="auto"/>
              </w:rPr>
            </w:pP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16,320.3</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16,034.1</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17,274.6</w:t>
            </w:r>
          </w:p>
        </w:tc>
        <w:tc>
          <w:tcPr>
            <w:tcW w:w="0" w:type="dxa"/>
            <w:vAlign w:val="bottom"/>
          </w:tcPr>
          <w:p>
            <w:pPr>
              <w:spacing w:after="0"/>
              <w:rPr>
                <w:sz w:val="1"/>
                <w:szCs w:val="1"/>
                <w:color w:val="auto"/>
              </w:rPr>
            </w:pPr>
          </w:p>
        </w:tc>
      </w:tr>
      <w:tr>
        <w:trPr>
          <w:trHeight w:val="169"/>
        </w:trPr>
        <w:tc>
          <w:tcPr>
            <w:tcW w:w="6320" w:type="dxa"/>
            <w:vAlign w:val="bottom"/>
          </w:tcPr>
          <w:p>
            <w:pPr>
              <w:ind w:left="240"/>
              <w:spacing w:after="0"/>
              <w:rPr>
                <w:sz w:val="20"/>
                <w:szCs w:val="20"/>
                <w:color w:val="auto"/>
              </w:rPr>
            </w:pPr>
            <w:r>
              <w:rPr>
                <w:rFonts w:ascii="Arial" w:cs="Arial" w:eastAsia="Arial" w:hAnsi="Arial"/>
                <w:sz w:val="12"/>
                <w:szCs w:val="12"/>
                <w:color w:val="282A32"/>
              </w:rPr>
              <w:t>Gross profit</w:t>
            </w:r>
          </w:p>
        </w:tc>
        <w:tc>
          <w:tcPr>
            <w:tcW w:w="100" w:type="dxa"/>
            <w:vAlign w:val="bottom"/>
            <w:shd w:val="clear" w:color="auto" w:fill="E1F4FD"/>
          </w:tcPr>
          <w:p>
            <w:pPr>
              <w:spacing w:after="0"/>
              <w:rPr>
                <w:sz w:val="14"/>
                <w:szCs w:val="14"/>
                <w:color w:val="auto"/>
              </w:rPr>
            </w:pPr>
          </w:p>
        </w:tc>
        <w:tc>
          <w:tcPr>
            <w:tcW w:w="162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3,333.8</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282A32"/>
              </w:rPr>
              <w:t>3,295.8</w:t>
            </w:r>
          </w:p>
        </w:tc>
        <w:tc>
          <w:tcPr>
            <w:tcW w:w="660" w:type="dxa"/>
            <w:vAlign w:val="bottom"/>
          </w:tcPr>
          <w:p>
            <w:pPr>
              <w:spacing w:after="0"/>
              <w:rPr>
                <w:sz w:val="14"/>
                <w:szCs w:val="14"/>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282A32"/>
              </w:rPr>
              <w:t>3,488.2</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Selling and administrative expenses</w:t>
            </w:r>
          </w:p>
        </w:tc>
        <w:tc>
          <w:tcPr>
            <w:tcW w:w="100" w:type="dxa"/>
            <w:vAlign w:val="bottom"/>
            <w:tcBorders>
              <w:bottom w:val="single" w:sz="8" w:color="auto"/>
            </w:tcBorders>
            <w:shd w:val="clear" w:color="auto" w:fill="E1F4FD"/>
          </w:tcPr>
          <w:p>
            <w:pPr>
              <w:spacing w:after="0"/>
              <w:rPr>
                <w:sz w:val="16"/>
                <w:szCs w:val="16"/>
                <w:color w:val="auto"/>
              </w:rPr>
            </w:pP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2,583.0</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2,606.9</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2,768.3</w:t>
            </w:r>
          </w:p>
        </w:tc>
        <w:tc>
          <w:tcPr>
            <w:tcW w:w="0" w:type="dxa"/>
            <w:vAlign w:val="bottom"/>
          </w:tcPr>
          <w:p>
            <w:pPr>
              <w:spacing w:after="0"/>
              <w:rPr>
                <w:sz w:val="1"/>
                <w:szCs w:val="1"/>
                <w:color w:val="auto"/>
              </w:rPr>
            </w:pPr>
          </w:p>
        </w:tc>
      </w:tr>
      <w:tr>
        <w:trPr>
          <w:trHeight w:val="169"/>
        </w:trPr>
        <w:tc>
          <w:tcPr>
            <w:tcW w:w="6320" w:type="dxa"/>
            <w:vAlign w:val="bottom"/>
          </w:tcPr>
          <w:p>
            <w:pPr>
              <w:ind w:left="240"/>
              <w:spacing w:after="0"/>
              <w:rPr>
                <w:sz w:val="20"/>
                <w:szCs w:val="20"/>
                <w:color w:val="auto"/>
              </w:rPr>
            </w:pPr>
            <w:r>
              <w:rPr>
                <w:rFonts w:ascii="Arial" w:cs="Arial" w:eastAsia="Arial" w:hAnsi="Arial"/>
                <w:sz w:val="12"/>
                <w:szCs w:val="12"/>
                <w:color w:val="282A32"/>
              </w:rPr>
              <w:t>Operating profit</w:t>
            </w:r>
          </w:p>
        </w:tc>
        <w:tc>
          <w:tcPr>
            <w:tcW w:w="100" w:type="dxa"/>
            <w:vAlign w:val="bottom"/>
            <w:shd w:val="clear" w:color="auto" w:fill="E1F4FD"/>
          </w:tcPr>
          <w:p>
            <w:pPr>
              <w:spacing w:after="0"/>
              <w:rPr>
                <w:sz w:val="14"/>
                <w:szCs w:val="14"/>
                <w:color w:val="auto"/>
              </w:rPr>
            </w:pPr>
          </w:p>
        </w:tc>
        <w:tc>
          <w:tcPr>
            <w:tcW w:w="162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750.8</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282A32"/>
              </w:rPr>
              <w:t>688.9</w:t>
            </w:r>
          </w:p>
        </w:tc>
        <w:tc>
          <w:tcPr>
            <w:tcW w:w="660" w:type="dxa"/>
            <w:vAlign w:val="bottom"/>
          </w:tcPr>
          <w:p>
            <w:pPr>
              <w:spacing w:after="0"/>
              <w:rPr>
                <w:sz w:val="14"/>
                <w:szCs w:val="14"/>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282A32"/>
              </w:rPr>
              <w:t>719.9</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Interest and other expenses</w:t>
            </w:r>
          </w:p>
        </w:tc>
        <w:tc>
          <w:tcPr>
            <w:tcW w:w="100" w:type="dxa"/>
            <w:vAlign w:val="bottom"/>
            <w:tcBorders>
              <w:bottom w:val="single" w:sz="8" w:color="auto"/>
            </w:tcBorders>
            <w:shd w:val="clear" w:color="auto" w:fill="E1F4FD"/>
          </w:tcPr>
          <w:p>
            <w:pPr>
              <w:spacing w:after="0"/>
              <w:rPr>
                <w:sz w:val="16"/>
                <w:szCs w:val="16"/>
                <w:color w:val="auto"/>
              </w:rPr>
            </w:pP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49.5</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28.2</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38.3</w:t>
            </w:r>
          </w:p>
        </w:tc>
        <w:tc>
          <w:tcPr>
            <w:tcW w:w="0" w:type="dxa"/>
            <w:vAlign w:val="bottom"/>
          </w:tcPr>
          <w:p>
            <w:pPr>
              <w:spacing w:after="0"/>
              <w:rPr>
                <w:sz w:val="1"/>
                <w:szCs w:val="1"/>
                <w:color w:val="auto"/>
              </w:rPr>
            </w:pPr>
          </w:p>
        </w:tc>
      </w:tr>
      <w:tr>
        <w:trPr>
          <w:trHeight w:val="169"/>
        </w:trPr>
        <w:tc>
          <w:tcPr>
            <w:tcW w:w="6320" w:type="dxa"/>
            <w:vAlign w:val="bottom"/>
          </w:tcPr>
          <w:p>
            <w:pPr>
              <w:ind w:left="240"/>
              <w:spacing w:after="0"/>
              <w:rPr>
                <w:sz w:val="20"/>
                <w:szCs w:val="20"/>
                <w:color w:val="auto"/>
              </w:rPr>
            </w:pPr>
            <w:r>
              <w:rPr>
                <w:rFonts w:ascii="Arial" w:cs="Arial" w:eastAsia="Arial" w:hAnsi="Arial"/>
                <w:sz w:val="12"/>
                <w:szCs w:val="12"/>
                <w:color w:val="282A32"/>
              </w:rPr>
              <w:t>Earnings before income taxes</w:t>
            </w:r>
          </w:p>
        </w:tc>
        <w:tc>
          <w:tcPr>
            <w:tcW w:w="100" w:type="dxa"/>
            <w:vAlign w:val="bottom"/>
            <w:shd w:val="clear" w:color="auto" w:fill="E1F4FD"/>
          </w:tcPr>
          <w:p>
            <w:pPr>
              <w:spacing w:after="0"/>
              <w:rPr>
                <w:sz w:val="14"/>
                <w:szCs w:val="14"/>
                <w:color w:val="auto"/>
              </w:rPr>
            </w:pPr>
          </w:p>
        </w:tc>
        <w:tc>
          <w:tcPr>
            <w:tcW w:w="162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701.3</w:t>
            </w: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282A32"/>
              </w:rPr>
              <w:t>660.7</w:t>
            </w:r>
          </w:p>
        </w:tc>
        <w:tc>
          <w:tcPr>
            <w:tcW w:w="660" w:type="dxa"/>
            <w:vAlign w:val="bottom"/>
          </w:tcPr>
          <w:p>
            <w:pPr>
              <w:spacing w:after="0"/>
              <w:rPr>
                <w:sz w:val="14"/>
                <w:szCs w:val="14"/>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282A32"/>
              </w:rPr>
              <w:t>681.6</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Provision for income taxes</w:t>
            </w:r>
          </w:p>
        </w:tc>
        <w:tc>
          <w:tcPr>
            <w:tcW w:w="100" w:type="dxa"/>
            <w:vAlign w:val="bottom"/>
            <w:tcBorders>
              <w:bottom w:val="single" w:sz="8" w:color="auto"/>
            </w:tcBorders>
            <w:shd w:val="clear" w:color="auto" w:fill="E1F4FD"/>
          </w:tcPr>
          <w:p>
            <w:pPr>
              <w:spacing w:after="0"/>
              <w:rPr>
                <w:sz w:val="16"/>
                <w:szCs w:val="16"/>
                <w:color w:val="auto"/>
              </w:rPr>
            </w:pP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257.6</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241.5</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254.0</w:t>
            </w:r>
          </w:p>
        </w:tc>
        <w:tc>
          <w:tcPr>
            <w:tcW w:w="0" w:type="dxa"/>
            <w:vAlign w:val="bottom"/>
          </w:tcPr>
          <w:p>
            <w:pPr>
              <w:spacing w:after="0"/>
              <w:rPr>
                <w:sz w:val="1"/>
                <w:szCs w:val="1"/>
                <w:color w:val="auto"/>
              </w:rPr>
            </w:pPr>
          </w:p>
        </w:tc>
      </w:tr>
      <w:tr>
        <w:trPr>
          <w:trHeight w:val="177"/>
        </w:trPr>
        <w:tc>
          <w:tcPr>
            <w:tcW w:w="6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282A32"/>
              </w:rPr>
              <w:t>Net earnings</w:t>
            </w:r>
          </w:p>
        </w:tc>
        <w:tc>
          <w:tcPr>
            <w:tcW w:w="10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w w:val="89"/>
              </w:rPr>
              <w:t>$</w:t>
            </w: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443.7</w:t>
            </w:r>
          </w:p>
        </w:tc>
        <w:tc>
          <w:tcPr>
            <w:tcW w:w="60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282A32"/>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419.2</w:t>
            </w:r>
          </w:p>
        </w:tc>
        <w:tc>
          <w:tcPr>
            <w:tcW w:w="6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282A32"/>
              </w:rPr>
              <w:t>$</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427.6</w:t>
            </w:r>
          </w:p>
        </w:tc>
        <w:tc>
          <w:tcPr>
            <w:tcW w:w="0" w:type="dxa"/>
            <w:vAlign w:val="bottom"/>
          </w:tcPr>
          <w:p>
            <w:pPr>
              <w:spacing w:after="0"/>
              <w:rPr>
                <w:sz w:val="1"/>
                <w:szCs w:val="1"/>
                <w:color w:val="auto"/>
              </w:rPr>
            </w:pPr>
          </w:p>
        </w:tc>
      </w:tr>
      <w:tr>
        <w:trPr>
          <w:trHeight w:val="17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 per share — basic</w:t>
            </w:r>
          </w:p>
        </w:tc>
        <w:tc>
          <w:tcPr>
            <w:tcW w:w="10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w w:val="89"/>
              </w:rPr>
              <w:t>$</w:t>
            </w: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6.33</w:t>
            </w:r>
          </w:p>
        </w:tc>
        <w:tc>
          <w:tcPr>
            <w:tcW w:w="60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282A32"/>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5.46</w:t>
            </w:r>
          </w:p>
        </w:tc>
        <w:tc>
          <w:tcPr>
            <w:tcW w:w="6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282A32"/>
              </w:rPr>
              <w:t>$</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5.38</w:t>
            </w:r>
          </w:p>
        </w:tc>
        <w:tc>
          <w:tcPr>
            <w:tcW w:w="0" w:type="dxa"/>
            <w:vAlign w:val="bottom"/>
          </w:tcPr>
          <w:p>
            <w:pPr>
              <w:spacing w:after="0"/>
              <w:rPr>
                <w:sz w:val="1"/>
                <w:szCs w:val="1"/>
                <w:color w:val="auto"/>
              </w:rPr>
            </w:pPr>
          </w:p>
        </w:tc>
      </w:tr>
      <w:tr>
        <w:trPr>
          <w:trHeight w:val="17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 per share — diluted</w:t>
            </w:r>
          </w:p>
        </w:tc>
        <w:tc>
          <w:tcPr>
            <w:tcW w:w="10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w w:val="89"/>
              </w:rPr>
              <w:t>$</w:t>
            </w: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6.27</w:t>
            </w:r>
          </w:p>
        </w:tc>
        <w:tc>
          <w:tcPr>
            <w:tcW w:w="60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282A32"/>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5.40</w:t>
            </w:r>
          </w:p>
        </w:tc>
        <w:tc>
          <w:tcPr>
            <w:tcW w:w="6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282A32"/>
              </w:rPr>
              <w:t>$</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5.30</w:t>
            </w:r>
          </w:p>
        </w:tc>
        <w:tc>
          <w:tcPr>
            <w:tcW w:w="0" w:type="dxa"/>
            <w:vAlign w:val="bottom"/>
          </w:tcPr>
          <w:p>
            <w:pPr>
              <w:spacing w:after="0"/>
              <w:rPr>
                <w:sz w:val="1"/>
                <w:szCs w:val="1"/>
                <w:color w:val="auto"/>
              </w:rPr>
            </w:pPr>
          </w:p>
        </w:tc>
      </w:tr>
      <w:tr>
        <w:trPr>
          <w:trHeight w:val="17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Weighted average shares — basic</w:t>
            </w:r>
          </w:p>
        </w:tc>
        <w:tc>
          <w:tcPr>
            <w:tcW w:w="100" w:type="dxa"/>
            <w:vAlign w:val="bottom"/>
            <w:tcBorders>
              <w:bottom w:val="single" w:sz="8" w:color="auto"/>
            </w:tcBorders>
            <w:shd w:val="clear" w:color="auto" w:fill="E1F4FD"/>
          </w:tcPr>
          <w:p>
            <w:pPr>
              <w:spacing w:after="0"/>
              <w:rPr>
                <w:sz w:val="15"/>
                <w:szCs w:val="15"/>
                <w:color w:val="auto"/>
              </w:rPr>
            </w:pP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70.1</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76.8</w:t>
            </w: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79.5</w:t>
            </w:r>
          </w:p>
        </w:tc>
        <w:tc>
          <w:tcPr>
            <w:tcW w:w="0" w:type="dxa"/>
            <w:vAlign w:val="bottom"/>
          </w:tcPr>
          <w:p>
            <w:pPr>
              <w:spacing w:after="0"/>
              <w:rPr>
                <w:sz w:val="1"/>
                <w:szCs w:val="1"/>
                <w:color w:val="auto"/>
              </w:rPr>
            </w:pPr>
          </w:p>
        </w:tc>
      </w:tr>
      <w:tr>
        <w:trPr>
          <w:trHeight w:val="17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Weighted average shares — diluted</w:t>
            </w:r>
          </w:p>
        </w:tc>
        <w:tc>
          <w:tcPr>
            <w:tcW w:w="100" w:type="dxa"/>
            <w:vAlign w:val="bottom"/>
            <w:tcBorders>
              <w:bottom w:val="single" w:sz="8" w:color="auto"/>
            </w:tcBorders>
            <w:shd w:val="clear" w:color="auto" w:fill="E1F4FD"/>
          </w:tcPr>
          <w:p>
            <w:pPr>
              <w:spacing w:after="0"/>
              <w:rPr>
                <w:sz w:val="15"/>
                <w:szCs w:val="15"/>
                <w:color w:val="auto"/>
              </w:rPr>
            </w:pPr>
          </w:p>
        </w:tc>
        <w:tc>
          <w:tcPr>
            <w:tcW w:w="16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70.8</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77.7</w:t>
            </w: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80.7</w:t>
            </w:r>
          </w:p>
        </w:tc>
        <w:tc>
          <w:tcPr>
            <w:tcW w:w="0" w:type="dxa"/>
            <w:vAlign w:val="bottom"/>
          </w:tcPr>
          <w:p>
            <w:pPr>
              <w:spacing w:after="0"/>
              <w:rPr>
                <w:sz w:val="1"/>
                <w:szCs w:val="1"/>
                <w:color w:val="auto"/>
              </w:rPr>
            </w:pPr>
          </w:p>
        </w:tc>
      </w:tr>
      <w:tr>
        <w:trPr>
          <w:trHeight w:val="91"/>
        </w:trPr>
        <w:tc>
          <w:tcPr>
            <w:tcW w:w="6320" w:type="dxa"/>
            <w:vAlign w:val="bottom"/>
            <w:vMerge w:val="restart"/>
          </w:tcPr>
          <w:p>
            <w:pPr>
              <w:spacing w:after="0"/>
              <w:rPr>
                <w:sz w:val="20"/>
                <w:szCs w:val="20"/>
                <w:color w:val="auto"/>
              </w:rPr>
            </w:pPr>
            <w:r>
              <w:rPr>
                <w:rFonts w:ascii="Arial" w:cs="Arial" w:eastAsia="Arial" w:hAnsi="Arial"/>
                <w:sz w:val="11"/>
                <w:szCs w:val="11"/>
                <w:color w:val="282A32"/>
              </w:rPr>
              <w:t>The accompanying Notes to Consolidated Financial Statements are an integral part of these statements.</w:t>
            </w:r>
          </w:p>
        </w:tc>
        <w:tc>
          <w:tcPr>
            <w:tcW w:w="100" w:type="dxa"/>
            <w:vAlign w:val="bottom"/>
            <w:shd w:val="clear" w:color="auto" w:fill="2989B9"/>
          </w:tcPr>
          <w:p>
            <w:pPr>
              <w:spacing w:after="0"/>
              <w:rPr>
                <w:sz w:val="7"/>
                <w:szCs w:val="7"/>
                <w:color w:val="auto"/>
              </w:rPr>
            </w:pPr>
          </w:p>
        </w:tc>
        <w:tc>
          <w:tcPr>
            <w:tcW w:w="1620" w:type="dxa"/>
            <w:vAlign w:val="bottom"/>
            <w:shd w:val="clear" w:color="auto" w:fill="2989B9"/>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6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2989B9"/>
        </w:rPr>
        <w:t>CONSOLIDATED STATEMENTS OF COMPREHENSIVE INCOME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4A89BE"/>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Year Ended December 31</w:t>
            </w:r>
          </w:p>
        </w:tc>
        <w:tc>
          <w:tcPr>
            <w:tcW w:w="120" w:type="dxa"/>
            <w:vAlign w:val="bottom"/>
            <w:tcBorders>
              <w:bottom w:val="single" w:sz="8" w:color="auto"/>
            </w:tcBorders>
            <w:shd w:val="clear" w:color="auto" w:fill="E1F4FD"/>
          </w:tcPr>
          <w:p>
            <w:pPr>
              <w:spacing w:after="0"/>
              <w:rPr>
                <w:sz w:val="13"/>
                <w:szCs w:val="13"/>
                <w:color w:val="auto"/>
              </w:rPr>
            </w:pPr>
          </w:p>
        </w:tc>
        <w:tc>
          <w:tcPr>
            <w:tcW w:w="100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1"/>
                <w:szCs w:val="11"/>
                <w:color w:val="4F8ABE"/>
              </w:rPr>
              <w:t>2016</w:t>
            </w:r>
          </w:p>
        </w:tc>
        <w:tc>
          <w:tcPr>
            <w:tcW w:w="120" w:type="dxa"/>
            <w:vAlign w:val="bottom"/>
            <w:tcBorders>
              <w:bottom w:val="single" w:sz="8" w:color="auto"/>
            </w:tcBorders>
            <w:shd w:val="clear" w:color="auto" w:fill="E1F4FD"/>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282A32"/>
              </w:rPr>
              <w:t>2015</w:t>
            </w: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282A32"/>
              </w:rPr>
              <w:t>2014</w:t>
            </w:r>
          </w:p>
        </w:tc>
        <w:tc>
          <w:tcPr>
            <w:tcW w:w="0" w:type="dxa"/>
            <w:vAlign w:val="bottom"/>
          </w:tcPr>
          <w:p>
            <w:pPr>
              <w:spacing w:after="0"/>
              <w:rPr>
                <w:sz w:val="1"/>
                <w:szCs w:val="1"/>
                <w:color w:val="auto"/>
              </w:rPr>
            </w:pPr>
          </w:p>
        </w:tc>
      </w:tr>
      <w:tr>
        <w:trPr>
          <w:trHeight w:val="166"/>
        </w:trPr>
        <w:tc>
          <w:tcPr>
            <w:tcW w:w="7400" w:type="dxa"/>
            <w:vAlign w:val="bottom"/>
          </w:tcPr>
          <w:p>
            <w:pPr>
              <w:ind w:left="20"/>
              <w:spacing w:after="0"/>
              <w:rPr>
                <w:sz w:val="20"/>
                <w:szCs w:val="20"/>
                <w:color w:val="auto"/>
              </w:rPr>
            </w:pPr>
            <w:r>
              <w:rPr>
                <w:rFonts w:ascii="Arial" w:cs="Arial" w:eastAsia="Arial" w:hAnsi="Arial"/>
                <w:sz w:val="12"/>
                <w:szCs w:val="12"/>
                <w:color w:val="282A32"/>
              </w:rPr>
              <w:t>Net earnings</w:t>
            </w:r>
          </w:p>
        </w:tc>
        <w:tc>
          <w:tcPr>
            <w:tcW w:w="120" w:type="dxa"/>
            <w:vAlign w:val="bottom"/>
            <w:shd w:val="clear" w:color="auto" w:fill="E1F4FD"/>
          </w:tcPr>
          <w:p>
            <w:pPr>
              <w:jc w:val="right"/>
              <w:spacing w:after="0"/>
              <w:rPr>
                <w:sz w:val="20"/>
                <w:szCs w:val="20"/>
                <w:color w:val="auto"/>
              </w:rPr>
            </w:pPr>
            <w:r>
              <w:rPr>
                <w:rFonts w:ascii="Arial" w:cs="Arial" w:eastAsia="Arial" w:hAnsi="Arial"/>
                <w:sz w:val="12"/>
                <w:szCs w:val="12"/>
                <w:color w:val="2989B9"/>
                <w:w w:val="89"/>
              </w:rPr>
              <w:t>$</w:t>
            </w:r>
          </w:p>
        </w:tc>
        <w:tc>
          <w:tcPr>
            <w:tcW w:w="1120" w:type="dxa"/>
            <w:vAlign w:val="bottom"/>
            <w:gridSpan w:val="2"/>
            <w:shd w:val="clear" w:color="auto" w:fill="E1F4FD"/>
          </w:tcPr>
          <w:p>
            <w:pPr>
              <w:jc w:val="right"/>
              <w:ind w:right="120"/>
              <w:spacing w:after="0"/>
              <w:rPr>
                <w:sz w:val="20"/>
                <w:szCs w:val="20"/>
                <w:color w:val="auto"/>
              </w:rPr>
            </w:pPr>
            <w:r>
              <w:rPr>
                <w:rFonts w:ascii="Arial" w:cs="Arial" w:eastAsia="Arial" w:hAnsi="Arial"/>
                <w:sz w:val="12"/>
                <w:szCs w:val="12"/>
                <w:color w:val="2989B9"/>
              </w:rPr>
              <w:t>443.7</w:t>
            </w:r>
          </w:p>
        </w:tc>
        <w:tc>
          <w:tcPr>
            <w:tcW w:w="440" w:type="dxa"/>
            <w:vAlign w:val="bottom"/>
          </w:tcPr>
          <w:p>
            <w:pPr>
              <w:jc w:val="right"/>
              <w:ind w:right="298"/>
              <w:spacing w:after="0"/>
              <w:rPr>
                <w:sz w:val="20"/>
                <w:szCs w:val="20"/>
                <w:color w:val="auto"/>
              </w:rPr>
            </w:pPr>
            <w:r>
              <w:rPr>
                <w:rFonts w:ascii="Arial" w:cs="Arial" w:eastAsia="Arial" w:hAnsi="Arial"/>
                <w:sz w:val="12"/>
                <w:szCs w:val="12"/>
                <w:color w:val="282A32"/>
                <w:w w:val="89"/>
              </w:rPr>
              <w:t>$</w:t>
            </w:r>
          </w:p>
        </w:tc>
        <w:tc>
          <w:tcPr>
            <w:tcW w:w="740" w:type="dxa"/>
            <w:vAlign w:val="bottom"/>
          </w:tcPr>
          <w:p>
            <w:pPr>
              <w:jc w:val="right"/>
              <w:ind w:right="19"/>
              <w:spacing w:after="0"/>
              <w:rPr>
                <w:sz w:val="20"/>
                <w:szCs w:val="20"/>
                <w:color w:val="auto"/>
              </w:rPr>
            </w:pPr>
            <w:r>
              <w:rPr>
                <w:rFonts w:ascii="Arial" w:cs="Arial" w:eastAsia="Arial" w:hAnsi="Arial"/>
                <w:sz w:val="12"/>
                <w:szCs w:val="12"/>
                <w:color w:val="282A32"/>
              </w:rPr>
              <w:t>419.2</w:t>
            </w:r>
          </w:p>
        </w:tc>
        <w:tc>
          <w:tcPr>
            <w:tcW w:w="440" w:type="dxa"/>
            <w:vAlign w:val="bottom"/>
          </w:tcPr>
          <w:p>
            <w:pPr>
              <w:jc w:val="right"/>
              <w:ind w:right="258"/>
              <w:spacing w:after="0"/>
              <w:rPr>
                <w:sz w:val="20"/>
                <w:szCs w:val="20"/>
                <w:color w:val="auto"/>
              </w:rPr>
            </w:pPr>
            <w:r>
              <w:rPr>
                <w:rFonts w:ascii="Arial" w:cs="Arial" w:eastAsia="Arial" w:hAnsi="Arial"/>
                <w:sz w:val="12"/>
                <w:szCs w:val="12"/>
                <w:color w:val="282A32"/>
              </w:rPr>
              <w:t>$</w:t>
            </w:r>
          </w:p>
        </w:tc>
        <w:tc>
          <w:tcPr>
            <w:tcW w:w="780" w:type="dxa"/>
            <w:vAlign w:val="bottom"/>
          </w:tcPr>
          <w:p>
            <w:pPr>
              <w:jc w:val="right"/>
              <w:ind w:right="39"/>
              <w:spacing w:after="0"/>
              <w:rPr>
                <w:sz w:val="20"/>
                <w:szCs w:val="20"/>
                <w:color w:val="auto"/>
              </w:rPr>
            </w:pPr>
            <w:r>
              <w:rPr>
                <w:rFonts w:ascii="Arial" w:cs="Arial" w:eastAsia="Arial" w:hAnsi="Arial"/>
                <w:sz w:val="12"/>
                <w:szCs w:val="12"/>
                <w:color w:val="282A32"/>
              </w:rPr>
              <w:t>427.6</w:t>
            </w:r>
          </w:p>
        </w:tc>
        <w:tc>
          <w:tcPr>
            <w:tcW w:w="0" w:type="dxa"/>
            <w:vAlign w:val="bottom"/>
          </w:tcPr>
          <w:p>
            <w:pPr>
              <w:spacing w:after="0"/>
              <w:rPr>
                <w:sz w:val="1"/>
                <w:szCs w:val="1"/>
                <w:color w:val="auto"/>
              </w:rPr>
            </w:pPr>
          </w:p>
        </w:tc>
      </w:tr>
      <w:tr>
        <w:trPr>
          <w:trHeight w:val="207"/>
        </w:trPr>
        <w:tc>
          <w:tcPr>
            <w:tcW w:w="7400" w:type="dxa"/>
            <w:vAlign w:val="bottom"/>
          </w:tcPr>
          <w:p>
            <w:pPr>
              <w:ind w:left="20"/>
              <w:spacing w:after="0"/>
              <w:rPr>
                <w:sz w:val="20"/>
                <w:szCs w:val="20"/>
                <w:color w:val="auto"/>
              </w:rPr>
            </w:pPr>
            <w:r>
              <w:rPr>
                <w:rFonts w:ascii="Arial" w:cs="Arial" w:eastAsia="Arial" w:hAnsi="Arial"/>
                <w:sz w:val="12"/>
                <w:szCs w:val="12"/>
                <w:color w:val="282A32"/>
              </w:rPr>
              <w:t>Other comprehensive loss:</w:t>
            </w:r>
          </w:p>
        </w:tc>
        <w:tc>
          <w:tcPr>
            <w:tcW w:w="120" w:type="dxa"/>
            <w:vAlign w:val="bottom"/>
            <w:shd w:val="clear" w:color="auto" w:fill="E1F4FD"/>
          </w:tcPr>
          <w:p>
            <w:pPr>
              <w:spacing w:after="0"/>
              <w:rPr>
                <w:sz w:val="17"/>
                <w:szCs w:val="17"/>
                <w:color w:val="auto"/>
              </w:rPr>
            </w:pPr>
          </w:p>
        </w:tc>
        <w:tc>
          <w:tcPr>
            <w:tcW w:w="1000" w:type="dxa"/>
            <w:vAlign w:val="bottom"/>
            <w:shd w:val="clear" w:color="auto" w:fill="E1F4FD"/>
          </w:tcPr>
          <w:p>
            <w:pPr>
              <w:spacing w:after="0"/>
              <w:rPr>
                <w:sz w:val="17"/>
                <w:szCs w:val="17"/>
                <w:color w:val="auto"/>
              </w:rPr>
            </w:pPr>
          </w:p>
        </w:tc>
        <w:tc>
          <w:tcPr>
            <w:tcW w:w="120" w:type="dxa"/>
            <w:vAlign w:val="bottom"/>
            <w:shd w:val="clear" w:color="auto" w:fill="E1F4FD"/>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280"/>
              <w:spacing w:after="0"/>
              <w:rPr>
                <w:sz w:val="20"/>
                <w:szCs w:val="20"/>
                <w:color w:val="auto"/>
              </w:rPr>
            </w:pPr>
            <w:r>
              <w:rPr>
                <w:rFonts w:ascii="Arial" w:cs="Arial" w:eastAsia="Arial" w:hAnsi="Arial"/>
                <w:sz w:val="12"/>
                <w:szCs w:val="12"/>
                <w:color w:val="282A32"/>
              </w:rPr>
              <w:t>Foreign currency translation</w:t>
            </w:r>
          </w:p>
        </w:tc>
        <w:tc>
          <w:tcPr>
            <w:tcW w:w="120" w:type="dxa"/>
            <w:vAlign w:val="bottom"/>
            <w:shd w:val="clear" w:color="auto" w:fill="E1F4FD"/>
          </w:tcPr>
          <w:p>
            <w:pPr>
              <w:spacing w:after="0"/>
              <w:rPr>
                <w:sz w:val="17"/>
                <w:szCs w:val="17"/>
                <w:color w:val="auto"/>
              </w:rPr>
            </w:pPr>
          </w:p>
        </w:tc>
        <w:tc>
          <w:tcPr>
            <w:tcW w:w="1120" w:type="dxa"/>
            <w:vAlign w:val="bottom"/>
            <w:gridSpan w:val="2"/>
            <w:shd w:val="clear" w:color="auto" w:fill="E1F4FD"/>
          </w:tcPr>
          <w:p>
            <w:pPr>
              <w:jc w:val="right"/>
              <w:ind w:right="80"/>
              <w:spacing w:after="0"/>
              <w:rPr>
                <w:sz w:val="20"/>
                <w:szCs w:val="20"/>
                <w:color w:val="auto"/>
              </w:rPr>
            </w:pPr>
            <w:r>
              <w:rPr>
                <w:rFonts w:ascii="Arial" w:cs="Arial" w:eastAsia="Arial" w:hAnsi="Arial"/>
                <w:sz w:val="12"/>
                <w:szCs w:val="12"/>
                <w:color w:val="2989B9"/>
              </w:rPr>
              <w:t>(79.9)</w:t>
            </w: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82A32"/>
              </w:rPr>
              <w:t>(182.8)</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282A32"/>
              </w:rPr>
              <w:t>(265.9)</w:t>
            </w:r>
          </w:p>
        </w:tc>
        <w:tc>
          <w:tcPr>
            <w:tcW w:w="0" w:type="dxa"/>
            <w:vAlign w:val="bottom"/>
          </w:tcPr>
          <w:p>
            <w:pPr>
              <w:spacing w:after="0"/>
              <w:rPr>
                <w:sz w:val="1"/>
                <w:szCs w:val="1"/>
                <w:color w:val="auto"/>
              </w:rPr>
            </w:pPr>
          </w:p>
        </w:tc>
      </w:tr>
      <w:tr>
        <w:trPr>
          <w:trHeight w:val="170"/>
        </w:trPr>
        <w:tc>
          <w:tcPr>
            <w:tcW w:w="7400" w:type="dxa"/>
            <w:vAlign w:val="bottom"/>
          </w:tcPr>
          <w:p>
            <w:pPr>
              <w:ind w:left="280"/>
              <w:spacing w:after="0"/>
              <w:rPr>
                <w:sz w:val="20"/>
                <w:szCs w:val="20"/>
                <w:color w:val="auto"/>
              </w:rPr>
            </w:pPr>
            <w:r>
              <w:rPr>
                <w:rFonts w:ascii="Arial" w:cs="Arial" w:eastAsia="Arial" w:hAnsi="Arial"/>
                <w:sz w:val="12"/>
                <w:szCs w:val="12"/>
                <w:color w:val="282A32"/>
              </w:rPr>
              <w:t>Translation adjustments on net investment hedge, net of income taxes of $8.4, $19.2 and $20.3, respectively</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2989B9"/>
              </w:rPr>
              <w:t>14.8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19"/>
              <w:spacing w:after="0"/>
              <w:rPr>
                <w:sz w:val="20"/>
                <w:szCs w:val="20"/>
                <w:color w:val="auto"/>
              </w:rPr>
            </w:pPr>
            <w:r>
              <w:rPr>
                <w:rFonts w:ascii="Arial" w:cs="Arial" w:eastAsia="Arial" w:hAnsi="Arial"/>
                <w:sz w:val="12"/>
                <w:szCs w:val="12"/>
                <w:color w:val="282A32"/>
              </w:rPr>
              <w:t>34.5</w:t>
            </w:r>
          </w:p>
        </w:tc>
        <w:tc>
          <w:tcPr>
            <w:tcW w:w="44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282A32"/>
              </w:rPr>
              <w:t>36.1</w:t>
            </w:r>
          </w:p>
        </w:tc>
        <w:tc>
          <w:tcPr>
            <w:tcW w:w="0" w:type="dxa"/>
            <w:vAlign w:val="bottom"/>
          </w:tcPr>
          <w:p>
            <w:pPr>
              <w:spacing w:after="0"/>
              <w:rPr>
                <w:sz w:val="1"/>
                <w:szCs w:val="1"/>
                <w:color w:val="auto"/>
              </w:rPr>
            </w:pPr>
          </w:p>
        </w:tc>
      </w:tr>
      <w:tr>
        <w:trPr>
          <w:trHeight w:val="186"/>
        </w:trPr>
        <w:tc>
          <w:tcPr>
            <w:tcW w:w="7400" w:type="dxa"/>
            <w:vAlign w:val="bottom"/>
          </w:tcPr>
          <w:p>
            <w:pPr>
              <w:ind w:left="280"/>
              <w:spacing w:after="0"/>
              <w:rPr>
                <w:sz w:val="20"/>
                <w:szCs w:val="20"/>
                <w:color w:val="auto"/>
              </w:rPr>
            </w:pPr>
            <w:r>
              <w:rPr>
                <w:rFonts w:ascii="Arial" w:cs="Arial" w:eastAsia="Arial" w:hAnsi="Arial"/>
                <w:sz w:val="12"/>
                <w:szCs w:val="12"/>
                <w:color w:val="282A32"/>
              </w:rPr>
              <w:t>Translation adjustments on long-term intercompany loans</w:t>
            </w: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2989B9"/>
              </w:rPr>
              <w:t>(58.2)</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82A32"/>
              </w:rPr>
              <w:t>(2.1)</w:t>
            </w:r>
          </w:p>
        </w:tc>
        <w:tc>
          <w:tcPr>
            <w:tcW w:w="44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282A32"/>
              </w:rPr>
              <w:t>0.2</w:t>
            </w:r>
          </w:p>
        </w:tc>
        <w:tc>
          <w:tcPr>
            <w:tcW w:w="0" w:type="dxa"/>
            <w:vAlign w:val="bottom"/>
          </w:tcPr>
          <w:p>
            <w:pPr>
              <w:spacing w:after="0"/>
              <w:rPr>
                <w:sz w:val="1"/>
                <w:szCs w:val="1"/>
                <w:color w:val="auto"/>
              </w:rPr>
            </w:pPr>
          </w:p>
        </w:tc>
      </w:tr>
      <w:tr>
        <w:trPr>
          <w:trHeight w:val="186"/>
        </w:trPr>
        <w:tc>
          <w:tcPr>
            <w:tcW w:w="7400" w:type="dxa"/>
            <w:vAlign w:val="bottom"/>
          </w:tcPr>
          <w:p>
            <w:pPr>
              <w:ind w:left="280"/>
              <w:spacing w:after="0"/>
              <w:rPr>
                <w:sz w:val="20"/>
                <w:szCs w:val="20"/>
                <w:color w:val="auto"/>
              </w:rPr>
            </w:pPr>
            <w:r>
              <w:rPr>
                <w:rFonts w:ascii="Arial" w:cs="Arial" w:eastAsia="Arial" w:hAnsi="Arial"/>
                <w:sz w:val="12"/>
                <w:szCs w:val="12"/>
                <w:color w:val="282A32"/>
              </w:rPr>
              <w:t>Unrealized gain on investments, net of income taxes of $0.4, $0.1 and $2.1, respectively</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2989B9"/>
              </w:rPr>
              <w:t>1.6</w:t>
            </w:r>
          </w:p>
        </w:tc>
        <w:tc>
          <w:tcPr>
            <w:tcW w:w="44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2"/>
                <w:szCs w:val="12"/>
                <w:color w:val="282A32"/>
              </w:rPr>
              <w:t>0.3</w:t>
            </w:r>
          </w:p>
        </w:tc>
        <w:tc>
          <w:tcPr>
            <w:tcW w:w="44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282A32"/>
              </w:rPr>
              <w:t>5.2</w:t>
            </w:r>
          </w:p>
        </w:tc>
        <w:tc>
          <w:tcPr>
            <w:tcW w:w="0" w:type="dxa"/>
            <w:vAlign w:val="bottom"/>
          </w:tcPr>
          <w:p>
            <w:pPr>
              <w:spacing w:after="0"/>
              <w:rPr>
                <w:sz w:val="1"/>
                <w:szCs w:val="1"/>
                <w:color w:val="auto"/>
              </w:rPr>
            </w:pPr>
          </w:p>
        </w:tc>
      </w:tr>
      <w:tr>
        <w:trPr>
          <w:trHeight w:val="194"/>
        </w:trPr>
        <w:tc>
          <w:tcPr>
            <w:tcW w:w="740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282A32"/>
              </w:rPr>
              <w:t>Defined benefit pension plans and retiree health care plan, net of income taxes of $(5.8), $7.8 and $(8.6), respectively</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2989B9"/>
              </w:rPr>
              <w:t>(18.4)</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282A32"/>
              </w:rPr>
              <w:t>19.3</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(13.0)</w:t>
            </w:r>
          </w:p>
        </w:tc>
        <w:tc>
          <w:tcPr>
            <w:tcW w:w="0" w:type="dxa"/>
            <w:vAlign w:val="bottom"/>
          </w:tcPr>
          <w:p>
            <w:pPr>
              <w:spacing w:after="0"/>
              <w:rPr>
                <w:sz w:val="1"/>
                <w:szCs w:val="1"/>
                <w:color w:val="auto"/>
              </w:rPr>
            </w:pPr>
          </w:p>
        </w:tc>
      </w:tr>
      <w:tr>
        <w:trPr>
          <w:trHeight w:val="17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Total other comprehensive loss</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2989B9"/>
                <w:w w:val="89"/>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2989B9"/>
              </w:rPr>
              <w:t>(140.1)</w:t>
            </w:r>
          </w:p>
        </w:tc>
        <w:tc>
          <w:tcPr>
            <w:tcW w:w="4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282A32"/>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(130.8)</w:t>
            </w:r>
          </w:p>
        </w:tc>
        <w:tc>
          <w:tcPr>
            <w:tcW w:w="4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282A3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(237.4)</w:t>
            </w:r>
          </w:p>
        </w:tc>
        <w:tc>
          <w:tcPr>
            <w:tcW w:w="0" w:type="dxa"/>
            <w:vAlign w:val="bottom"/>
          </w:tcPr>
          <w:p>
            <w:pPr>
              <w:spacing w:after="0"/>
              <w:rPr>
                <w:sz w:val="1"/>
                <w:szCs w:val="1"/>
                <w:color w:val="auto"/>
              </w:rPr>
            </w:pPr>
          </w:p>
        </w:tc>
      </w:tr>
      <w:tr>
        <w:trPr>
          <w:trHeight w:val="17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Comprehensive income</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2989B9"/>
                <w:w w:val="89"/>
              </w:rPr>
              <w:t>$</w:t>
            </w:r>
          </w:p>
        </w:tc>
        <w:tc>
          <w:tcPr>
            <w:tcW w:w="100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2989B9"/>
              </w:rPr>
              <w:t>303.6</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282A32"/>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282A32"/>
              </w:rPr>
              <w:t>288.4</w:t>
            </w:r>
          </w:p>
        </w:tc>
        <w:tc>
          <w:tcPr>
            <w:tcW w:w="4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282A32"/>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190.2</w:t>
            </w:r>
          </w:p>
        </w:tc>
        <w:tc>
          <w:tcPr>
            <w:tcW w:w="0" w:type="dxa"/>
            <w:vAlign w:val="bottom"/>
          </w:tcPr>
          <w:p>
            <w:pPr>
              <w:spacing w:after="0"/>
              <w:rPr>
                <w:sz w:val="1"/>
                <w:szCs w:val="1"/>
                <w:color w:val="auto"/>
              </w:rPr>
            </w:pPr>
          </w:p>
        </w:tc>
      </w:tr>
      <w:tr>
        <w:trPr>
          <w:trHeight w:val="91"/>
        </w:trPr>
        <w:tc>
          <w:tcPr>
            <w:tcW w:w="7400" w:type="dxa"/>
            <w:vAlign w:val="bottom"/>
            <w:vMerge w:val="restart"/>
          </w:tcPr>
          <w:p>
            <w:pPr>
              <w:spacing w:after="0"/>
              <w:rPr>
                <w:sz w:val="20"/>
                <w:szCs w:val="20"/>
                <w:color w:val="auto"/>
              </w:rPr>
            </w:pPr>
            <w:r>
              <w:rPr>
                <w:rFonts w:ascii="Arial" w:cs="Arial" w:eastAsia="Arial" w:hAnsi="Arial"/>
                <w:sz w:val="11"/>
                <w:szCs w:val="11"/>
                <w:color w:val="282A32"/>
              </w:rPr>
              <w:t>The accompanying Notes to Consolidated Financial Statements are an integral part of these statements.</w:t>
            </w:r>
          </w:p>
        </w:tc>
        <w:tc>
          <w:tcPr>
            <w:tcW w:w="120" w:type="dxa"/>
            <w:vAlign w:val="bottom"/>
            <w:shd w:val="clear" w:color="auto" w:fill="2989B9"/>
          </w:tcPr>
          <w:p>
            <w:pPr>
              <w:spacing w:after="0"/>
              <w:rPr>
                <w:sz w:val="7"/>
                <w:szCs w:val="7"/>
                <w:color w:val="auto"/>
              </w:rPr>
            </w:pPr>
          </w:p>
        </w:tc>
        <w:tc>
          <w:tcPr>
            <w:tcW w:w="1000" w:type="dxa"/>
            <w:vAlign w:val="bottom"/>
            <w:shd w:val="clear" w:color="auto" w:fill="2989B9"/>
          </w:tcPr>
          <w:p>
            <w:pPr>
              <w:spacing w:after="0"/>
              <w:rPr>
                <w:sz w:val="7"/>
                <w:szCs w:val="7"/>
                <w:color w:val="auto"/>
              </w:rPr>
            </w:pPr>
          </w:p>
        </w:tc>
        <w:tc>
          <w:tcPr>
            <w:tcW w:w="120" w:type="dxa"/>
            <w:vAlign w:val="bottom"/>
            <w:shd w:val="clear" w:color="auto" w:fill="2989B9"/>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7"/>
        </w:trPr>
        <w:tc>
          <w:tcPr>
            <w:tcW w:w="7400" w:type="dxa"/>
            <w:vAlign w:val="bottom"/>
          </w:tcPr>
          <w:p>
            <w:pPr>
              <w:ind w:left="20"/>
              <w:spacing w:after="0"/>
              <w:rPr>
                <w:sz w:val="20"/>
                <w:szCs w:val="20"/>
                <w:color w:val="auto"/>
              </w:rPr>
            </w:pPr>
            <w:r>
              <w:rPr>
                <w:rFonts w:ascii="Arial" w:cs="Arial" w:eastAsia="Arial" w:hAnsi="Arial"/>
                <w:sz w:val="9"/>
                <w:szCs w:val="9"/>
                <w:color w:val="auto"/>
              </w:rPr>
              <w:t>Consolidated Statements of Operations and Consolidated Statements of Comprehensive Income</w:t>
            </w:r>
          </w:p>
        </w:tc>
        <w:tc>
          <w:tcPr>
            <w:tcW w:w="120" w:type="dxa"/>
            <w:vAlign w:val="bottom"/>
          </w:tcPr>
          <w:p>
            <w:pPr>
              <w:spacing w:after="0"/>
              <w:rPr>
                <w:sz w:val="24"/>
                <w:szCs w:val="24"/>
                <w:color w:val="auto"/>
              </w:rPr>
            </w:pPr>
          </w:p>
        </w:tc>
        <w:tc>
          <w:tcPr>
            <w:tcW w:w="1560" w:type="dxa"/>
            <w:vAlign w:val="bottom"/>
            <w:gridSpan w:val="3"/>
          </w:tcPr>
          <w:p>
            <w:pPr>
              <w:jc w:val="right"/>
              <w:ind w:right="238"/>
              <w:spacing w:after="0"/>
              <w:rPr>
                <w:sz w:val="20"/>
                <w:szCs w:val="20"/>
                <w:color w:val="auto"/>
              </w:rPr>
            </w:pPr>
            <w:r>
              <w:rPr>
                <w:rFonts w:ascii="Arial" w:cs="Arial" w:eastAsia="Arial" w:hAnsi="Arial"/>
                <w:sz w:val="9"/>
                <w:szCs w:val="9"/>
                <w:b w:val="1"/>
                <w:bCs w:val="1"/>
                <w:color w:val="auto"/>
              </w:rPr>
              <w:t xml:space="preserve">47 </w:t>
            </w:r>
            <w:r>
              <w:rPr>
                <w:rFonts w:ascii="Arial" w:cs="Arial" w:eastAsia="Arial" w:hAnsi="Arial"/>
                <w:sz w:val="9"/>
                <w:szCs w:val="9"/>
                <w:color w:val="auto"/>
              </w:rPr>
              <w:t>| ManpowerGroup</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-1441450</wp:posOffset>
            </wp:positionV>
            <wp:extent cx="781685" cy="840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1685" cy="840740"/>
                    </a:xfrm>
                    <a:prstGeom prst="rect">
                      <a:avLst/>
                    </a:prstGeom>
                    <a:noFill/>
                  </pic:spPr>
                </pic:pic>
              </a:graphicData>
            </a:graphic>
          </wp:anchor>
        </w:drawing>
      </w:r>
    </w:p>
    <w:p>
      <w:pPr>
        <w:sectPr>
          <w:pgSz w:w="11900" w:h="16838" w:orient="portrait"/>
          <w:cols w:equalWidth="0" w:num="1">
            <w:col w:w="11460"/>
          </w:cols>
          <w:pgMar w:left="220" w:top="352" w:right="21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2989B9"/>
        </w:rPr>
        <w:t>CONSOLIDATED BALANCE SHEETS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4A89BE"/>
        </w:rPr>
        <w:t>in millions,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280" w:type="dxa"/>
            <w:vAlign w:val="bottom"/>
            <w:tcBorders>
              <w:bottom w:val="single" w:sz="8" w:color="auto"/>
            </w:tcBorders>
            <w:shd w:val="clear" w:color="auto" w:fill="E1F4FD"/>
          </w:tcPr>
          <w:p>
            <w:pPr>
              <w:spacing w:after="0"/>
              <w:rPr>
                <w:sz w:val="13"/>
                <w:szCs w:val="13"/>
                <w:color w:val="auto"/>
              </w:rPr>
            </w:pPr>
          </w:p>
        </w:tc>
        <w:tc>
          <w:tcPr>
            <w:tcW w:w="7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282A32"/>
              </w:rPr>
              <w:t>2015</w:t>
            </w:r>
          </w:p>
        </w:tc>
        <w:tc>
          <w:tcPr>
            <w:tcW w:w="0" w:type="dxa"/>
            <w:vAlign w:val="bottom"/>
          </w:tcPr>
          <w:p>
            <w:pPr>
              <w:spacing w:after="0"/>
              <w:rPr>
                <w:sz w:val="1"/>
                <w:szCs w:val="1"/>
                <w:color w:val="auto"/>
              </w:rPr>
            </w:pPr>
          </w:p>
        </w:tc>
      </w:tr>
      <w:tr>
        <w:trPr>
          <w:trHeight w:val="217"/>
        </w:trPr>
        <w:tc>
          <w:tcPr>
            <w:tcW w:w="9400" w:type="dxa"/>
            <w:vAlign w:val="bottom"/>
          </w:tcPr>
          <w:p>
            <w:pPr>
              <w:ind w:left="20"/>
              <w:spacing w:after="0"/>
              <w:rPr>
                <w:sz w:val="20"/>
                <w:szCs w:val="20"/>
                <w:color w:val="auto"/>
              </w:rPr>
            </w:pPr>
            <w:r>
              <w:rPr>
                <w:rFonts w:ascii="Arial" w:cs="Arial" w:eastAsia="Arial" w:hAnsi="Arial"/>
                <w:sz w:val="12"/>
                <w:szCs w:val="12"/>
                <w:color w:val="2989B9"/>
              </w:rPr>
              <w:t>ASSETS</w:t>
            </w:r>
          </w:p>
        </w:tc>
        <w:tc>
          <w:tcPr>
            <w:tcW w:w="280" w:type="dxa"/>
            <w:vAlign w:val="bottom"/>
            <w:shd w:val="clear" w:color="auto" w:fill="E1F4FD"/>
          </w:tcPr>
          <w:p>
            <w:pPr>
              <w:spacing w:after="0"/>
              <w:rPr>
                <w:sz w:val="18"/>
                <w:szCs w:val="18"/>
                <w:color w:val="auto"/>
              </w:rPr>
            </w:pPr>
          </w:p>
        </w:tc>
        <w:tc>
          <w:tcPr>
            <w:tcW w:w="760" w:type="dxa"/>
            <w:vAlign w:val="bottom"/>
            <w:shd w:val="clear" w:color="auto" w:fill="E1F4FD"/>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989B9"/>
              </w:rPr>
              <w:t>Current Assets</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Cash and cash equivalents</w:t>
            </w:r>
          </w:p>
        </w:tc>
        <w:tc>
          <w:tcPr>
            <w:tcW w:w="280" w:type="dxa"/>
            <w:vAlign w:val="bottom"/>
            <w:shd w:val="clear" w:color="auto" w:fill="E1F4FD"/>
          </w:tcPr>
          <w:p>
            <w:pPr>
              <w:jc w:val="right"/>
              <w:ind w:right="118"/>
              <w:spacing w:after="0"/>
              <w:rPr>
                <w:sz w:val="20"/>
                <w:szCs w:val="20"/>
                <w:color w:val="auto"/>
              </w:rPr>
            </w:pPr>
            <w:r>
              <w:rPr>
                <w:rFonts w:ascii="Arial" w:cs="Arial" w:eastAsia="Arial" w:hAnsi="Arial"/>
                <w:sz w:val="12"/>
                <w:szCs w:val="12"/>
                <w:color w:val="4F8ABE"/>
              </w:rPr>
              <w:t>$</w:t>
            </w: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598.5</w:t>
            </w:r>
          </w:p>
        </w:tc>
        <w:tc>
          <w:tcPr>
            <w:tcW w:w="280" w:type="dxa"/>
            <w:vAlign w:val="bottom"/>
          </w:tcPr>
          <w:p>
            <w:pPr>
              <w:jc w:val="right"/>
              <w:ind w:right="118"/>
              <w:spacing w:after="0"/>
              <w:rPr>
                <w:sz w:val="20"/>
                <w:szCs w:val="20"/>
                <w:color w:val="auto"/>
              </w:rPr>
            </w:pPr>
            <w:r>
              <w:rPr>
                <w:rFonts w:ascii="Arial" w:cs="Arial" w:eastAsia="Arial" w:hAnsi="Arial"/>
                <w:sz w:val="12"/>
                <w:szCs w:val="12"/>
                <w:color w:val="282A32"/>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730.5</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Accounts receivable, less allowance for doubtful accounts of $98.2 and $98.1, respectively</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4,413.1</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4,243.0</w:t>
            </w:r>
          </w:p>
        </w:tc>
        <w:tc>
          <w:tcPr>
            <w:tcW w:w="0" w:type="dxa"/>
            <w:vAlign w:val="bottom"/>
          </w:tcPr>
          <w:p>
            <w:pPr>
              <w:spacing w:after="0"/>
              <w:rPr>
                <w:sz w:val="1"/>
                <w:szCs w:val="1"/>
                <w:color w:val="auto"/>
              </w:rPr>
            </w:pPr>
          </w:p>
        </w:tc>
      </w:tr>
      <w:tr>
        <w:trPr>
          <w:trHeight w:val="246"/>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Prepaid expenses and other assets</w:t>
            </w:r>
          </w:p>
        </w:tc>
        <w:tc>
          <w:tcPr>
            <w:tcW w:w="280" w:type="dxa"/>
            <w:vAlign w:val="bottom"/>
            <w:tcBorders>
              <w:bottom w:val="single" w:sz="8" w:color="auto"/>
            </w:tcBorders>
            <w:shd w:val="clear" w:color="auto" w:fill="E1F4FD"/>
          </w:tcPr>
          <w:p>
            <w:pPr>
              <w:spacing w:after="0"/>
              <w:rPr>
                <w:sz w:val="21"/>
                <w:szCs w:val="21"/>
                <w:color w:val="auto"/>
              </w:rPr>
            </w:pPr>
          </w:p>
        </w:tc>
        <w:tc>
          <w:tcPr>
            <w:tcW w:w="7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121.3</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119.0</w:t>
            </w:r>
          </w:p>
        </w:tc>
        <w:tc>
          <w:tcPr>
            <w:tcW w:w="0" w:type="dxa"/>
            <w:vAlign w:val="bottom"/>
          </w:tcPr>
          <w:p>
            <w:pPr>
              <w:spacing w:after="0"/>
              <w:rPr>
                <w:sz w:val="1"/>
                <w:szCs w:val="1"/>
                <w:color w:val="auto"/>
              </w:rPr>
            </w:pPr>
          </w:p>
        </w:tc>
      </w:tr>
      <w:tr>
        <w:trPr>
          <w:trHeight w:val="169"/>
        </w:trPr>
        <w:tc>
          <w:tcPr>
            <w:tcW w:w="9400" w:type="dxa"/>
            <w:vAlign w:val="bottom"/>
          </w:tcPr>
          <w:p>
            <w:pPr>
              <w:ind w:left="240"/>
              <w:spacing w:after="0"/>
              <w:rPr>
                <w:sz w:val="20"/>
                <w:szCs w:val="20"/>
                <w:color w:val="auto"/>
              </w:rPr>
            </w:pPr>
            <w:r>
              <w:rPr>
                <w:rFonts w:ascii="Arial" w:cs="Arial" w:eastAsia="Arial" w:hAnsi="Arial"/>
                <w:sz w:val="12"/>
                <w:szCs w:val="12"/>
                <w:color w:val="282A32"/>
              </w:rPr>
              <w:t>Total current assets</w:t>
            </w:r>
          </w:p>
        </w:tc>
        <w:tc>
          <w:tcPr>
            <w:tcW w:w="280" w:type="dxa"/>
            <w:vAlign w:val="bottom"/>
            <w:shd w:val="clear" w:color="auto" w:fill="E1F4FD"/>
          </w:tcPr>
          <w:p>
            <w:pPr>
              <w:spacing w:after="0"/>
              <w:rPr>
                <w:sz w:val="14"/>
                <w:szCs w:val="14"/>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5,132.9</w:t>
            </w:r>
          </w:p>
        </w:tc>
        <w:tc>
          <w:tcPr>
            <w:tcW w:w="280" w:type="dxa"/>
            <w:vAlign w:val="bottom"/>
          </w:tcPr>
          <w:p>
            <w:pPr>
              <w:spacing w:after="0"/>
              <w:rPr>
                <w:sz w:val="14"/>
                <w:szCs w:val="14"/>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5,092.5</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989B9"/>
              </w:rPr>
              <w:t>Other Assets</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Goodwill</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1,239.9</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1,257.4</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Intangible assets, less accumulated amortization of $299.8 and $266.6, respectively</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294.4</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326.5</w:t>
            </w:r>
          </w:p>
        </w:tc>
        <w:tc>
          <w:tcPr>
            <w:tcW w:w="0" w:type="dxa"/>
            <w:vAlign w:val="bottom"/>
          </w:tcPr>
          <w:p>
            <w:pPr>
              <w:spacing w:after="0"/>
              <w:rPr>
                <w:sz w:val="1"/>
                <w:szCs w:val="1"/>
                <w:color w:val="auto"/>
              </w:rPr>
            </w:pPr>
          </w:p>
        </w:tc>
      </w:tr>
      <w:tr>
        <w:trPr>
          <w:trHeight w:val="246"/>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assets</w:t>
            </w:r>
          </w:p>
        </w:tc>
        <w:tc>
          <w:tcPr>
            <w:tcW w:w="280" w:type="dxa"/>
            <w:vAlign w:val="bottom"/>
            <w:tcBorders>
              <w:bottom w:val="single" w:sz="8" w:color="auto"/>
            </w:tcBorders>
            <w:shd w:val="clear" w:color="auto" w:fill="E1F4FD"/>
          </w:tcPr>
          <w:p>
            <w:pPr>
              <w:spacing w:after="0"/>
              <w:rPr>
                <w:sz w:val="21"/>
                <w:szCs w:val="21"/>
                <w:color w:val="auto"/>
              </w:rPr>
            </w:pPr>
          </w:p>
        </w:tc>
        <w:tc>
          <w:tcPr>
            <w:tcW w:w="7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759.7</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694.0</w:t>
            </w:r>
          </w:p>
        </w:tc>
        <w:tc>
          <w:tcPr>
            <w:tcW w:w="0" w:type="dxa"/>
            <w:vAlign w:val="bottom"/>
          </w:tcPr>
          <w:p>
            <w:pPr>
              <w:spacing w:after="0"/>
              <w:rPr>
                <w:sz w:val="1"/>
                <w:szCs w:val="1"/>
                <w:color w:val="auto"/>
              </w:rPr>
            </w:pPr>
          </w:p>
        </w:tc>
      </w:tr>
      <w:tr>
        <w:trPr>
          <w:trHeight w:val="169"/>
        </w:trPr>
        <w:tc>
          <w:tcPr>
            <w:tcW w:w="9400" w:type="dxa"/>
            <w:vAlign w:val="bottom"/>
          </w:tcPr>
          <w:p>
            <w:pPr>
              <w:ind w:left="240"/>
              <w:spacing w:after="0"/>
              <w:rPr>
                <w:sz w:val="20"/>
                <w:szCs w:val="20"/>
                <w:color w:val="auto"/>
              </w:rPr>
            </w:pPr>
            <w:r>
              <w:rPr>
                <w:rFonts w:ascii="Arial" w:cs="Arial" w:eastAsia="Arial" w:hAnsi="Arial"/>
                <w:sz w:val="12"/>
                <w:szCs w:val="12"/>
                <w:color w:val="282A32"/>
              </w:rPr>
              <w:t>Total other assets</w:t>
            </w:r>
          </w:p>
        </w:tc>
        <w:tc>
          <w:tcPr>
            <w:tcW w:w="280" w:type="dxa"/>
            <w:vAlign w:val="bottom"/>
            <w:shd w:val="clear" w:color="auto" w:fill="E1F4FD"/>
          </w:tcPr>
          <w:p>
            <w:pPr>
              <w:spacing w:after="0"/>
              <w:rPr>
                <w:sz w:val="14"/>
                <w:szCs w:val="14"/>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2,294.0</w:t>
            </w:r>
          </w:p>
        </w:tc>
        <w:tc>
          <w:tcPr>
            <w:tcW w:w="280" w:type="dxa"/>
            <w:vAlign w:val="bottom"/>
          </w:tcPr>
          <w:p>
            <w:pPr>
              <w:spacing w:after="0"/>
              <w:rPr>
                <w:sz w:val="14"/>
                <w:szCs w:val="14"/>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2,277.9</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989B9"/>
              </w:rPr>
              <w:t>Property and Equipment</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Land, buildings, leasehold improvements and equipment</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567.0</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585.4</w:t>
            </w:r>
          </w:p>
        </w:tc>
        <w:tc>
          <w:tcPr>
            <w:tcW w:w="0" w:type="dxa"/>
            <w:vAlign w:val="bottom"/>
          </w:tcPr>
          <w:p>
            <w:pPr>
              <w:spacing w:after="0"/>
              <w:rPr>
                <w:sz w:val="1"/>
                <w:szCs w:val="1"/>
                <w:color w:val="auto"/>
              </w:rPr>
            </w:pPr>
          </w:p>
        </w:tc>
      </w:tr>
      <w:tr>
        <w:trPr>
          <w:trHeight w:val="246"/>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Less: accumulated depreciation and amortization</w:t>
            </w:r>
          </w:p>
        </w:tc>
        <w:tc>
          <w:tcPr>
            <w:tcW w:w="280" w:type="dxa"/>
            <w:vAlign w:val="bottom"/>
            <w:tcBorders>
              <w:bottom w:val="single" w:sz="8" w:color="auto"/>
            </w:tcBorders>
            <w:shd w:val="clear" w:color="auto" w:fill="E1F4FD"/>
          </w:tcPr>
          <w:p>
            <w:pPr>
              <w:spacing w:after="0"/>
              <w:rPr>
                <w:sz w:val="21"/>
                <w:szCs w:val="21"/>
                <w:color w:val="auto"/>
              </w:rPr>
            </w:pPr>
          </w:p>
        </w:tc>
        <w:tc>
          <w:tcPr>
            <w:tcW w:w="7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419.7</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438.3</w:t>
            </w:r>
          </w:p>
        </w:tc>
        <w:tc>
          <w:tcPr>
            <w:tcW w:w="0" w:type="dxa"/>
            <w:vAlign w:val="bottom"/>
          </w:tcPr>
          <w:p>
            <w:pPr>
              <w:spacing w:after="0"/>
              <w:rPr>
                <w:sz w:val="1"/>
                <w:szCs w:val="1"/>
                <w:color w:val="auto"/>
              </w:rPr>
            </w:pPr>
          </w:p>
        </w:tc>
      </w:tr>
      <w:tr>
        <w:trPr>
          <w:trHeight w:val="177"/>
        </w:trPr>
        <w:tc>
          <w:tcPr>
            <w:tcW w:w="94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282A32"/>
              </w:rPr>
              <w:t>Net property and equipment</w:t>
            </w:r>
          </w:p>
        </w:tc>
        <w:tc>
          <w:tcPr>
            <w:tcW w:w="280" w:type="dxa"/>
            <w:vAlign w:val="bottom"/>
            <w:tcBorders>
              <w:bottom w:val="single" w:sz="8" w:color="auto"/>
            </w:tcBorders>
            <w:shd w:val="clear" w:color="auto" w:fill="E1F4FD"/>
          </w:tcPr>
          <w:p>
            <w:pPr>
              <w:spacing w:after="0"/>
              <w:rPr>
                <w:sz w:val="15"/>
                <w:szCs w:val="15"/>
                <w:color w:val="auto"/>
              </w:rPr>
            </w:pPr>
          </w:p>
        </w:tc>
        <w:tc>
          <w:tcPr>
            <w:tcW w:w="7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147.3</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147.1</w:t>
            </w:r>
          </w:p>
        </w:tc>
        <w:tc>
          <w:tcPr>
            <w:tcW w:w="0" w:type="dxa"/>
            <w:vAlign w:val="bottom"/>
          </w:tcPr>
          <w:p>
            <w:pPr>
              <w:spacing w:after="0"/>
              <w:rPr>
                <w:sz w:val="1"/>
                <w:szCs w:val="1"/>
                <w:color w:val="auto"/>
              </w:rPr>
            </w:pPr>
          </w:p>
        </w:tc>
      </w:tr>
      <w:tr>
        <w:trPr>
          <w:trHeight w:val="177"/>
        </w:trPr>
        <w:tc>
          <w:tcPr>
            <w:tcW w:w="9400" w:type="dxa"/>
            <w:vAlign w:val="bottom"/>
            <w:tcBorders>
              <w:bottom w:val="single" w:sz="8" w:color="55565A"/>
            </w:tcBorders>
          </w:tcPr>
          <w:p>
            <w:pPr>
              <w:ind w:left="240"/>
              <w:spacing w:after="0"/>
              <w:rPr>
                <w:sz w:val="20"/>
                <w:szCs w:val="20"/>
                <w:color w:val="auto"/>
              </w:rPr>
            </w:pPr>
            <w:r>
              <w:rPr>
                <w:rFonts w:ascii="Arial" w:cs="Arial" w:eastAsia="Arial" w:hAnsi="Arial"/>
                <w:sz w:val="12"/>
                <w:szCs w:val="12"/>
                <w:color w:val="282A32"/>
              </w:rPr>
              <w:t>Total assets</w:t>
            </w:r>
          </w:p>
        </w:tc>
        <w:tc>
          <w:tcPr>
            <w:tcW w:w="280" w:type="dxa"/>
            <w:vAlign w:val="bottom"/>
            <w:tcBorders>
              <w:bottom w:val="single" w:sz="8" w:color="auto"/>
            </w:tcBorders>
            <w:shd w:val="clear" w:color="auto" w:fill="E1F4FD"/>
          </w:tcPr>
          <w:p>
            <w:pPr>
              <w:jc w:val="right"/>
              <w:ind w:right="118"/>
              <w:spacing w:after="0"/>
              <w:rPr>
                <w:sz w:val="20"/>
                <w:szCs w:val="20"/>
                <w:color w:val="auto"/>
              </w:rPr>
            </w:pPr>
            <w:r>
              <w:rPr>
                <w:rFonts w:ascii="Arial" w:cs="Arial" w:eastAsia="Arial" w:hAnsi="Arial"/>
                <w:sz w:val="12"/>
                <w:szCs w:val="12"/>
                <w:color w:val="4F8ABE"/>
              </w:rPr>
              <w:t>$</w:t>
            </w:r>
          </w:p>
        </w:tc>
        <w:tc>
          <w:tcPr>
            <w:tcW w:w="7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7,574.2</w:t>
            </w:r>
          </w:p>
        </w:tc>
        <w:tc>
          <w:tcPr>
            <w:tcW w:w="280" w:type="dxa"/>
            <w:vAlign w:val="bottom"/>
            <w:tcBorders>
              <w:bottom w:val="single" w:sz="8" w:color="55565A"/>
            </w:tcBorders>
          </w:tcPr>
          <w:p>
            <w:pPr>
              <w:jc w:val="right"/>
              <w:ind w:right="118"/>
              <w:spacing w:after="0"/>
              <w:rPr>
                <w:sz w:val="20"/>
                <w:szCs w:val="20"/>
                <w:color w:val="auto"/>
              </w:rPr>
            </w:pPr>
            <w:r>
              <w:rPr>
                <w:rFonts w:ascii="Arial" w:cs="Arial" w:eastAsia="Arial" w:hAnsi="Arial"/>
                <w:sz w:val="12"/>
                <w:szCs w:val="12"/>
                <w:color w:val="282A32"/>
              </w:rPr>
              <w:t>$</w:t>
            </w:r>
          </w:p>
        </w:tc>
        <w:tc>
          <w:tcPr>
            <w:tcW w:w="740" w:type="dxa"/>
            <w:vAlign w:val="bottom"/>
            <w:tcBorders>
              <w:bottom w:val="single" w:sz="8" w:color="55565A"/>
            </w:tcBorders>
          </w:tcPr>
          <w:p>
            <w:pPr>
              <w:jc w:val="right"/>
              <w:ind w:right="38"/>
              <w:spacing w:after="0"/>
              <w:rPr>
                <w:sz w:val="20"/>
                <w:szCs w:val="20"/>
                <w:color w:val="auto"/>
              </w:rPr>
            </w:pPr>
            <w:r>
              <w:rPr>
                <w:rFonts w:ascii="Arial" w:cs="Arial" w:eastAsia="Arial" w:hAnsi="Arial"/>
                <w:sz w:val="12"/>
                <w:szCs w:val="12"/>
                <w:color w:val="282A32"/>
              </w:rPr>
              <w:t>7,517.5</w:t>
            </w:r>
          </w:p>
        </w:tc>
        <w:tc>
          <w:tcPr>
            <w:tcW w:w="0" w:type="dxa"/>
            <w:vAlign w:val="bottom"/>
          </w:tcPr>
          <w:p>
            <w:pPr>
              <w:spacing w:after="0"/>
              <w:rPr>
                <w:sz w:val="1"/>
                <w:szCs w:val="1"/>
                <w:color w:val="auto"/>
              </w:rPr>
            </w:pPr>
          </w:p>
        </w:tc>
      </w:tr>
      <w:tr>
        <w:trPr>
          <w:trHeight w:val="220"/>
        </w:trPr>
        <w:tc>
          <w:tcPr>
            <w:tcW w:w="9400" w:type="dxa"/>
            <w:vAlign w:val="bottom"/>
          </w:tcPr>
          <w:p>
            <w:pPr>
              <w:ind w:left="20"/>
              <w:spacing w:after="0"/>
              <w:rPr>
                <w:sz w:val="20"/>
                <w:szCs w:val="20"/>
                <w:color w:val="auto"/>
              </w:rPr>
            </w:pPr>
            <w:r>
              <w:rPr>
                <w:rFonts w:ascii="Arial" w:cs="Arial" w:eastAsia="Arial" w:hAnsi="Arial"/>
                <w:sz w:val="12"/>
                <w:szCs w:val="12"/>
                <w:color w:val="2989B9"/>
              </w:rPr>
              <w:t>LIABILITIES AND SHAREHOLDERS' EQUITY</w:t>
            </w:r>
          </w:p>
        </w:tc>
        <w:tc>
          <w:tcPr>
            <w:tcW w:w="280" w:type="dxa"/>
            <w:vAlign w:val="bottom"/>
            <w:shd w:val="clear" w:color="auto" w:fill="E1F4FD"/>
          </w:tcPr>
          <w:p>
            <w:pPr>
              <w:spacing w:after="0"/>
              <w:rPr>
                <w:sz w:val="19"/>
                <w:szCs w:val="19"/>
                <w:color w:val="auto"/>
              </w:rPr>
            </w:pPr>
          </w:p>
        </w:tc>
        <w:tc>
          <w:tcPr>
            <w:tcW w:w="760" w:type="dxa"/>
            <w:vAlign w:val="bottom"/>
            <w:shd w:val="clear" w:color="auto" w:fill="E1F4FD"/>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400" w:type="dxa"/>
            <w:vAlign w:val="bottom"/>
          </w:tcPr>
          <w:p>
            <w:pPr>
              <w:ind w:left="20"/>
              <w:spacing w:after="0"/>
              <w:rPr>
                <w:sz w:val="20"/>
                <w:szCs w:val="20"/>
                <w:color w:val="auto"/>
              </w:rPr>
            </w:pPr>
            <w:r>
              <w:rPr>
                <w:rFonts w:ascii="Arial" w:cs="Arial" w:eastAsia="Arial" w:hAnsi="Arial"/>
                <w:sz w:val="12"/>
                <w:szCs w:val="12"/>
                <w:color w:val="2989B9"/>
              </w:rPr>
              <w:t>Current Liabilities</w:t>
            </w:r>
          </w:p>
        </w:tc>
        <w:tc>
          <w:tcPr>
            <w:tcW w:w="280" w:type="dxa"/>
            <w:vAlign w:val="bottom"/>
            <w:shd w:val="clear" w:color="auto" w:fill="E1F4FD"/>
          </w:tcPr>
          <w:p>
            <w:pPr>
              <w:spacing w:after="0"/>
              <w:rPr>
                <w:sz w:val="17"/>
                <w:szCs w:val="17"/>
                <w:color w:val="auto"/>
              </w:rPr>
            </w:pPr>
          </w:p>
        </w:tc>
        <w:tc>
          <w:tcPr>
            <w:tcW w:w="760" w:type="dxa"/>
            <w:vAlign w:val="bottom"/>
            <w:shd w:val="clear" w:color="auto" w:fill="E1F4FD"/>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400" w:type="dxa"/>
            <w:vAlign w:val="bottom"/>
          </w:tcPr>
          <w:p>
            <w:pPr>
              <w:ind w:left="20"/>
              <w:spacing w:after="0"/>
              <w:rPr>
                <w:sz w:val="20"/>
                <w:szCs w:val="20"/>
                <w:color w:val="auto"/>
              </w:rPr>
            </w:pPr>
            <w:r>
              <w:rPr>
                <w:rFonts w:ascii="Arial" w:cs="Arial" w:eastAsia="Arial" w:hAnsi="Arial"/>
                <w:sz w:val="12"/>
                <w:szCs w:val="12"/>
                <w:color w:val="282A32"/>
              </w:rPr>
              <w:t>Accounts payable</w:t>
            </w:r>
          </w:p>
        </w:tc>
        <w:tc>
          <w:tcPr>
            <w:tcW w:w="280" w:type="dxa"/>
            <w:vAlign w:val="bottom"/>
            <w:shd w:val="clear" w:color="auto" w:fill="E1F4FD"/>
          </w:tcPr>
          <w:p>
            <w:pPr>
              <w:jc w:val="right"/>
              <w:ind w:right="118"/>
              <w:spacing w:after="0"/>
              <w:rPr>
                <w:sz w:val="20"/>
                <w:szCs w:val="20"/>
                <w:color w:val="auto"/>
              </w:rPr>
            </w:pPr>
            <w:r>
              <w:rPr>
                <w:rFonts w:ascii="Arial" w:cs="Arial" w:eastAsia="Arial" w:hAnsi="Arial"/>
                <w:sz w:val="12"/>
                <w:szCs w:val="12"/>
                <w:color w:val="4F8ABE"/>
              </w:rPr>
              <w:t>$</w:t>
            </w: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1,914.4</w:t>
            </w:r>
          </w:p>
        </w:tc>
        <w:tc>
          <w:tcPr>
            <w:tcW w:w="280" w:type="dxa"/>
            <w:vAlign w:val="bottom"/>
          </w:tcPr>
          <w:p>
            <w:pPr>
              <w:jc w:val="right"/>
              <w:ind w:right="118"/>
              <w:spacing w:after="0"/>
              <w:rPr>
                <w:sz w:val="20"/>
                <w:szCs w:val="20"/>
                <w:color w:val="auto"/>
              </w:rPr>
            </w:pPr>
            <w:r>
              <w:rPr>
                <w:rFonts w:ascii="Arial" w:cs="Arial" w:eastAsia="Arial" w:hAnsi="Arial"/>
                <w:sz w:val="12"/>
                <w:szCs w:val="12"/>
                <w:color w:val="282A32"/>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1,659.2</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Employee compensation payable</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208.1</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211.4</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Accrued liabilities</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398.6</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483.7</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Accrued payroll taxes and insurance</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649.2</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613.8</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Value added taxes payable</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448.7</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438.7</w:t>
            </w:r>
          </w:p>
        </w:tc>
        <w:tc>
          <w:tcPr>
            <w:tcW w:w="0" w:type="dxa"/>
            <w:vAlign w:val="bottom"/>
          </w:tcPr>
          <w:p>
            <w:pPr>
              <w:spacing w:after="0"/>
              <w:rPr>
                <w:sz w:val="1"/>
                <w:szCs w:val="1"/>
                <w:color w:val="auto"/>
              </w:rPr>
            </w:pPr>
          </w:p>
        </w:tc>
      </w:tr>
      <w:tr>
        <w:trPr>
          <w:trHeight w:val="246"/>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Short-term borrowings and current maturities of long-term debt</w:t>
            </w:r>
          </w:p>
        </w:tc>
        <w:tc>
          <w:tcPr>
            <w:tcW w:w="280" w:type="dxa"/>
            <w:vAlign w:val="bottom"/>
            <w:tcBorders>
              <w:bottom w:val="single" w:sz="8" w:color="auto"/>
            </w:tcBorders>
            <w:shd w:val="clear" w:color="auto" w:fill="E1F4FD"/>
          </w:tcPr>
          <w:p>
            <w:pPr>
              <w:spacing w:after="0"/>
              <w:rPr>
                <w:sz w:val="21"/>
                <w:szCs w:val="21"/>
                <w:color w:val="auto"/>
              </w:rPr>
            </w:pPr>
          </w:p>
        </w:tc>
        <w:tc>
          <w:tcPr>
            <w:tcW w:w="7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39.8</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44.2</w:t>
            </w:r>
          </w:p>
        </w:tc>
        <w:tc>
          <w:tcPr>
            <w:tcW w:w="0" w:type="dxa"/>
            <w:vAlign w:val="bottom"/>
          </w:tcPr>
          <w:p>
            <w:pPr>
              <w:spacing w:after="0"/>
              <w:rPr>
                <w:sz w:val="1"/>
                <w:szCs w:val="1"/>
                <w:color w:val="auto"/>
              </w:rPr>
            </w:pPr>
          </w:p>
        </w:tc>
      </w:tr>
      <w:tr>
        <w:trPr>
          <w:trHeight w:val="169"/>
        </w:trPr>
        <w:tc>
          <w:tcPr>
            <w:tcW w:w="9400" w:type="dxa"/>
            <w:vAlign w:val="bottom"/>
          </w:tcPr>
          <w:p>
            <w:pPr>
              <w:ind w:left="240"/>
              <w:spacing w:after="0"/>
              <w:rPr>
                <w:sz w:val="20"/>
                <w:szCs w:val="20"/>
                <w:color w:val="auto"/>
              </w:rPr>
            </w:pPr>
            <w:r>
              <w:rPr>
                <w:rFonts w:ascii="Arial" w:cs="Arial" w:eastAsia="Arial" w:hAnsi="Arial"/>
                <w:sz w:val="12"/>
                <w:szCs w:val="12"/>
                <w:color w:val="282A32"/>
              </w:rPr>
              <w:t>Total current liabilities</w:t>
            </w:r>
          </w:p>
        </w:tc>
        <w:tc>
          <w:tcPr>
            <w:tcW w:w="280" w:type="dxa"/>
            <w:vAlign w:val="bottom"/>
            <w:shd w:val="clear" w:color="auto" w:fill="E1F4FD"/>
          </w:tcPr>
          <w:p>
            <w:pPr>
              <w:spacing w:after="0"/>
              <w:rPr>
                <w:sz w:val="14"/>
                <w:szCs w:val="14"/>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3,658.8</w:t>
            </w:r>
          </w:p>
        </w:tc>
        <w:tc>
          <w:tcPr>
            <w:tcW w:w="280" w:type="dxa"/>
            <w:vAlign w:val="bottom"/>
          </w:tcPr>
          <w:p>
            <w:pPr>
              <w:spacing w:after="0"/>
              <w:rPr>
                <w:sz w:val="14"/>
                <w:szCs w:val="14"/>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3,451.0</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989B9"/>
              </w:rPr>
              <w:t>Other liabilities</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Long-term debt</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785.6</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810.9</w:t>
            </w:r>
          </w:p>
        </w:tc>
        <w:tc>
          <w:tcPr>
            <w:tcW w:w="0" w:type="dxa"/>
            <w:vAlign w:val="bottom"/>
          </w:tcPr>
          <w:p>
            <w:pPr>
              <w:spacing w:after="0"/>
              <w:rPr>
                <w:sz w:val="1"/>
                <w:szCs w:val="1"/>
                <w:color w:val="auto"/>
              </w:rPr>
            </w:pPr>
          </w:p>
        </w:tc>
      </w:tr>
      <w:tr>
        <w:trPr>
          <w:trHeight w:val="246"/>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Other long-term liabilities</w:t>
            </w:r>
          </w:p>
        </w:tc>
        <w:tc>
          <w:tcPr>
            <w:tcW w:w="280" w:type="dxa"/>
            <w:vAlign w:val="bottom"/>
            <w:tcBorders>
              <w:bottom w:val="single" w:sz="8" w:color="auto"/>
            </w:tcBorders>
            <w:shd w:val="clear" w:color="auto" w:fill="E1F4FD"/>
          </w:tcPr>
          <w:p>
            <w:pPr>
              <w:spacing w:after="0"/>
              <w:rPr>
                <w:sz w:val="21"/>
                <w:szCs w:val="21"/>
                <w:color w:val="auto"/>
              </w:rPr>
            </w:pPr>
          </w:p>
        </w:tc>
        <w:tc>
          <w:tcPr>
            <w:tcW w:w="7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683.4</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563.1</w:t>
            </w:r>
          </w:p>
        </w:tc>
        <w:tc>
          <w:tcPr>
            <w:tcW w:w="0" w:type="dxa"/>
            <w:vAlign w:val="bottom"/>
          </w:tcPr>
          <w:p>
            <w:pPr>
              <w:spacing w:after="0"/>
              <w:rPr>
                <w:sz w:val="1"/>
                <w:szCs w:val="1"/>
                <w:color w:val="auto"/>
              </w:rPr>
            </w:pPr>
          </w:p>
        </w:tc>
      </w:tr>
      <w:tr>
        <w:trPr>
          <w:trHeight w:val="169"/>
        </w:trPr>
        <w:tc>
          <w:tcPr>
            <w:tcW w:w="9400" w:type="dxa"/>
            <w:vAlign w:val="bottom"/>
          </w:tcPr>
          <w:p>
            <w:pPr>
              <w:ind w:left="240"/>
              <w:spacing w:after="0"/>
              <w:rPr>
                <w:sz w:val="20"/>
                <w:szCs w:val="20"/>
                <w:color w:val="auto"/>
              </w:rPr>
            </w:pPr>
            <w:r>
              <w:rPr>
                <w:rFonts w:ascii="Arial" w:cs="Arial" w:eastAsia="Arial" w:hAnsi="Arial"/>
                <w:sz w:val="12"/>
                <w:szCs w:val="12"/>
                <w:color w:val="282A32"/>
              </w:rPr>
              <w:t>Total other liabilities</w:t>
            </w:r>
          </w:p>
        </w:tc>
        <w:tc>
          <w:tcPr>
            <w:tcW w:w="280" w:type="dxa"/>
            <w:vAlign w:val="bottom"/>
            <w:shd w:val="clear" w:color="auto" w:fill="E1F4FD"/>
          </w:tcPr>
          <w:p>
            <w:pPr>
              <w:spacing w:after="0"/>
              <w:rPr>
                <w:sz w:val="14"/>
                <w:szCs w:val="14"/>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1,469.0</w:t>
            </w:r>
          </w:p>
        </w:tc>
        <w:tc>
          <w:tcPr>
            <w:tcW w:w="280" w:type="dxa"/>
            <w:vAlign w:val="bottom"/>
          </w:tcPr>
          <w:p>
            <w:pPr>
              <w:spacing w:after="0"/>
              <w:rPr>
                <w:sz w:val="14"/>
                <w:szCs w:val="14"/>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1,374.0</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989B9"/>
              </w:rPr>
              <w:t>Shareholders’ Equity</w:t>
            </w:r>
          </w:p>
        </w:tc>
        <w:tc>
          <w:tcPr>
            <w:tcW w:w="280" w:type="dxa"/>
            <w:vAlign w:val="bottom"/>
            <w:shd w:val="clear" w:color="auto" w:fill="E1F4FD"/>
          </w:tcPr>
          <w:p>
            <w:pPr>
              <w:spacing w:after="0"/>
              <w:rPr>
                <w:sz w:val="20"/>
                <w:szCs w:val="20"/>
                <w:color w:val="auto"/>
              </w:rPr>
            </w:pPr>
          </w:p>
        </w:tc>
        <w:tc>
          <w:tcPr>
            <w:tcW w:w="760" w:type="dxa"/>
            <w:vAlign w:val="bottom"/>
            <w:shd w:val="clear" w:color="auto" w:fill="E1F4FD"/>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9400" w:type="dxa"/>
            <w:vAlign w:val="bottom"/>
          </w:tcPr>
          <w:p>
            <w:pPr>
              <w:ind w:left="20"/>
              <w:spacing w:after="0"/>
              <w:rPr>
                <w:sz w:val="20"/>
                <w:szCs w:val="20"/>
                <w:color w:val="auto"/>
              </w:rPr>
            </w:pPr>
            <w:r>
              <w:rPr>
                <w:rFonts w:ascii="Arial" w:cs="Arial" w:eastAsia="Arial" w:hAnsi="Arial"/>
                <w:sz w:val="12"/>
                <w:szCs w:val="12"/>
                <w:color w:val="282A32"/>
              </w:rPr>
              <w:t>Preferred stock, $.01 par value, authorized 25,000,000 shares, none issued</w:t>
            </w:r>
          </w:p>
        </w:tc>
        <w:tc>
          <w:tcPr>
            <w:tcW w:w="280" w:type="dxa"/>
            <w:vAlign w:val="bottom"/>
            <w:shd w:val="clear" w:color="auto" w:fill="E1F4FD"/>
          </w:tcPr>
          <w:p>
            <w:pPr>
              <w:spacing w:after="0"/>
              <w:rPr>
                <w:sz w:val="22"/>
                <w:szCs w:val="22"/>
                <w:color w:val="auto"/>
              </w:rPr>
            </w:pPr>
          </w:p>
        </w:tc>
        <w:tc>
          <w:tcPr>
            <w:tcW w:w="7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w:t>
            </w:r>
          </w:p>
        </w:tc>
        <w:tc>
          <w:tcPr>
            <w:tcW w:w="28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w:t>
            </w:r>
          </w:p>
        </w:tc>
        <w:tc>
          <w:tcPr>
            <w:tcW w:w="0" w:type="dxa"/>
            <w:vAlign w:val="bottom"/>
          </w:tcPr>
          <w:p>
            <w:pPr>
              <w:spacing w:after="0"/>
              <w:rPr>
                <w:sz w:val="1"/>
                <w:szCs w:val="1"/>
                <w:color w:val="auto"/>
              </w:rPr>
            </w:pPr>
          </w:p>
        </w:tc>
      </w:tr>
      <w:tr>
        <w:trPr>
          <w:trHeight w:val="222"/>
        </w:trPr>
        <w:tc>
          <w:tcPr>
            <w:tcW w:w="9400" w:type="dxa"/>
            <w:vAlign w:val="bottom"/>
          </w:tcPr>
          <w:p>
            <w:pPr>
              <w:ind w:left="20"/>
              <w:spacing w:after="0"/>
              <w:rPr>
                <w:sz w:val="20"/>
                <w:szCs w:val="20"/>
                <w:color w:val="auto"/>
              </w:rPr>
            </w:pPr>
            <w:r>
              <w:rPr>
                <w:rFonts w:ascii="Arial" w:cs="Arial" w:eastAsia="Arial" w:hAnsi="Arial"/>
                <w:sz w:val="12"/>
                <w:szCs w:val="12"/>
                <w:color w:val="282A32"/>
              </w:rPr>
              <w:t>Common stock, $.01 par value, authorized 125,000,000 shares, issued 115,115,748 and 114,504,928 shares, respectively</w:t>
            </w:r>
          </w:p>
        </w:tc>
        <w:tc>
          <w:tcPr>
            <w:tcW w:w="28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4F8ABE"/>
              </w:rPr>
              <w:t>1.2</w:t>
            </w:r>
          </w:p>
        </w:tc>
        <w:tc>
          <w:tcPr>
            <w:tcW w:w="280" w:type="dxa"/>
            <w:vAlign w:val="bottom"/>
          </w:tcPr>
          <w:p>
            <w:pPr>
              <w:spacing w:after="0"/>
              <w:rPr>
                <w:sz w:val="19"/>
                <w:szCs w:val="19"/>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1.2</w:t>
            </w:r>
          </w:p>
        </w:tc>
        <w:tc>
          <w:tcPr>
            <w:tcW w:w="0" w:type="dxa"/>
            <w:vAlign w:val="bottom"/>
          </w:tcPr>
          <w:p>
            <w:pPr>
              <w:spacing w:after="0"/>
              <w:rPr>
                <w:sz w:val="1"/>
                <w:szCs w:val="1"/>
                <w:color w:val="auto"/>
              </w:rPr>
            </w:pPr>
          </w:p>
        </w:tc>
      </w:tr>
      <w:tr>
        <w:trPr>
          <w:trHeight w:val="186"/>
        </w:trPr>
        <w:tc>
          <w:tcPr>
            <w:tcW w:w="9400" w:type="dxa"/>
            <w:vAlign w:val="bottom"/>
          </w:tcPr>
          <w:p>
            <w:pPr>
              <w:ind w:left="20"/>
              <w:spacing w:after="0"/>
              <w:rPr>
                <w:sz w:val="20"/>
                <w:szCs w:val="20"/>
                <w:color w:val="auto"/>
              </w:rPr>
            </w:pPr>
            <w:r>
              <w:rPr>
                <w:rFonts w:ascii="Arial" w:cs="Arial" w:eastAsia="Arial" w:hAnsi="Arial"/>
                <w:sz w:val="12"/>
                <w:szCs w:val="12"/>
                <w:color w:val="282A32"/>
              </w:rPr>
              <w:t>Capital in excess of par value</w:t>
            </w:r>
          </w:p>
        </w:tc>
        <w:tc>
          <w:tcPr>
            <w:tcW w:w="28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4F8ABE"/>
              </w:rPr>
              <w:t>3,227.2</w:t>
            </w:r>
          </w:p>
        </w:tc>
        <w:tc>
          <w:tcPr>
            <w:tcW w:w="280" w:type="dxa"/>
            <w:vAlign w:val="bottom"/>
          </w:tcPr>
          <w:p>
            <w:pPr>
              <w:spacing w:after="0"/>
              <w:rPr>
                <w:sz w:val="16"/>
                <w:szCs w:val="16"/>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3,186.7</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Retained earnings</w:t>
            </w:r>
          </w:p>
        </w:tc>
        <w:tc>
          <w:tcPr>
            <w:tcW w:w="2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4F8ABE"/>
              </w:rPr>
              <w:t>2,291.3</w:t>
            </w:r>
          </w:p>
        </w:tc>
        <w:tc>
          <w:tcPr>
            <w:tcW w:w="28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2"/>
                <w:szCs w:val="12"/>
                <w:color w:val="282A32"/>
              </w:rPr>
              <w:t>1,966.0</w:t>
            </w:r>
          </w:p>
        </w:tc>
        <w:tc>
          <w:tcPr>
            <w:tcW w:w="0" w:type="dxa"/>
            <w:vAlign w:val="bottom"/>
          </w:tcPr>
          <w:p>
            <w:pPr>
              <w:spacing w:after="0"/>
              <w:rPr>
                <w:sz w:val="1"/>
                <w:szCs w:val="1"/>
                <w:color w:val="auto"/>
              </w:rPr>
            </w:pPr>
          </w:p>
        </w:tc>
      </w:tr>
      <w:tr>
        <w:trPr>
          <w:trHeight w:val="238"/>
        </w:trPr>
        <w:tc>
          <w:tcPr>
            <w:tcW w:w="9400" w:type="dxa"/>
            <w:vAlign w:val="bottom"/>
          </w:tcPr>
          <w:p>
            <w:pPr>
              <w:ind w:left="20"/>
              <w:spacing w:after="0"/>
              <w:rPr>
                <w:sz w:val="20"/>
                <w:szCs w:val="20"/>
                <w:color w:val="auto"/>
              </w:rPr>
            </w:pPr>
            <w:r>
              <w:rPr>
                <w:rFonts w:ascii="Arial" w:cs="Arial" w:eastAsia="Arial" w:hAnsi="Arial"/>
                <w:sz w:val="12"/>
                <w:szCs w:val="12"/>
                <w:color w:val="282A32"/>
              </w:rPr>
              <w:t>Accumulated other comprehensive loss</w:t>
            </w:r>
          </w:p>
        </w:tc>
        <w:tc>
          <w:tcPr>
            <w:tcW w:w="2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2"/>
                <w:szCs w:val="12"/>
                <w:color w:val="4F8ABE"/>
              </w:rPr>
              <w:t>(426.1)</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282A32"/>
              </w:rPr>
              <w:t>(286.0)</w:t>
            </w:r>
          </w:p>
        </w:tc>
        <w:tc>
          <w:tcPr>
            <w:tcW w:w="0" w:type="dxa"/>
            <w:vAlign w:val="bottom"/>
          </w:tcPr>
          <w:p>
            <w:pPr>
              <w:spacing w:after="0"/>
              <w:rPr>
                <w:sz w:val="1"/>
                <w:szCs w:val="1"/>
                <w:color w:val="auto"/>
              </w:rPr>
            </w:pPr>
          </w:p>
        </w:tc>
      </w:tr>
      <w:tr>
        <w:trPr>
          <w:trHeight w:val="246"/>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Treasury stock at cost, 48,146,658 and 41,466,590 shares, respectively</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4F8ABE"/>
              </w:rPr>
              <w:t>(2,731.7)</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(2,243.2)</w:t>
            </w:r>
          </w:p>
        </w:tc>
        <w:tc>
          <w:tcPr>
            <w:tcW w:w="0" w:type="dxa"/>
            <w:vAlign w:val="bottom"/>
          </w:tcPr>
          <w:p>
            <w:pPr>
              <w:spacing w:after="0"/>
              <w:rPr>
                <w:sz w:val="1"/>
                <w:szCs w:val="1"/>
                <w:color w:val="auto"/>
              </w:rPr>
            </w:pPr>
          </w:p>
        </w:tc>
      </w:tr>
      <w:tr>
        <w:trPr>
          <w:trHeight w:val="177"/>
        </w:trPr>
        <w:tc>
          <w:tcPr>
            <w:tcW w:w="94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282A32"/>
              </w:rPr>
              <w:t>Total ManpowerGroup shareholders' equity</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2,361.9</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2,624.7</w:t>
            </w:r>
          </w:p>
        </w:tc>
        <w:tc>
          <w:tcPr>
            <w:tcW w:w="0" w:type="dxa"/>
            <w:vAlign w:val="bottom"/>
          </w:tcPr>
          <w:p>
            <w:pPr>
              <w:spacing w:after="0"/>
              <w:rPr>
                <w:sz w:val="1"/>
                <w:szCs w:val="1"/>
                <w:color w:val="auto"/>
              </w:rPr>
            </w:pPr>
          </w:p>
        </w:tc>
      </w:tr>
      <w:tr>
        <w:trPr>
          <w:trHeight w:val="177"/>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Noncontrolling interests</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84.5</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67.8</w:t>
            </w:r>
          </w:p>
        </w:tc>
        <w:tc>
          <w:tcPr>
            <w:tcW w:w="0" w:type="dxa"/>
            <w:vAlign w:val="bottom"/>
          </w:tcPr>
          <w:p>
            <w:pPr>
              <w:spacing w:after="0"/>
              <w:rPr>
                <w:sz w:val="1"/>
                <w:szCs w:val="1"/>
                <w:color w:val="auto"/>
              </w:rPr>
            </w:pPr>
          </w:p>
        </w:tc>
      </w:tr>
      <w:tr>
        <w:trPr>
          <w:trHeight w:val="177"/>
        </w:trPr>
        <w:tc>
          <w:tcPr>
            <w:tcW w:w="94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282A32"/>
              </w:rPr>
              <w:t>Total shareholders’ equity</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2,446.4</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2,692.5</w:t>
            </w:r>
          </w:p>
        </w:tc>
        <w:tc>
          <w:tcPr>
            <w:tcW w:w="0" w:type="dxa"/>
            <w:vAlign w:val="bottom"/>
          </w:tcPr>
          <w:p>
            <w:pPr>
              <w:spacing w:after="0"/>
              <w:rPr>
                <w:sz w:val="1"/>
                <w:szCs w:val="1"/>
                <w:color w:val="auto"/>
              </w:rPr>
            </w:pPr>
          </w:p>
        </w:tc>
      </w:tr>
      <w:tr>
        <w:trPr>
          <w:trHeight w:val="177"/>
        </w:trPr>
        <w:tc>
          <w:tcPr>
            <w:tcW w:w="94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282A32"/>
              </w:rPr>
              <w:t>Total liabilities and shareholders’ equity</w:t>
            </w:r>
          </w:p>
        </w:tc>
        <w:tc>
          <w:tcPr>
            <w:tcW w:w="2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4F8ABE"/>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7,574.2</w:t>
            </w:r>
          </w:p>
        </w:tc>
        <w:tc>
          <w:tcPr>
            <w:tcW w:w="2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282A32"/>
              </w:rPr>
              <w:t>$</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7,517.5</w:t>
            </w:r>
          </w:p>
        </w:tc>
        <w:tc>
          <w:tcPr>
            <w:tcW w:w="0" w:type="dxa"/>
            <w:vAlign w:val="bottom"/>
          </w:tcPr>
          <w:p>
            <w:pPr>
              <w:spacing w:after="0"/>
              <w:rPr>
                <w:sz w:val="1"/>
                <w:szCs w:val="1"/>
                <w:color w:val="auto"/>
              </w:rPr>
            </w:pPr>
          </w:p>
        </w:tc>
      </w:tr>
      <w:tr>
        <w:trPr>
          <w:trHeight w:val="91"/>
        </w:trPr>
        <w:tc>
          <w:tcPr>
            <w:tcW w:w="9400" w:type="dxa"/>
            <w:vAlign w:val="bottom"/>
            <w:vMerge w:val="restart"/>
          </w:tcPr>
          <w:p>
            <w:pPr>
              <w:spacing w:after="0"/>
              <w:rPr>
                <w:sz w:val="20"/>
                <w:szCs w:val="20"/>
                <w:color w:val="auto"/>
              </w:rPr>
            </w:pPr>
            <w:r>
              <w:rPr>
                <w:rFonts w:ascii="Arial" w:cs="Arial" w:eastAsia="Arial" w:hAnsi="Arial"/>
                <w:sz w:val="11"/>
                <w:szCs w:val="11"/>
                <w:color w:val="282A32"/>
              </w:rPr>
              <w:t>The accompanying Notes to Consolidated Financial Statements are an integral part of these statements.</w:t>
            </w:r>
          </w:p>
        </w:tc>
        <w:tc>
          <w:tcPr>
            <w:tcW w:w="280" w:type="dxa"/>
            <w:vAlign w:val="bottom"/>
            <w:shd w:val="clear" w:color="auto" w:fill="2989B9"/>
          </w:tcPr>
          <w:p>
            <w:pPr>
              <w:spacing w:after="0"/>
              <w:rPr>
                <w:sz w:val="7"/>
                <w:szCs w:val="7"/>
                <w:color w:val="auto"/>
              </w:rPr>
            </w:pPr>
          </w:p>
        </w:tc>
        <w:tc>
          <w:tcPr>
            <w:tcW w:w="760" w:type="dxa"/>
            <w:vAlign w:val="bottom"/>
            <w:shd w:val="clear" w:color="auto" w:fill="2989B9"/>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9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9"/>
        </w:trPr>
        <w:tc>
          <w:tcPr>
            <w:tcW w:w="9400" w:type="dxa"/>
            <w:vAlign w:val="bottom"/>
          </w:tcPr>
          <w:p>
            <w:pPr>
              <w:ind w:left="40"/>
              <w:spacing w:after="0"/>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48</w:t>
            </w:r>
          </w:p>
        </w:tc>
        <w:tc>
          <w:tcPr>
            <w:tcW w:w="28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9"/>
                <w:szCs w:val="9"/>
                <w:color w:val="auto"/>
              </w:rPr>
              <w:t>Consolidated Balance Sheets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5973445</wp:posOffset>
            </wp:positionH>
            <wp:positionV relativeFrom="paragraph">
              <wp:posOffset>-1999615</wp:posOffset>
            </wp:positionV>
            <wp:extent cx="657225" cy="137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7225" cy="1372870"/>
                    </a:xfrm>
                    <a:prstGeom prst="rect">
                      <a:avLst/>
                    </a:prstGeom>
                    <a:noFill/>
                  </pic:spPr>
                </pic:pic>
              </a:graphicData>
            </a:graphic>
          </wp:anchor>
        </w:drawing>
      </w:r>
    </w:p>
    <w:p>
      <w:pPr>
        <w:sectPr>
          <w:pgSz w:w="11900" w:h="16838" w:orient="portrait"/>
          <w:cols w:equalWidth="0" w:num="1">
            <w:col w:w="11460"/>
          </w:cols>
          <w:pgMar w:left="220" w:top="352" w:right="21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2989B9"/>
        </w:rPr>
        <w:t>CONSOLIDATED STATEMENTS OF CASH FLOWS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4A89BE"/>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Year Ended December 31</w:t>
            </w:r>
          </w:p>
        </w:tc>
        <w:tc>
          <w:tcPr>
            <w:tcW w:w="120" w:type="dxa"/>
            <w:vAlign w:val="bottom"/>
            <w:tcBorders>
              <w:bottom w:val="single" w:sz="8" w:color="auto"/>
            </w:tcBorders>
            <w:shd w:val="clear" w:color="auto" w:fill="E1F4FD"/>
          </w:tcPr>
          <w:p>
            <w:pPr>
              <w:spacing w:after="0"/>
              <w:rPr>
                <w:sz w:val="13"/>
                <w:szCs w:val="13"/>
                <w:color w:val="auto"/>
              </w:rPr>
            </w:pPr>
          </w:p>
        </w:tc>
        <w:tc>
          <w:tcPr>
            <w:tcW w:w="9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2989B9"/>
              </w:rPr>
              <w:t>2016</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282A32"/>
              </w:rPr>
              <w:t>2015</w:t>
            </w: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282A32"/>
              </w:rPr>
              <w:t>2014</w:t>
            </w:r>
          </w:p>
        </w:tc>
      </w:tr>
      <w:tr>
        <w:trPr>
          <w:trHeight w:val="186"/>
        </w:trPr>
        <w:tc>
          <w:tcPr>
            <w:tcW w:w="8380" w:type="dxa"/>
            <w:vAlign w:val="bottom"/>
          </w:tcPr>
          <w:p>
            <w:pPr>
              <w:ind w:left="20"/>
              <w:spacing w:after="0"/>
              <w:rPr>
                <w:sz w:val="20"/>
                <w:szCs w:val="20"/>
                <w:color w:val="auto"/>
              </w:rPr>
            </w:pPr>
            <w:r>
              <w:rPr>
                <w:rFonts w:ascii="Arial" w:cs="Arial" w:eastAsia="Arial" w:hAnsi="Arial"/>
                <w:sz w:val="12"/>
                <w:szCs w:val="12"/>
                <w:color w:val="2989B9"/>
              </w:rPr>
              <w:t>Cash Flows from Operating Activities</w:t>
            </w:r>
          </w:p>
        </w:tc>
        <w:tc>
          <w:tcPr>
            <w:tcW w:w="120" w:type="dxa"/>
            <w:vAlign w:val="bottom"/>
            <w:shd w:val="clear" w:color="auto" w:fill="E1F4FD"/>
          </w:tcPr>
          <w:p>
            <w:pPr>
              <w:spacing w:after="0"/>
              <w:rPr>
                <w:sz w:val="16"/>
                <w:szCs w:val="16"/>
                <w:color w:val="auto"/>
              </w:rPr>
            </w:pPr>
          </w:p>
        </w:tc>
        <w:tc>
          <w:tcPr>
            <w:tcW w:w="920" w:type="dxa"/>
            <w:vAlign w:val="bottom"/>
            <w:shd w:val="clear" w:color="auto" w:fill="E1F4FD"/>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Net earnings</w:t>
            </w:r>
          </w:p>
        </w:tc>
        <w:tc>
          <w:tcPr>
            <w:tcW w:w="120" w:type="dxa"/>
            <w:vAlign w:val="bottom"/>
            <w:shd w:val="clear" w:color="auto" w:fill="E1F4FD"/>
          </w:tcPr>
          <w:p>
            <w:pPr>
              <w:jc w:val="right"/>
              <w:spacing w:after="0"/>
              <w:rPr>
                <w:sz w:val="20"/>
                <w:szCs w:val="20"/>
                <w:color w:val="auto"/>
              </w:rPr>
            </w:pPr>
            <w:r>
              <w:rPr>
                <w:rFonts w:ascii="Arial" w:cs="Arial" w:eastAsia="Arial" w:hAnsi="Arial"/>
                <w:sz w:val="12"/>
                <w:szCs w:val="12"/>
                <w:color w:val="4F8ABE"/>
                <w:w w:val="89"/>
              </w:rPr>
              <w:t>$</w:t>
            </w:r>
          </w:p>
        </w:tc>
        <w:tc>
          <w:tcPr>
            <w:tcW w:w="92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443.7</w:t>
            </w:r>
          </w:p>
        </w:tc>
        <w:tc>
          <w:tcPr>
            <w:tcW w:w="320" w:type="dxa"/>
            <w:vAlign w:val="bottom"/>
          </w:tcPr>
          <w:p>
            <w:pPr>
              <w:jc w:val="right"/>
              <w:ind w:right="178"/>
              <w:spacing w:after="0"/>
              <w:rPr>
                <w:sz w:val="20"/>
                <w:szCs w:val="20"/>
                <w:color w:val="auto"/>
              </w:rPr>
            </w:pPr>
            <w:r>
              <w:rPr>
                <w:rFonts w:ascii="Arial" w:cs="Arial" w:eastAsia="Arial" w:hAnsi="Arial"/>
                <w:sz w:val="12"/>
                <w:szCs w:val="12"/>
                <w:color w:val="282A32"/>
                <w:w w:val="89"/>
              </w:rPr>
              <w:t>$</w:t>
            </w: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419.2</w:t>
            </w:r>
          </w:p>
        </w:tc>
        <w:tc>
          <w:tcPr>
            <w:tcW w:w="340" w:type="dxa"/>
            <w:vAlign w:val="bottom"/>
          </w:tcPr>
          <w:p>
            <w:pPr>
              <w:jc w:val="right"/>
              <w:ind w:right="158"/>
              <w:spacing w:after="0"/>
              <w:rPr>
                <w:sz w:val="20"/>
                <w:szCs w:val="20"/>
                <w:color w:val="auto"/>
              </w:rPr>
            </w:pPr>
            <w:r>
              <w:rPr>
                <w:rFonts w:ascii="Arial" w:cs="Arial" w:eastAsia="Arial" w:hAnsi="Arial"/>
                <w:sz w:val="12"/>
                <w:szCs w:val="12"/>
                <w:color w:val="282A32"/>
              </w:rPr>
              <w:t>$</w:t>
            </w: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427.6</w:t>
            </w: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Adjustments to reconcile net earnings to net cash provided by operating activities:</w:t>
            </w:r>
          </w:p>
        </w:tc>
        <w:tc>
          <w:tcPr>
            <w:tcW w:w="120" w:type="dxa"/>
            <w:vAlign w:val="bottom"/>
            <w:shd w:val="clear" w:color="auto" w:fill="E1F4FD"/>
          </w:tcPr>
          <w:p>
            <w:pPr>
              <w:spacing w:after="0"/>
              <w:rPr>
                <w:sz w:val="20"/>
                <w:szCs w:val="20"/>
                <w:color w:val="auto"/>
              </w:rPr>
            </w:pPr>
          </w:p>
        </w:tc>
        <w:tc>
          <w:tcPr>
            <w:tcW w:w="920" w:type="dxa"/>
            <w:vAlign w:val="bottom"/>
            <w:shd w:val="clear" w:color="auto" w:fill="E1F4FD"/>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2"/>
        </w:trPr>
        <w:tc>
          <w:tcPr>
            <w:tcW w:w="8380" w:type="dxa"/>
            <w:vAlign w:val="bottom"/>
          </w:tcPr>
          <w:p>
            <w:pPr>
              <w:ind w:left="240"/>
              <w:spacing w:after="0"/>
              <w:rPr>
                <w:sz w:val="20"/>
                <w:szCs w:val="20"/>
                <w:color w:val="auto"/>
              </w:rPr>
            </w:pPr>
            <w:r>
              <w:rPr>
                <w:rFonts w:ascii="Arial" w:cs="Arial" w:eastAsia="Arial" w:hAnsi="Arial"/>
                <w:sz w:val="12"/>
                <w:szCs w:val="12"/>
                <w:color w:val="282A32"/>
              </w:rPr>
              <w:t>Depreciation and amortization</w:t>
            </w:r>
          </w:p>
        </w:tc>
        <w:tc>
          <w:tcPr>
            <w:tcW w:w="120" w:type="dxa"/>
            <w:vAlign w:val="bottom"/>
            <w:shd w:val="clear" w:color="auto" w:fill="E1F4FD"/>
          </w:tcPr>
          <w:p>
            <w:pPr>
              <w:spacing w:after="0"/>
              <w:rPr>
                <w:sz w:val="17"/>
                <w:szCs w:val="17"/>
                <w:color w:val="auto"/>
              </w:rPr>
            </w:pPr>
          </w:p>
        </w:tc>
        <w:tc>
          <w:tcPr>
            <w:tcW w:w="92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85.3</w:t>
            </w:r>
          </w:p>
        </w:tc>
        <w:tc>
          <w:tcPr>
            <w:tcW w:w="320" w:type="dxa"/>
            <w:vAlign w:val="bottom"/>
          </w:tcPr>
          <w:p>
            <w:pPr>
              <w:spacing w:after="0"/>
              <w:rPr>
                <w:sz w:val="17"/>
                <w:szCs w:val="17"/>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77.7</w:t>
            </w:r>
          </w:p>
        </w:tc>
        <w:tc>
          <w:tcPr>
            <w:tcW w:w="340" w:type="dxa"/>
            <w:vAlign w:val="bottom"/>
          </w:tcPr>
          <w:p>
            <w:pPr>
              <w:spacing w:after="0"/>
              <w:rPr>
                <w:sz w:val="17"/>
                <w:szCs w:val="17"/>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83.8</w:t>
            </w:r>
          </w:p>
        </w:tc>
      </w:tr>
      <w:tr>
        <w:trPr>
          <w:trHeight w:val="170"/>
        </w:trPr>
        <w:tc>
          <w:tcPr>
            <w:tcW w:w="8380" w:type="dxa"/>
            <w:vAlign w:val="bottom"/>
          </w:tcPr>
          <w:p>
            <w:pPr>
              <w:ind w:left="240"/>
              <w:spacing w:after="0"/>
              <w:rPr>
                <w:sz w:val="20"/>
                <w:szCs w:val="20"/>
                <w:color w:val="auto"/>
              </w:rPr>
            </w:pPr>
            <w:r>
              <w:rPr>
                <w:rFonts w:ascii="Arial" w:cs="Arial" w:eastAsia="Arial" w:hAnsi="Arial"/>
                <w:sz w:val="12"/>
                <w:szCs w:val="12"/>
                <w:color w:val="282A32"/>
              </w:rPr>
              <w:t>Deferred income taxes</w:t>
            </w:r>
          </w:p>
        </w:tc>
        <w:tc>
          <w:tcPr>
            <w:tcW w:w="120" w:type="dxa"/>
            <w:vAlign w:val="bottom"/>
          </w:tcPr>
          <w:p>
            <w:pPr>
              <w:spacing w:after="0"/>
              <w:rPr>
                <w:sz w:val="14"/>
                <w:szCs w:val="14"/>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4F8ABE"/>
              </w:rPr>
              <w:t>74.0</w:t>
            </w:r>
          </w:p>
        </w:tc>
        <w:tc>
          <w:tcPr>
            <w:tcW w:w="320" w:type="dxa"/>
            <w:vAlign w:val="bottom"/>
          </w:tcPr>
          <w:p>
            <w:pPr>
              <w:spacing w:after="0"/>
              <w:rPr>
                <w:sz w:val="14"/>
                <w:szCs w:val="14"/>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91.2</w:t>
            </w:r>
          </w:p>
        </w:tc>
        <w:tc>
          <w:tcPr>
            <w:tcW w:w="34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54.0</w:t>
            </w:r>
          </w:p>
        </w:tc>
      </w:tr>
      <w:tr>
        <w:trPr>
          <w:trHeight w:val="186"/>
        </w:trPr>
        <w:tc>
          <w:tcPr>
            <w:tcW w:w="8380" w:type="dxa"/>
            <w:vAlign w:val="bottom"/>
          </w:tcPr>
          <w:p>
            <w:pPr>
              <w:ind w:left="240"/>
              <w:spacing w:after="0"/>
              <w:rPr>
                <w:sz w:val="20"/>
                <w:szCs w:val="20"/>
                <w:color w:val="auto"/>
              </w:rPr>
            </w:pPr>
            <w:r>
              <w:rPr>
                <w:rFonts w:ascii="Arial" w:cs="Arial" w:eastAsia="Arial" w:hAnsi="Arial"/>
                <w:sz w:val="12"/>
                <w:szCs w:val="12"/>
                <w:color w:val="282A32"/>
              </w:rPr>
              <w:t>Provision for doubtful accounts</w:t>
            </w:r>
          </w:p>
        </w:tc>
        <w:tc>
          <w:tcPr>
            <w:tcW w:w="12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4F8ABE"/>
              </w:rPr>
              <w:t>20.4</w:t>
            </w:r>
          </w:p>
        </w:tc>
        <w:tc>
          <w:tcPr>
            <w:tcW w:w="32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16.3</w:t>
            </w:r>
          </w:p>
        </w:tc>
        <w:tc>
          <w:tcPr>
            <w:tcW w:w="34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18.9</w:t>
            </w:r>
          </w:p>
        </w:tc>
      </w:tr>
      <w:tr>
        <w:trPr>
          <w:trHeight w:val="186"/>
        </w:trPr>
        <w:tc>
          <w:tcPr>
            <w:tcW w:w="8380" w:type="dxa"/>
            <w:vAlign w:val="bottom"/>
          </w:tcPr>
          <w:p>
            <w:pPr>
              <w:ind w:left="240"/>
              <w:spacing w:after="0"/>
              <w:rPr>
                <w:sz w:val="20"/>
                <w:szCs w:val="20"/>
                <w:color w:val="auto"/>
              </w:rPr>
            </w:pPr>
            <w:r>
              <w:rPr>
                <w:rFonts w:ascii="Arial" w:cs="Arial" w:eastAsia="Arial" w:hAnsi="Arial"/>
                <w:sz w:val="12"/>
                <w:szCs w:val="12"/>
                <w:color w:val="282A32"/>
              </w:rPr>
              <w:t>Share-based compensation</w:t>
            </w:r>
          </w:p>
        </w:tc>
        <w:tc>
          <w:tcPr>
            <w:tcW w:w="12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4F8ABE"/>
              </w:rPr>
              <w:t>27.1</w:t>
            </w:r>
          </w:p>
        </w:tc>
        <w:tc>
          <w:tcPr>
            <w:tcW w:w="32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31.1</w:t>
            </w:r>
          </w:p>
        </w:tc>
        <w:tc>
          <w:tcPr>
            <w:tcW w:w="340" w:type="dxa"/>
            <w:vAlign w:val="bottom"/>
          </w:tcPr>
          <w:p>
            <w:pPr>
              <w:spacing w:after="0"/>
              <w:rPr>
                <w:sz w:val="16"/>
                <w:szCs w:val="16"/>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40.6</w:t>
            </w:r>
          </w:p>
        </w:tc>
      </w:tr>
      <w:tr>
        <w:trPr>
          <w:trHeight w:val="186"/>
        </w:trPr>
        <w:tc>
          <w:tcPr>
            <w:tcW w:w="8380" w:type="dxa"/>
            <w:vAlign w:val="bottom"/>
          </w:tcPr>
          <w:p>
            <w:pPr>
              <w:ind w:left="240"/>
              <w:spacing w:after="0"/>
              <w:rPr>
                <w:sz w:val="20"/>
                <w:szCs w:val="20"/>
                <w:color w:val="auto"/>
              </w:rPr>
            </w:pPr>
            <w:r>
              <w:rPr>
                <w:rFonts w:ascii="Arial" w:cs="Arial" w:eastAsia="Arial" w:hAnsi="Arial"/>
                <w:sz w:val="12"/>
                <w:szCs w:val="12"/>
                <w:color w:val="282A32"/>
              </w:rPr>
              <w:t>Excess tax benefit on exercise of share-based awards</w:t>
            </w:r>
          </w:p>
        </w:tc>
        <w:tc>
          <w:tcPr>
            <w:tcW w:w="120" w:type="dxa"/>
            <w:vAlign w:val="bottom"/>
          </w:tcPr>
          <w:p>
            <w:pPr>
              <w:spacing w:after="0"/>
              <w:rPr>
                <w:sz w:val="16"/>
                <w:szCs w:val="16"/>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(0.8)</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(7.4)</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(4.5)</w:t>
            </w: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Change in operating assets and liabilities, excluding the impact of acquisitions:</w:t>
            </w:r>
          </w:p>
        </w:tc>
        <w:tc>
          <w:tcPr>
            <w:tcW w:w="120" w:type="dxa"/>
            <w:vAlign w:val="bottom"/>
            <w:shd w:val="clear" w:color="auto" w:fill="E1F4FD"/>
          </w:tcPr>
          <w:p>
            <w:pPr>
              <w:spacing w:after="0"/>
              <w:rPr>
                <w:sz w:val="20"/>
                <w:szCs w:val="20"/>
                <w:color w:val="auto"/>
              </w:rPr>
            </w:pPr>
          </w:p>
        </w:tc>
        <w:tc>
          <w:tcPr>
            <w:tcW w:w="920" w:type="dxa"/>
            <w:vAlign w:val="bottom"/>
            <w:shd w:val="clear" w:color="auto" w:fill="E1F4FD"/>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2"/>
        </w:trPr>
        <w:tc>
          <w:tcPr>
            <w:tcW w:w="8380" w:type="dxa"/>
            <w:vAlign w:val="bottom"/>
          </w:tcPr>
          <w:p>
            <w:pPr>
              <w:ind w:left="240"/>
              <w:spacing w:after="0"/>
              <w:rPr>
                <w:sz w:val="20"/>
                <w:szCs w:val="20"/>
                <w:color w:val="auto"/>
              </w:rPr>
            </w:pPr>
            <w:r>
              <w:rPr>
                <w:rFonts w:ascii="Arial" w:cs="Arial" w:eastAsia="Arial" w:hAnsi="Arial"/>
                <w:sz w:val="12"/>
                <w:szCs w:val="12"/>
                <w:color w:val="282A32"/>
              </w:rPr>
              <w:t>Accounts receivable</w:t>
            </w:r>
          </w:p>
        </w:tc>
        <w:tc>
          <w:tcPr>
            <w:tcW w:w="120" w:type="dxa"/>
            <w:vAlign w:val="bottom"/>
            <w:shd w:val="clear" w:color="auto" w:fill="E1F4FD"/>
          </w:tcPr>
          <w:p>
            <w:pPr>
              <w:spacing w:after="0"/>
              <w:rPr>
                <w:sz w:val="17"/>
                <w:szCs w:val="17"/>
                <w:color w:val="auto"/>
              </w:rPr>
            </w:pPr>
          </w:p>
        </w:tc>
        <w:tc>
          <w:tcPr>
            <w:tcW w:w="920" w:type="dxa"/>
            <w:vAlign w:val="bottom"/>
            <w:shd w:val="clear" w:color="auto" w:fill="E1F4FD"/>
          </w:tcPr>
          <w:p>
            <w:pPr>
              <w:jc w:val="right"/>
              <w:ind w:right="18"/>
              <w:spacing w:after="0"/>
              <w:rPr>
                <w:sz w:val="20"/>
                <w:szCs w:val="20"/>
                <w:color w:val="auto"/>
              </w:rPr>
            </w:pPr>
            <w:r>
              <w:rPr>
                <w:rFonts w:ascii="Arial" w:cs="Arial" w:eastAsia="Arial" w:hAnsi="Arial"/>
                <w:sz w:val="12"/>
                <w:szCs w:val="12"/>
                <w:color w:val="4F8ABE"/>
              </w:rPr>
              <w:t>(317.2)</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(369.8)</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(270.5)</w:t>
            </w:r>
          </w:p>
        </w:tc>
      </w:tr>
      <w:tr>
        <w:trPr>
          <w:trHeight w:val="170"/>
        </w:trPr>
        <w:tc>
          <w:tcPr>
            <w:tcW w:w="8380" w:type="dxa"/>
            <w:vAlign w:val="bottom"/>
          </w:tcPr>
          <w:p>
            <w:pPr>
              <w:ind w:left="240"/>
              <w:spacing w:after="0"/>
              <w:rPr>
                <w:sz w:val="20"/>
                <w:szCs w:val="20"/>
                <w:color w:val="auto"/>
              </w:rPr>
            </w:pPr>
            <w:r>
              <w:rPr>
                <w:rFonts w:ascii="Arial" w:cs="Arial" w:eastAsia="Arial" w:hAnsi="Arial"/>
                <w:sz w:val="12"/>
                <w:szCs w:val="12"/>
                <w:color w:val="282A32"/>
              </w:rPr>
              <w:t>Other assets</w:t>
            </w:r>
          </w:p>
        </w:tc>
        <w:tc>
          <w:tcPr>
            <w:tcW w:w="120" w:type="dxa"/>
            <w:vAlign w:val="bottom"/>
          </w:tcPr>
          <w:p>
            <w:pPr>
              <w:spacing w:after="0"/>
              <w:rPr>
                <w:sz w:val="14"/>
                <w:szCs w:val="14"/>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(75.3)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(59.7)</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(198.7)</w:t>
            </w:r>
          </w:p>
        </w:tc>
      </w:tr>
      <w:tr>
        <w:trPr>
          <w:trHeight w:val="194"/>
        </w:trPr>
        <w:tc>
          <w:tcPr>
            <w:tcW w:w="83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282A32"/>
              </w:rPr>
              <w:t>Other liabilities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342.8</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312.9</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155.0</w:t>
            </w:r>
          </w:p>
        </w:tc>
      </w:tr>
      <w:tr>
        <w:trPr>
          <w:trHeight w:val="228"/>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Cash provided by operating activities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600.0</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511.5</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306.2</w:t>
            </w:r>
          </w:p>
        </w:tc>
      </w:tr>
      <w:tr>
        <w:trPr>
          <w:trHeight w:val="189"/>
        </w:trPr>
        <w:tc>
          <w:tcPr>
            <w:tcW w:w="8380" w:type="dxa"/>
            <w:vAlign w:val="bottom"/>
          </w:tcPr>
          <w:p>
            <w:pPr>
              <w:ind w:left="20"/>
              <w:spacing w:after="0"/>
              <w:rPr>
                <w:sz w:val="20"/>
                <w:szCs w:val="20"/>
                <w:color w:val="auto"/>
              </w:rPr>
            </w:pPr>
            <w:r>
              <w:rPr>
                <w:rFonts w:ascii="Arial" w:cs="Arial" w:eastAsia="Arial" w:hAnsi="Arial"/>
                <w:sz w:val="12"/>
                <w:szCs w:val="12"/>
                <w:color w:val="2989B9"/>
              </w:rPr>
              <w:t>Cash Flows from Investing Activities</w:t>
            </w:r>
          </w:p>
        </w:tc>
        <w:tc>
          <w:tcPr>
            <w:tcW w:w="120" w:type="dxa"/>
            <w:vAlign w:val="bottom"/>
            <w:shd w:val="clear" w:color="auto" w:fill="E1F4FD"/>
          </w:tcPr>
          <w:p>
            <w:pPr>
              <w:spacing w:after="0"/>
              <w:rPr>
                <w:sz w:val="16"/>
                <w:szCs w:val="16"/>
                <w:color w:val="auto"/>
              </w:rPr>
            </w:pPr>
          </w:p>
        </w:tc>
        <w:tc>
          <w:tcPr>
            <w:tcW w:w="920" w:type="dxa"/>
            <w:vAlign w:val="bottom"/>
            <w:shd w:val="clear" w:color="auto" w:fill="E1F4FD"/>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4"/>
        </w:trPr>
        <w:tc>
          <w:tcPr>
            <w:tcW w:w="8380" w:type="dxa"/>
            <w:vAlign w:val="bottom"/>
          </w:tcPr>
          <w:p>
            <w:pPr>
              <w:ind w:left="20"/>
              <w:spacing w:after="0"/>
              <w:rPr>
                <w:sz w:val="20"/>
                <w:szCs w:val="20"/>
                <w:color w:val="auto"/>
              </w:rPr>
            </w:pPr>
            <w:r>
              <w:rPr>
                <w:rFonts w:ascii="Arial" w:cs="Arial" w:eastAsia="Arial" w:hAnsi="Arial"/>
                <w:sz w:val="12"/>
                <w:szCs w:val="12"/>
                <w:color w:val="282A32"/>
              </w:rPr>
              <w:t>Capital expenditures</w:t>
            </w:r>
          </w:p>
        </w:tc>
        <w:tc>
          <w:tcPr>
            <w:tcW w:w="120" w:type="dxa"/>
            <w:vAlign w:val="bottom"/>
            <w:shd w:val="clear" w:color="auto" w:fill="E1F4FD"/>
          </w:tcPr>
          <w:p>
            <w:pPr>
              <w:spacing w:after="0"/>
              <w:rPr>
                <w:sz w:val="22"/>
                <w:szCs w:val="22"/>
                <w:color w:val="auto"/>
              </w:rPr>
            </w:pPr>
          </w:p>
        </w:tc>
        <w:tc>
          <w:tcPr>
            <w:tcW w:w="920" w:type="dxa"/>
            <w:vAlign w:val="bottom"/>
            <w:shd w:val="clear" w:color="auto" w:fill="E1F4FD"/>
          </w:tcPr>
          <w:p>
            <w:pPr>
              <w:jc w:val="right"/>
              <w:ind w:right="18"/>
              <w:spacing w:after="0"/>
              <w:rPr>
                <w:sz w:val="20"/>
                <w:szCs w:val="20"/>
                <w:color w:val="auto"/>
              </w:rPr>
            </w:pPr>
            <w:r>
              <w:rPr>
                <w:rFonts w:ascii="Arial" w:cs="Arial" w:eastAsia="Arial" w:hAnsi="Arial"/>
                <w:sz w:val="12"/>
                <w:szCs w:val="12"/>
                <w:color w:val="4F8ABE"/>
              </w:rPr>
              <w:t>(56.9)</w:t>
            </w: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(52.3)</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(51.5)</w:t>
            </w:r>
          </w:p>
        </w:tc>
      </w:tr>
      <w:tr>
        <w:trPr>
          <w:trHeight w:val="222"/>
        </w:trPr>
        <w:tc>
          <w:tcPr>
            <w:tcW w:w="8380" w:type="dxa"/>
            <w:vAlign w:val="bottom"/>
          </w:tcPr>
          <w:p>
            <w:pPr>
              <w:ind w:left="20"/>
              <w:spacing w:after="0"/>
              <w:rPr>
                <w:sz w:val="20"/>
                <w:szCs w:val="20"/>
                <w:color w:val="auto"/>
              </w:rPr>
            </w:pPr>
            <w:r>
              <w:rPr>
                <w:rFonts w:ascii="Arial" w:cs="Arial" w:eastAsia="Arial" w:hAnsi="Arial"/>
                <w:sz w:val="12"/>
                <w:szCs w:val="12"/>
                <w:color w:val="282A32"/>
              </w:rPr>
              <w:t>Acquisitions of businesses, net of cash acquired</w:t>
            </w:r>
          </w:p>
        </w:tc>
        <w:tc>
          <w:tcPr>
            <w:tcW w:w="1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(57.6)</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(260.5)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(32.0)</w:t>
            </w:r>
          </w:p>
        </w:tc>
      </w:tr>
      <w:tr>
        <w:trPr>
          <w:trHeight w:val="24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Proceeds from the sale of investments, property and equipment</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4.1</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14.7</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2.1</w:t>
            </w:r>
          </w:p>
        </w:tc>
      </w:tr>
      <w:tr>
        <w:trPr>
          <w:trHeight w:val="228"/>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Cash used in investing activities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4F8ABE"/>
              </w:rPr>
              <w:t>(110.4)</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(298.1)</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(81.4)</w:t>
            </w:r>
          </w:p>
        </w:tc>
      </w:tr>
      <w:tr>
        <w:trPr>
          <w:trHeight w:val="189"/>
        </w:trPr>
        <w:tc>
          <w:tcPr>
            <w:tcW w:w="8380" w:type="dxa"/>
            <w:vAlign w:val="bottom"/>
          </w:tcPr>
          <w:p>
            <w:pPr>
              <w:ind w:left="20"/>
              <w:spacing w:after="0"/>
              <w:rPr>
                <w:sz w:val="20"/>
                <w:szCs w:val="20"/>
                <w:color w:val="auto"/>
              </w:rPr>
            </w:pPr>
            <w:r>
              <w:rPr>
                <w:rFonts w:ascii="Arial" w:cs="Arial" w:eastAsia="Arial" w:hAnsi="Arial"/>
                <w:sz w:val="12"/>
                <w:szCs w:val="12"/>
                <w:color w:val="2989B9"/>
              </w:rPr>
              <w:t>Cash Flows from Financing Activities</w:t>
            </w:r>
          </w:p>
        </w:tc>
        <w:tc>
          <w:tcPr>
            <w:tcW w:w="120" w:type="dxa"/>
            <w:vAlign w:val="bottom"/>
            <w:shd w:val="clear" w:color="auto" w:fill="E1F4FD"/>
          </w:tcPr>
          <w:p>
            <w:pPr>
              <w:spacing w:after="0"/>
              <w:rPr>
                <w:sz w:val="16"/>
                <w:szCs w:val="16"/>
                <w:color w:val="auto"/>
              </w:rPr>
            </w:pPr>
          </w:p>
        </w:tc>
        <w:tc>
          <w:tcPr>
            <w:tcW w:w="920" w:type="dxa"/>
            <w:vAlign w:val="bottom"/>
            <w:shd w:val="clear" w:color="auto" w:fill="E1F4FD"/>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4"/>
        </w:trPr>
        <w:tc>
          <w:tcPr>
            <w:tcW w:w="8380" w:type="dxa"/>
            <w:vAlign w:val="bottom"/>
          </w:tcPr>
          <w:p>
            <w:pPr>
              <w:ind w:left="20"/>
              <w:spacing w:after="0"/>
              <w:rPr>
                <w:sz w:val="20"/>
                <w:szCs w:val="20"/>
                <w:color w:val="auto"/>
              </w:rPr>
            </w:pPr>
            <w:r>
              <w:rPr>
                <w:rFonts w:ascii="Arial" w:cs="Arial" w:eastAsia="Arial" w:hAnsi="Arial"/>
                <w:sz w:val="12"/>
                <w:szCs w:val="12"/>
                <w:color w:val="282A32"/>
              </w:rPr>
              <w:t>Net change in short-term borrowings</w:t>
            </w:r>
          </w:p>
        </w:tc>
        <w:tc>
          <w:tcPr>
            <w:tcW w:w="120" w:type="dxa"/>
            <w:vAlign w:val="bottom"/>
            <w:shd w:val="clear" w:color="auto" w:fill="E1F4FD"/>
          </w:tcPr>
          <w:p>
            <w:pPr>
              <w:spacing w:after="0"/>
              <w:rPr>
                <w:sz w:val="22"/>
                <w:szCs w:val="22"/>
                <w:color w:val="auto"/>
              </w:rPr>
            </w:pPr>
          </w:p>
        </w:tc>
        <w:tc>
          <w:tcPr>
            <w:tcW w:w="920" w:type="dxa"/>
            <w:vAlign w:val="bottom"/>
            <w:shd w:val="clear" w:color="auto" w:fill="E1F4FD"/>
          </w:tcPr>
          <w:p>
            <w:pPr>
              <w:jc w:val="right"/>
              <w:ind w:right="18"/>
              <w:spacing w:after="0"/>
              <w:rPr>
                <w:sz w:val="20"/>
                <w:szCs w:val="20"/>
                <w:color w:val="auto"/>
              </w:rPr>
            </w:pPr>
            <w:r>
              <w:rPr>
                <w:rFonts w:ascii="Arial" w:cs="Arial" w:eastAsia="Arial" w:hAnsi="Arial"/>
                <w:sz w:val="12"/>
                <w:szCs w:val="12"/>
                <w:color w:val="4F8ABE"/>
              </w:rPr>
              <w:t>(0.3)</w:t>
            </w:r>
          </w:p>
        </w:tc>
        <w:tc>
          <w:tcPr>
            <w:tcW w:w="32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4.1</w:t>
            </w:r>
          </w:p>
        </w:tc>
        <w:tc>
          <w:tcPr>
            <w:tcW w:w="340" w:type="dxa"/>
            <w:vAlign w:val="bottom"/>
          </w:tcPr>
          <w:p>
            <w:pPr>
              <w:spacing w:after="0"/>
              <w:rPr>
                <w:sz w:val="22"/>
                <w:szCs w:val="22"/>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16.0</w:t>
            </w:r>
          </w:p>
        </w:tc>
      </w:tr>
      <w:tr>
        <w:trPr>
          <w:trHeight w:val="222"/>
        </w:trPr>
        <w:tc>
          <w:tcPr>
            <w:tcW w:w="8380" w:type="dxa"/>
            <w:vAlign w:val="bottom"/>
          </w:tcPr>
          <w:p>
            <w:pPr>
              <w:ind w:left="20"/>
              <w:spacing w:after="0"/>
              <w:rPr>
                <w:sz w:val="20"/>
                <w:szCs w:val="20"/>
                <w:color w:val="auto"/>
              </w:rPr>
            </w:pPr>
            <w:r>
              <w:rPr>
                <w:rFonts w:ascii="Arial" w:cs="Arial" w:eastAsia="Arial" w:hAnsi="Arial"/>
                <w:sz w:val="12"/>
                <w:szCs w:val="12"/>
                <w:color w:val="282A32"/>
              </w:rPr>
              <w:t>Proceeds from long-term debt</w:t>
            </w:r>
          </w:p>
        </w:tc>
        <w:tc>
          <w:tcPr>
            <w:tcW w:w="12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4F8ABE"/>
              </w:rPr>
              <w:t>—</w:t>
            </w:r>
          </w:p>
        </w:tc>
        <w:tc>
          <w:tcPr>
            <w:tcW w:w="320" w:type="dxa"/>
            <w:vAlign w:val="bottom"/>
          </w:tcPr>
          <w:p>
            <w:pPr>
              <w:spacing w:after="0"/>
              <w:rPr>
                <w:sz w:val="19"/>
                <w:szCs w:val="19"/>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454.0</w:t>
            </w:r>
          </w:p>
        </w:tc>
        <w:tc>
          <w:tcPr>
            <w:tcW w:w="3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w:t>
            </w: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Repayments of long-term debt</w:t>
            </w:r>
          </w:p>
        </w:tc>
        <w:tc>
          <w:tcPr>
            <w:tcW w:w="12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(6.4)</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(2.0)</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(2.6)</w:t>
            </w: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Payments for debt issuance costs</w:t>
            </w:r>
          </w:p>
        </w:tc>
        <w:tc>
          <w:tcPr>
            <w:tcW w:w="120" w:type="dxa"/>
            <w:vAlign w:val="bottom"/>
          </w:tcPr>
          <w:p>
            <w:pPr>
              <w:spacing w:after="0"/>
              <w:rPr>
                <w:sz w:val="20"/>
                <w:szCs w:val="20"/>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4F8ABE"/>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(2.5)</w:t>
            </w:r>
          </w:p>
        </w:tc>
        <w:tc>
          <w:tcPr>
            <w:tcW w:w="340" w:type="dxa"/>
            <w:vAlign w:val="bottom"/>
          </w:tcPr>
          <w:p>
            <w:pPr>
              <w:spacing w:after="0"/>
              <w:rPr>
                <w:sz w:val="20"/>
                <w:szCs w:val="20"/>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w:t>
            </w: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Payments of contingent consideration for acquisitions</w:t>
            </w:r>
          </w:p>
        </w:tc>
        <w:tc>
          <w:tcPr>
            <w:tcW w:w="12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(2.9)</w:t>
            </w:r>
          </w:p>
        </w:tc>
        <w:tc>
          <w:tcPr>
            <w:tcW w:w="320" w:type="dxa"/>
            <w:vAlign w:val="bottom"/>
          </w:tcPr>
          <w:p>
            <w:pPr>
              <w:spacing w:after="0"/>
              <w:rPr>
                <w:sz w:val="20"/>
                <w:szCs w:val="20"/>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w:t>
            </w:r>
          </w:p>
        </w:tc>
        <w:tc>
          <w:tcPr>
            <w:tcW w:w="340" w:type="dxa"/>
            <w:vAlign w:val="bottom"/>
          </w:tcPr>
          <w:p>
            <w:pPr>
              <w:spacing w:after="0"/>
              <w:rPr>
                <w:sz w:val="20"/>
                <w:szCs w:val="20"/>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w:t>
            </w: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Proceeds from share-based awards and other equity transactions</w:t>
            </w:r>
          </w:p>
        </w:tc>
        <w:tc>
          <w:tcPr>
            <w:tcW w:w="120" w:type="dxa"/>
            <w:vAlign w:val="bottom"/>
          </w:tcPr>
          <w:p>
            <w:pPr>
              <w:spacing w:after="0"/>
              <w:rPr>
                <w:sz w:val="20"/>
                <w:szCs w:val="20"/>
                <w:color w:val="auto"/>
              </w:rPr>
            </w:pPr>
          </w:p>
        </w:tc>
        <w:tc>
          <w:tcPr>
            <w:tcW w:w="920" w:type="dxa"/>
            <w:vAlign w:val="bottom"/>
          </w:tcPr>
          <w:p>
            <w:pPr>
              <w:jc w:val="right"/>
              <w:ind w:right="58"/>
              <w:spacing w:after="0"/>
              <w:rPr>
                <w:sz w:val="20"/>
                <w:szCs w:val="20"/>
                <w:color w:val="auto"/>
              </w:rPr>
            </w:pPr>
            <w:r>
              <w:rPr>
                <w:rFonts w:ascii="Arial" w:cs="Arial" w:eastAsia="Arial" w:hAnsi="Arial"/>
                <w:sz w:val="12"/>
                <w:szCs w:val="12"/>
                <w:color w:val="4F8ABE"/>
              </w:rPr>
              <w:t>18.0</w:t>
            </w:r>
          </w:p>
        </w:tc>
        <w:tc>
          <w:tcPr>
            <w:tcW w:w="320" w:type="dxa"/>
            <w:vAlign w:val="bottom"/>
          </w:tcPr>
          <w:p>
            <w:pPr>
              <w:spacing w:after="0"/>
              <w:rPr>
                <w:sz w:val="20"/>
                <w:szCs w:val="20"/>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104.1</w:t>
            </w:r>
          </w:p>
        </w:tc>
        <w:tc>
          <w:tcPr>
            <w:tcW w:w="340" w:type="dxa"/>
            <w:vAlign w:val="bottom"/>
          </w:tcPr>
          <w:p>
            <w:pPr>
              <w:spacing w:after="0"/>
              <w:rPr>
                <w:sz w:val="20"/>
                <w:szCs w:val="20"/>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282A32"/>
              </w:rPr>
              <w:t>25.5</w:t>
            </w: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Other share-based award transactions</w:t>
            </w:r>
          </w:p>
        </w:tc>
        <w:tc>
          <w:tcPr>
            <w:tcW w:w="12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(5.4)</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(0.7)</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(6.3)</w:t>
            </w:r>
          </w:p>
        </w:tc>
      </w:tr>
      <w:tr>
        <w:trPr>
          <w:trHeight w:val="238"/>
        </w:trPr>
        <w:tc>
          <w:tcPr>
            <w:tcW w:w="8380" w:type="dxa"/>
            <w:vAlign w:val="bottom"/>
          </w:tcPr>
          <w:p>
            <w:pPr>
              <w:ind w:left="20"/>
              <w:spacing w:after="0"/>
              <w:rPr>
                <w:sz w:val="20"/>
                <w:szCs w:val="20"/>
                <w:color w:val="auto"/>
              </w:rPr>
            </w:pPr>
            <w:r>
              <w:rPr>
                <w:rFonts w:ascii="Arial" w:cs="Arial" w:eastAsia="Arial" w:hAnsi="Arial"/>
                <w:sz w:val="12"/>
                <w:szCs w:val="12"/>
                <w:color w:val="282A32"/>
              </w:rPr>
              <w:t>Repurchases of common stock</w:t>
            </w:r>
          </w:p>
        </w:tc>
        <w:tc>
          <w:tcPr>
            <w:tcW w:w="12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(482.2)</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(580.2)</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(143.5)</w:t>
            </w:r>
          </w:p>
        </w:tc>
      </w:tr>
      <w:tr>
        <w:trPr>
          <w:trHeight w:val="24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Dividends paid</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4F8ABE"/>
              </w:rPr>
              <w:t>(118.4)</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(121.0)</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(77.3)</w:t>
            </w:r>
          </w:p>
        </w:tc>
      </w:tr>
      <w:tr>
        <w:trPr>
          <w:trHeight w:val="220"/>
        </w:trPr>
        <w:tc>
          <w:tcPr>
            <w:tcW w:w="8380" w:type="dxa"/>
            <w:vAlign w:val="bottom"/>
          </w:tcPr>
          <w:p>
            <w:pPr>
              <w:ind w:left="20"/>
              <w:spacing w:after="0"/>
              <w:rPr>
                <w:sz w:val="20"/>
                <w:szCs w:val="20"/>
                <w:color w:val="auto"/>
              </w:rPr>
            </w:pPr>
            <w:r>
              <w:rPr>
                <w:rFonts w:ascii="Arial" w:cs="Arial" w:eastAsia="Arial" w:hAnsi="Arial"/>
                <w:sz w:val="12"/>
                <w:szCs w:val="12"/>
                <w:color w:val="282A32"/>
              </w:rPr>
              <w:t>Cash used in financing activities</w:t>
            </w:r>
          </w:p>
        </w:tc>
        <w:tc>
          <w:tcPr>
            <w:tcW w:w="1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(597.6)</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282A32"/>
              </w:rPr>
              <w:t>(144.2)</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(188.2)</w:t>
            </w:r>
          </w:p>
        </w:tc>
      </w:tr>
      <w:tr>
        <w:trPr>
          <w:trHeight w:val="24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Effect of exchange rate changes on cash</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4F8ABE"/>
              </w:rPr>
              <w:t>(24.0)</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(37.9)</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(75.0)</w:t>
            </w:r>
          </w:p>
        </w:tc>
      </w:tr>
      <w:tr>
        <w:trPr>
          <w:trHeight w:val="220"/>
        </w:trPr>
        <w:tc>
          <w:tcPr>
            <w:tcW w:w="8380" w:type="dxa"/>
            <w:vAlign w:val="bottom"/>
          </w:tcPr>
          <w:p>
            <w:pPr>
              <w:ind w:left="20"/>
              <w:spacing w:after="0"/>
              <w:rPr>
                <w:sz w:val="20"/>
                <w:szCs w:val="20"/>
                <w:color w:val="auto"/>
              </w:rPr>
            </w:pPr>
            <w:r>
              <w:rPr>
                <w:rFonts w:ascii="Arial" w:cs="Arial" w:eastAsia="Arial" w:hAnsi="Arial"/>
                <w:sz w:val="12"/>
                <w:szCs w:val="12"/>
                <w:color w:val="282A32"/>
              </w:rPr>
              <w:t>Net (decrease) increase in cash and cash equivalents</w:t>
            </w:r>
          </w:p>
        </w:tc>
        <w:tc>
          <w:tcPr>
            <w:tcW w:w="12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Arial" w:cs="Arial" w:eastAsia="Arial" w:hAnsi="Arial"/>
                <w:sz w:val="12"/>
                <w:szCs w:val="12"/>
                <w:color w:val="4F8ABE"/>
              </w:rPr>
              <w:t>(132.0)</w:t>
            </w:r>
          </w:p>
        </w:tc>
        <w:tc>
          <w:tcPr>
            <w:tcW w:w="320" w:type="dxa"/>
            <w:vAlign w:val="bottom"/>
          </w:tcPr>
          <w:p>
            <w:pPr>
              <w:spacing w:after="0"/>
              <w:rPr>
                <w:sz w:val="19"/>
                <w:szCs w:val="19"/>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282A32"/>
              </w:rPr>
              <w:t>31.3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282A32"/>
              </w:rPr>
              <w:t>(38.4)</w:t>
            </w:r>
          </w:p>
        </w:tc>
      </w:tr>
      <w:tr>
        <w:trPr>
          <w:trHeight w:val="24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Cash and cash equivalents, beginning of year</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730.5</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699.2</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737.6</w:t>
            </w:r>
          </w:p>
        </w:tc>
      </w:tr>
      <w:tr>
        <w:trPr>
          <w:trHeight w:val="228"/>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Cash and cash equivalents,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4F8ABE"/>
                <w:w w:val="89"/>
              </w:rPr>
              <w:t>$</w:t>
            </w: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598.5</w:t>
            </w:r>
          </w:p>
        </w:tc>
        <w:tc>
          <w:tcPr>
            <w:tcW w:w="3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282A32"/>
                <w:w w:val="89"/>
              </w:rPr>
              <w:t>$</w:t>
            </w: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730.5</w:t>
            </w: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282A32"/>
              </w:rPr>
              <w:t>$</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699.2</w:t>
            </w:r>
          </w:p>
        </w:tc>
      </w:tr>
      <w:tr>
        <w:trPr>
          <w:trHeight w:val="189"/>
        </w:trPr>
        <w:tc>
          <w:tcPr>
            <w:tcW w:w="8380" w:type="dxa"/>
            <w:vAlign w:val="bottom"/>
          </w:tcPr>
          <w:p>
            <w:pPr>
              <w:ind w:left="20"/>
              <w:spacing w:after="0"/>
              <w:rPr>
                <w:sz w:val="20"/>
                <w:szCs w:val="20"/>
                <w:color w:val="auto"/>
              </w:rPr>
            </w:pPr>
            <w:r>
              <w:rPr>
                <w:rFonts w:ascii="Arial" w:cs="Arial" w:eastAsia="Arial" w:hAnsi="Arial"/>
                <w:sz w:val="12"/>
                <w:szCs w:val="12"/>
                <w:color w:val="2989B9"/>
              </w:rPr>
              <w:t>Supplemental Cash Flow Information</w:t>
            </w:r>
          </w:p>
        </w:tc>
        <w:tc>
          <w:tcPr>
            <w:tcW w:w="120" w:type="dxa"/>
            <w:vAlign w:val="bottom"/>
            <w:shd w:val="clear" w:color="auto" w:fill="E1F4FD"/>
          </w:tcPr>
          <w:p>
            <w:pPr>
              <w:spacing w:after="0"/>
              <w:rPr>
                <w:sz w:val="16"/>
                <w:szCs w:val="16"/>
                <w:color w:val="auto"/>
              </w:rPr>
            </w:pPr>
          </w:p>
        </w:tc>
        <w:tc>
          <w:tcPr>
            <w:tcW w:w="920" w:type="dxa"/>
            <w:vAlign w:val="bottom"/>
            <w:shd w:val="clear" w:color="auto" w:fill="E1F4FD"/>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Interest paid</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w w:val="89"/>
              </w:rPr>
              <w:t>$</w:t>
            </w:r>
          </w:p>
        </w:tc>
        <w:tc>
          <w:tcPr>
            <w:tcW w:w="9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36.6</w:t>
            </w:r>
          </w:p>
        </w:tc>
        <w:tc>
          <w:tcPr>
            <w:tcW w:w="3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282A32"/>
                <w:w w:val="89"/>
              </w:rPr>
              <w:t>$</w:t>
            </w: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32.2</w:t>
            </w: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282A32"/>
              </w:rPr>
              <w:t>$</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36.6</w:t>
            </w:r>
          </w:p>
        </w:tc>
      </w:tr>
      <w:tr>
        <w:trPr>
          <w:trHeight w:val="177"/>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Income taxes paid, net</w:t>
            </w:r>
          </w:p>
        </w:tc>
        <w:tc>
          <w:tcPr>
            <w:tcW w:w="12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w w:val="89"/>
              </w:rPr>
              <w:t>$</w:t>
            </w:r>
          </w:p>
        </w:tc>
        <w:tc>
          <w:tcPr>
            <w:tcW w:w="92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163.9</w:t>
            </w:r>
          </w:p>
        </w:tc>
        <w:tc>
          <w:tcPr>
            <w:tcW w:w="3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282A32"/>
                <w:w w:val="89"/>
              </w:rPr>
              <w:t>$</w:t>
            </w: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75.9</w:t>
            </w: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282A32"/>
              </w:rPr>
              <w:t>$</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rPr>
              <w:t>105.8</w:t>
            </w:r>
          </w:p>
        </w:tc>
      </w:tr>
      <w:tr>
        <w:trPr>
          <w:trHeight w:val="91"/>
        </w:trPr>
        <w:tc>
          <w:tcPr>
            <w:tcW w:w="8380" w:type="dxa"/>
            <w:vAlign w:val="bottom"/>
          </w:tcPr>
          <w:p>
            <w:pPr>
              <w:spacing w:after="0"/>
              <w:rPr>
                <w:sz w:val="7"/>
                <w:szCs w:val="7"/>
                <w:color w:val="auto"/>
              </w:rPr>
            </w:pPr>
          </w:p>
        </w:tc>
        <w:tc>
          <w:tcPr>
            <w:tcW w:w="120" w:type="dxa"/>
            <w:vAlign w:val="bottom"/>
            <w:shd w:val="clear" w:color="auto" w:fill="2989B9"/>
          </w:tcPr>
          <w:p>
            <w:pPr>
              <w:spacing w:after="0"/>
              <w:rPr>
                <w:sz w:val="7"/>
                <w:szCs w:val="7"/>
                <w:color w:val="auto"/>
              </w:rPr>
            </w:pPr>
          </w:p>
        </w:tc>
        <w:tc>
          <w:tcPr>
            <w:tcW w:w="920" w:type="dxa"/>
            <w:vAlign w:val="bottom"/>
            <w:shd w:val="clear" w:color="auto" w:fill="2989B9"/>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5316220</wp:posOffset>
            </wp:positionH>
            <wp:positionV relativeFrom="paragraph">
              <wp:posOffset>-4755515</wp:posOffset>
            </wp:positionV>
            <wp:extent cx="663575" cy="591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75" cy="59118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-4013200</wp:posOffset>
            </wp:positionV>
            <wp:extent cx="663575" cy="512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575" cy="51244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-3362960</wp:posOffset>
            </wp:positionV>
            <wp:extent cx="663575" cy="2884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575" cy="288417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282A32"/>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spacing w:after="0"/>
        <w:tabs>
          <w:tab w:leader="none" w:pos="10300" w:val="left"/>
        </w:tabs>
        <w:rPr>
          <w:sz w:val="20"/>
          <w:szCs w:val="20"/>
          <w:color w:val="auto"/>
        </w:rPr>
      </w:pPr>
      <w:r>
        <w:rPr>
          <w:rFonts w:ascii="Arial" w:cs="Arial" w:eastAsia="Arial" w:hAnsi="Arial"/>
          <w:sz w:val="9"/>
          <w:szCs w:val="9"/>
          <w:color w:val="auto"/>
        </w:rPr>
        <w:t>Consolidated Statements of Cash Flows</w:t>
      </w:r>
      <w:r>
        <w:rPr>
          <w:sz w:val="20"/>
          <w:szCs w:val="20"/>
          <w:color w:val="auto"/>
        </w:rPr>
        <w:tab/>
      </w:r>
      <w:r>
        <w:rPr>
          <w:rFonts w:ascii="Arial" w:cs="Arial" w:eastAsia="Arial" w:hAnsi="Arial"/>
          <w:sz w:val="8"/>
          <w:szCs w:val="8"/>
          <w:b w:val="1"/>
          <w:bCs w:val="1"/>
          <w:color w:val="auto"/>
        </w:rPr>
        <w:t xml:space="preserve">49 </w:t>
      </w:r>
      <w:r>
        <w:rPr>
          <w:rFonts w:ascii="Arial" w:cs="Arial" w:eastAsia="Arial" w:hAnsi="Arial"/>
          <w:sz w:val="8"/>
          <w:szCs w:val="8"/>
          <w:color w:val="auto"/>
        </w:rPr>
        <w:t>| ManpowerGroup</w:t>
      </w:r>
    </w:p>
    <w:p>
      <w:pPr>
        <w:sectPr>
          <w:pgSz w:w="11900" w:h="16838" w:orient="portrait"/>
          <w:cols w:equalWidth="0" w:num="1">
            <w:col w:w="11460"/>
          </w:cols>
          <w:pgMar w:left="220" w:top="352" w:right="21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2989B9"/>
        </w:rPr>
        <w:t>CONSOLIDATED STATEMENTS OF SHAREHOLDERS’ EQUITY</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4A89BE"/>
        </w:rPr>
        <w:t>in millions, except share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20" w:type="dxa"/>
            <w:vAlign w:val="bottom"/>
            <w:gridSpan w:val="4"/>
          </w:tcPr>
          <w:p>
            <w:pPr>
              <w:jc w:val="right"/>
              <w:ind w:right="240"/>
              <w:spacing w:after="0"/>
              <w:rPr>
                <w:sz w:val="20"/>
                <w:szCs w:val="20"/>
                <w:color w:val="auto"/>
              </w:rPr>
            </w:pPr>
            <w:r>
              <w:rPr>
                <w:rFonts w:ascii="Arial" w:cs="Arial" w:eastAsia="Arial" w:hAnsi="Arial"/>
                <w:sz w:val="11"/>
                <w:szCs w:val="11"/>
                <w:color w:val="282A32"/>
              </w:rPr>
              <w:t>ManpowerGroup Shareholders</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0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9"/>
                <w:szCs w:val="9"/>
                <w:color w:val="282A32"/>
                <w:w w:val="97"/>
              </w:rPr>
              <w:t>Common Stock</w:t>
            </w: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5"/>
              <w:spacing w:after="0"/>
              <w:rPr>
                <w:sz w:val="20"/>
                <w:szCs w:val="20"/>
                <w:color w:val="auto"/>
              </w:rPr>
            </w:pPr>
            <w:r>
              <w:rPr>
                <w:rFonts w:ascii="Arial" w:cs="Arial" w:eastAsia="Arial" w:hAnsi="Arial"/>
                <w:sz w:val="9"/>
                <w:szCs w:val="9"/>
                <w:color w:val="282A32"/>
              </w:rPr>
              <w:t>Accumulated</w:t>
            </w: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100" w:type="dxa"/>
            <w:vAlign w:val="bottom"/>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jc w:val="right"/>
              <w:ind w:right="21"/>
              <w:spacing w:after="0" w:line="92" w:lineRule="exact"/>
              <w:rPr>
                <w:sz w:val="20"/>
                <w:szCs w:val="20"/>
                <w:color w:val="auto"/>
              </w:rPr>
            </w:pPr>
            <w:r>
              <w:rPr>
                <w:rFonts w:ascii="Arial" w:cs="Arial" w:eastAsia="Arial" w:hAnsi="Arial"/>
                <w:sz w:val="9"/>
                <w:szCs w:val="9"/>
                <w:color w:val="282A32"/>
              </w:rPr>
              <w:t>Capital in</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jc w:val="right"/>
              <w:ind w:right="25"/>
              <w:spacing w:after="0" w:line="92" w:lineRule="exact"/>
              <w:rPr>
                <w:sz w:val="20"/>
                <w:szCs w:val="20"/>
                <w:color w:val="auto"/>
              </w:rPr>
            </w:pPr>
            <w:r>
              <w:rPr>
                <w:rFonts w:ascii="Arial" w:cs="Arial" w:eastAsia="Arial" w:hAnsi="Arial"/>
                <w:sz w:val="9"/>
                <w:szCs w:val="9"/>
                <w:color w:val="282A32"/>
              </w:rPr>
              <w:t>Other</w:t>
            </w: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2"/>
          </w:tcPr>
          <w:p>
            <w:pPr>
              <w:jc w:val="right"/>
              <w:ind w:right="220"/>
              <w:spacing w:after="0" w:line="92" w:lineRule="exact"/>
              <w:rPr>
                <w:sz w:val="20"/>
                <w:szCs w:val="20"/>
                <w:color w:val="auto"/>
              </w:rPr>
            </w:pPr>
            <w:r>
              <w:rPr>
                <w:rFonts w:ascii="Arial" w:cs="Arial" w:eastAsia="Arial" w:hAnsi="Arial"/>
                <w:sz w:val="9"/>
                <w:szCs w:val="9"/>
                <w:color w:val="282A32"/>
              </w:rPr>
              <w:t>Non-</w:t>
            </w: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jc w:val="right"/>
              <w:ind w:right="21"/>
              <w:spacing w:after="0" w:line="96" w:lineRule="exact"/>
              <w:rPr>
                <w:sz w:val="20"/>
                <w:szCs w:val="20"/>
                <w:color w:val="auto"/>
              </w:rPr>
            </w:pPr>
            <w:r>
              <w:rPr>
                <w:rFonts w:ascii="Arial" w:cs="Arial" w:eastAsia="Arial" w:hAnsi="Arial"/>
                <w:sz w:val="9"/>
                <w:szCs w:val="9"/>
                <w:color w:val="282A32"/>
              </w:rPr>
              <w:t>Excess of</w:t>
            </w:r>
          </w:p>
        </w:tc>
        <w:tc>
          <w:tcPr>
            <w:tcW w:w="260" w:type="dxa"/>
            <w:vAlign w:val="bottom"/>
          </w:tcPr>
          <w:p>
            <w:pPr>
              <w:spacing w:after="0"/>
              <w:rPr>
                <w:sz w:val="8"/>
                <w:szCs w:val="8"/>
                <w:color w:val="auto"/>
              </w:rPr>
            </w:pPr>
          </w:p>
        </w:tc>
        <w:tc>
          <w:tcPr>
            <w:tcW w:w="660" w:type="dxa"/>
            <w:vAlign w:val="bottom"/>
          </w:tcPr>
          <w:p>
            <w:pPr>
              <w:jc w:val="right"/>
              <w:ind w:right="41"/>
              <w:spacing w:after="0" w:line="96" w:lineRule="exact"/>
              <w:rPr>
                <w:sz w:val="20"/>
                <w:szCs w:val="20"/>
                <w:color w:val="auto"/>
              </w:rPr>
            </w:pPr>
            <w:r>
              <w:rPr>
                <w:rFonts w:ascii="Arial" w:cs="Arial" w:eastAsia="Arial" w:hAnsi="Arial"/>
                <w:sz w:val="9"/>
                <w:szCs w:val="9"/>
                <w:color w:val="282A32"/>
              </w:rPr>
              <w:t>Retained</w:t>
            </w:r>
          </w:p>
        </w:tc>
        <w:tc>
          <w:tcPr>
            <w:tcW w:w="300" w:type="dxa"/>
            <w:vAlign w:val="bottom"/>
          </w:tcPr>
          <w:p>
            <w:pPr>
              <w:spacing w:after="0"/>
              <w:rPr>
                <w:sz w:val="8"/>
                <w:szCs w:val="8"/>
                <w:color w:val="auto"/>
              </w:rPr>
            </w:pPr>
          </w:p>
        </w:tc>
        <w:tc>
          <w:tcPr>
            <w:tcW w:w="940" w:type="dxa"/>
            <w:vAlign w:val="bottom"/>
          </w:tcPr>
          <w:p>
            <w:pPr>
              <w:jc w:val="right"/>
              <w:ind w:right="25"/>
              <w:spacing w:after="0" w:line="96" w:lineRule="exact"/>
              <w:rPr>
                <w:sz w:val="20"/>
                <w:szCs w:val="20"/>
                <w:color w:val="auto"/>
              </w:rPr>
            </w:pPr>
            <w:r>
              <w:rPr>
                <w:rFonts w:ascii="Arial" w:cs="Arial" w:eastAsia="Arial" w:hAnsi="Arial"/>
                <w:sz w:val="9"/>
                <w:szCs w:val="9"/>
                <w:color w:val="282A32"/>
              </w:rPr>
              <w:t>Comprehensive</w:t>
            </w:r>
          </w:p>
        </w:tc>
        <w:tc>
          <w:tcPr>
            <w:tcW w:w="300" w:type="dxa"/>
            <w:vAlign w:val="bottom"/>
          </w:tcPr>
          <w:p>
            <w:pPr>
              <w:spacing w:after="0"/>
              <w:rPr>
                <w:sz w:val="8"/>
                <w:szCs w:val="8"/>
                <w:color w:val="auto"/>
              </w:rPr>
            </w:pPr>
          </w:p>
        </w:tc>
        <w:tc>
          <w:tcPr>
            <w:tcW w:w="880" w:type="dxa"/>
            <w:vAlign w:val="bottom"/>
            <w:gridSpan w:val="2"/>
          </w:tcPr>
          <w:p>
            <w:pPr>
              <w:jc w:val="right"/>
              <w:ind w:right="240"/>
              <w:spacing w:after="0" w:line="96" w:lineRule="exact"/>
              <w:rPr>
                <w:sz w:val="20"/>
                <w:szCs w:val="20"/>
                <w:color w:val="auto"/>
              </w:rPr>
            </w:pPr>
            <w:r>
              <w:rPr>
                <w:rFonts w:ascii="Arial" w:cs="Arial" w:eastAsia="Arial" w:hAnsi="Arial"/>
                <w:sz w:val="9"/>
                <w:szCs w:val="9"/>
                <w:color w:val="282A32"/>
              </w:rPr>
              <w:t>Treasury</w:t>
            </w:r>
          </w:p>
        </w:tc>
        <w:tc>
          <w:tcPr>
            <w:tcW w:w="180" w:type="dxa"/>
            <w:vAlign w:val="bottom"/>
          </w:tcPr>
          <w:p>
            <w:pPr>
              <w:spacing w:after="0"/>
              <w:rPr>
                <w:sz w:val="8"/>
                <w:szCs w:val="8"/>
                <w:color w:val="auto"/>
              </w:rPr>
            </w:pPr>
          </w:p>
        </w:tc>
        <w:tc>
          <w:tcPr>
            <w:tcW w:w="720" w:type="dxa"/>
            <w:vAlign w:val="bottom"/>
            <w:gridSpan w:val="2"/>
          </w:tcPr>
          <w:p>
            <w:pPr>
              <w:jc w:val="right"/>
              <w:ind w:right="220"/>
              <w:spacing w:after="0" w:line="96" w:lineRule="exact"/>
              <w:rPr>
                <w:sz w:val="20"/>
                <w:szCs w:val="20"/>
                <w:color w:val="auto"/>
              </w:rPr>
            </w:pPr>
            <w:r>
              <w:rPr>
                <w:rFonts w:ascii="Arial" w:cs="Arial" w:eastAsia="Arial" w:hAnsi="Arial"/>
                <w:sz w:val="9"/>
                <w:szCs w:val="9"/>
                <w:color w:val="282A32"/>
              </w:rPr>
              <w:t>controlling</w:t>
            </w: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9"/>
                <w:szCs w:val="9"/>
                <w:color w:val="282A32"/>
              </w:rPr>
              <w:t>Shares Issued</w:t>
            </w: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9"/>
                <w:szCs w:val="9"/>
                <w:color w:val="282A32"/>
              </w:rPr>
              <w:t>Par Value</w:t>
            </w: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9"/>
                <w:szCs w:val="9"/>
                <w:color w:val="282A32"/>
              </w:rPr>
              <w:t>Par Value</w:t>
            </w:r>
          </w:p>
        </w:tc>
        <w:tc>
          <w:tcPr>
            <w:tcW w:w="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9"/>
                <w:szCs w:val="9"/>
                <w:color w:val="282A32"/>
              </w:rPr>
              <w:t>Earnings</w:t>
            </w: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25"/>
              <w:spacing w:after="0"/>
              <w:rPr>
                <w:sz w:val="20"/>
                <w:szCs w:val="20"/>
                <w:color w:val="auto"/>
              </w:rPr>
            </w:pPr>
            <w:r>
              <w:rPr>
                <w:rFonts w:ascii="Arial" w:cs="Arial" w:eastAsia="Arial" w:hAnsi="Arial"/>
                <w:sz w:val="9"/>
                <w:szCs w:val="9"/>
                <w:color w:val="282A32"/>
              </w:rPr>
              <w:t>(Loss) Income</w:t>
            </w: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9"/>
                <w:szCs w:val="9"/>
                <w:color w:val="282A32"/>
              </w:rPr>
              <w:t>Stock</w:t>
            </w: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9"/>
                <w:szCs w:val="9"/>
                <w:color w:val="282A32"/>
              </w:rPr>
              <w:t>Interests</w:t>
            </w: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9"/>
                <w:szCs w:val="9"/>
                <w:color w:val="282A32"/>
              </w:rPr>
              <w:t>Total</w:t>
            </w: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2"/>
                <w:szCs w:val="12"/>
                <w:color w:val="282A32"/>
              </w:rPr>
              <w:t>Balance, January 1, 2014</w:t>
            </w:r>
          </w:p>
        </w:tc>
        <w:tc>
          <w:tcPr>
            <w:tcW w:w="1340" w:type="dxa"/>
            <w:vAlign w:val="bottom"/>
          </w:tcPr>
          <w:p>
            <w:pPr>
              <w:jc w:val="right"/>
              <w:ind w:right="20"/>
              <w:spacing w:after="0"/>
              <w:rPr>
                <w:sz w:val="20"/>
                <w:szCs w:val="20"/>
                <w:color w:val="auto"/>
              </w:rPr>
            </w:pPr>
            <w:r>
              <w:rPr>
                <w:rFonts w:ascii="Arial" w:cs="Arial" w:eastAsia="Arial" w:hAnsi="Arial"/>
                <w:sz w:val="12"/>
                <w:szCs w:val="12"/>
                <w:color w:val="282A32"/>
              </w:rPr>
              <w:t>112,014,673</w:t>
            </w:r>
          </w:p>
        </w:tc>
        <w:tc>
          <w:tcPr>
            <w:tcW w:w="140" w:type="dxa"/>
            <w:vAlign w:val="bottom"/>
          </w:tcPr>
          <w:p>
            <w:pPr>
              <w:jc w:val="right"/>
              <w:spacing w:after="0"/>
              <w:rPr>
                <w:sz w:val="20"/>
                <w:szCs w:val="20"/>
                <w:color w:val="auto"/>
              </w:rPr>
            </w:pPr>
            <w:r>
              <w:rPr>
                <w:rFonts w:ascii="Arial" w:cs="Arial" w:eastAsia="Arial" w:hAnsi="Arial"/>
                <w:sz w:val="12"/>
                <w:szCs w:val="12"/>
                <w:color w:val="282A32"/>
              </w:rPr>
              <w:t>$</w:t>
            </w:r>
          </w:p>
        </w:tc>
        <w:tc>
          <w:tcPr>
            <w:tcW w:w="740" w:type="dxa"/>
            <w:vAlign w:val="bottom"/>
          </w:tcPr>
          <w:p>
            <w:pPr>
              <w:jc w:val="right"/>
              <w:ind w:right="63"/>
              <w:spacing w:after="0"/>
              <w:rPr>
                <w:sz w:val="20"/>
                <w:szCs w:val="20"/>
                <w:color w:val="auto"/>
              </w:rPr>
            </w:pPr>
            <w:r>
              <w:rPr>
                <w:rFonts w:ascii="Arial" w:cs="Arial" w:eastAsia="Arial" w:hAnsi="Arial"/>
                <w:sz w:val="12"/>
                <w:szCs w:val="12"/>
                <w:color w:val="282A32"/>
              </w:rPr>
              <w:t>1.1</w:t>
            </w:r>
          </w:p>
        </w:tc>
        <w:tc>
          <w:tcPr>
            <w:tcW w:w="240" w:type="dxa"/>
            <w:vAlign w:val="bottom"/>
          </w:tcPr>
          <w:p>
            <w:pPr>
              <w:jc w:val="right"/>
              <w:ind w:right="78"/>
              <w:spacing w:after="0"/>
              <w:rPr>
                <w:sz w:val="20"/>
                <w:szCs w:val="20"/>
                <w:color w:val="auto"/>
              </w:rPr>
            </w:pPr>
            <w:r>
              <w:rPr>
                <w:rFonts w:ascii="Arial" w:cs="Arial" w:eastAsia="Arial" w:hAnsi="Arial"/>
                <w:sz w:val="12"/>
                <w:szCs w:val="12"/>
                <w:color w:val="282A32"/>
              </w:rPr>
              <w:t>$</w:t>
            </w: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3,014.0</w:t>
            </w:r>
          </w:p>
        </w:tc>
        <w:tc>
          <w:tcPr>
            <w:tcW w:w="260" w:type="dxa"/>
            <w:vAlign w:val="bottom"/>
          </w:tcPr>
          <w:p>
            <w:pPr>
              <w:jc w:val="right"/>
              <w:ind w:right="78"/>
              <w:spacing w:after="0"/>
              <w:rPr>
                <w:sz w:val="20"/>
                <w:szCs w:val="20"/>
                <w:color w:val="auto"/>
              </w:rPr>
            </w:pPr>
            <w:r>
              <w:rPr>
                <w:rFonts w:ascii="Arial" w:cs="Arial" w:eastAsia="Arial" w:hAnsi="Arial"/>
                <w:sz w:val="12"/>
                <w:szCs w:val="12"/>
                <w:color w:val="282A32"/>
              </w:rPr>
              <w:t>$</w:t>
            </w:r>
          </w:p>
        </w:tc>
        <w:tc>
          <w:tcPr>
            <w:tcW w:w="660" w:type="dxa"/>
            <w:vAlign w:val="bottom"/>
          </w:tcPr>
          <w:p>
            <w:pPr>
              <w:jc w:val="right"/>
              <w:ind w:right="41"/>
              <w:spacing w:after="0"/>
              <w:rPr>
                <w:sz w:val="20"/>
                <w:szCs w:val="20"/>
                <w:color w:val="auto"/>
              </w:rPr>
            </w:pPr>
            <w:r>
              <w:rPr>
                <w:rFonts w:ascii="Arial" w:cs="Arial" w:eastAsia="Arial" w:hAnsi="Arial"/>
                <w:sz w:val="12"/>
                <w:szCs w:val="12"/>
                <w:color w:val="282A32"/>
              </w:rPr>
              <w:t>1,317.5</w:t>
            </w:r>
          </w:p>
        </w:tc>
        <w:tc>
          <w:tcPr>
            <w:tcW w:w="300" w:type="dxa"/>
            <w:vAlign w:val="bottom"/>
          </w:tcPr>
          <w:p>
            <w:pPr>
              <w:jc w:val="right"/>
              <w:ind w:right="118"/>
              <w:spacing w:after="0"/>
              <w:rPr>
                <w:sz w:val="20"/>
                <w:szCs w:val="20"/>
                <w:color w:val="auto"/>
              </w:rPr>
            </w:pPr>
            <w:r>
              <w:rPr>
                <w:rFonts w:ascii="Arial" w:cs="Arial" w:eastAsia="Arial" w:hAnsi="Arial"/>
                <w:sz w:val="12"/>
                <w:szCs w:val="12"/>
                <w:color w:val="282A32"/>
              </w:rPr>
              <w:t>$</w:t>
            </w:r>
          </w:p>
        </w:tc>
        <w:tc>
          <w:tcPr>
            <w:tcW w:w="940" w:type="dxa"/>
            <w:vAlign w:val="bottom"/>
          </w:tcPr>
          <w:p>
            <w:pPr>
              <w:jc w:val="right"/>
              <w:ind w:right="25"/>
              <w:spacing w:after="0"/>
              <w:rPr>
                <w:sz w:val="20"/>
                <w:szCs w:val="20"/>
                <w:color w:val="auto"/>
              </w:rPr>
            </w:pPr>
            <w:r>
              <w:rPr>
                <w:rFonts w:ascii="Arial" w:cs="Arial" w:eastAsia="Arial" w:hAnsi="Arial"/>
                <w:sz w:val="12"/>
                <w:szCs w:val="12"/>
                <w:color w:val="282A32"/>
              </w:rPr>
              <w:t>82.2</w:t>
            </w:r>
          </w:p>
        </w:tc>
        <w:tc>
          <w:tcPr>
            <w:tcW w:w="300" w:type="dxa"/>
            <w:vAlign w:val="bottom"/>
          </w:tcPr>
          <w:p>
            <w:pPr>
              <w:jc w:val="right"/>
              <w:ind w:right="118"/>
              <w:spacing w:after="0"/>
              <w:rPr>
                <w:sz w:val="20"/>
                <w:szCs w:val="20"/>
                <w:color w:val="auto"/>
              </w:rPr>
            </w:pPr>
            <w:r>
              <w:rPr>
                <w:rFonts w:ascii="Arial" w:cs="Arial" w:eastAsia="Arial" w:hAnsi="Arial"/>
                <w:sz w:val="12"/>
                <w:szCs w:val="12"/>
                <w:color w:val="282A32"/>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282A32"/>
              </w:rPr>
              <w:t>(1,500.6)</w:t>
            </w:r>
          </w:p>
        </w:tc>
        <w:tc>
          <w:tcPr>
            <w:tcW w:w="120" w:type="dxa"/>
            <w:vAlign w:val="bottom"/>
          </w:tcPr>
          <w:p>
            <w:pPr>
              <w:spacing w:after="0"/>
              <w:rPr>
                <w:sz w:val="19"/>
                <w:szCs w:val="19"/>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282A32"/>
                <w:w w:val="89"/>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282A32"/>
              </w:rPr>
              <w:t>—</w:t>
            </w:r>
          </w:p>
        </w:tc>
        <w:tc>
          <w:tcPr>
            <w:tcW w:w="300" w:type="dxa"/>
            <w:vAlign w:val="bottom"/>
          </w:tcPr>
          <w:p>
            <w:pPr>
              <w:jc w:val="right"/>
              <w:ind w:right="138"/>
              <w:spacing w:after="0"/>
              <w:rPr>
                <w:sz w:val="20"/>
                <w:szCs w:val="20"/>
                <w:color w:val="auto"/>
              </w:rPr>
            </w:pPr>
            <w:r>
              <w:rPr>
                <w:rFonts w:ascii="Arial" w:cs="Arial" w:eastAsia="Arial" w:hAnsi="Arial"/>
                <w:sz w:val="12"/>
                <w:szCs w:val="12"/>
                <w:color w:val="282A32"/>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2,914.2</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Net earnings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282A32"/>
              </w:rPr>
              <w:t>427.6</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427.6</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Other comprehensive loss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282A32"/>
              </w:rPr>
              <w:t>(237.4)</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(237.4)</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Issuances under equity plans, including tax benefits</w:t>
            </w:r>
          </w:p>
        </w:tc>
        <w:tc>
          <w:tcPr>
            <w:tcW w:w="1340" w:type="dxa"/>
            <w:vAlign w:val="bottom"/>
          </w:tcPr>
          <w:p>
            <w:pPr>
              <w:jc w:val="right"/>
              <w:ind w:right="20"/>
              <w:spacing w:after="0"/>
              <w:rPr>
                <w:sz w:val="20"/>
                <w:szCs w:val="20"/>
                <w:color w:val="auto"/>
              </w:rPr>
            </w:pPr>
            <w:r>
              <w:rPr>
                <w:rFonts w:ascii="Arial" w:cs="Arial" w:eastAsia="Arial" w:hAnsi="Arial"/>
                <w:sz w:val="12"/>
                <w:szCs w:val="12"/>
                <w:color w:val="282A32"/>
              </w:rPr>
              <w:t>861,879</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29.6</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282A32"/>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18.8</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Share-based compensation expense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40.6</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40.6</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Dividends ($0.98 per share)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282A32"/>
              </w:rPr>
              <w:t>(77.3)</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(77.3)</w:t>
            </w:r>
          </w:p>
        </w:tc>
        <w:tc>
          <w:tcPr>
            <w:tcW w:w="0" w:type="dxa"/>
            <w:vAlign w:val="bottom"/>
          </w:tcPr>
          <w:p>
            <w:pPr>
              <w:spacing w:after="0"/>
              <w:rPr>
                <w:sz w:val="1"/>
                <w:szCs w:val="1"/>
                <w:color w:val="auto"/>
              </w:rPr>
            </w:pPr>
          </w:p>
        </w:tc>
      </w:tr>
      <w:tr>
        <w:trPr>
          <w:trHeight w:val="24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Repurchases of common stock</w:t>
            </w:r>
          </w:p>
        </w:tc>
        <w:tc>
          <w:tcPr>
            <w:tcW w:w="1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282A32"/>
              </w:rPr>
              <w:t>(143.5)</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(143.5)</w:t>
            </w: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2"/>
                <w:szCs w:val="12"/>
                <w:color w:val="282A32"/>
              </w:rPr>
              <w:t>Balance, December 31, 2014</w:t>
            </w:r>
          </w:p>
        </w:tc>
        <w:tc>
          <w:tcPr>
            <w:tcW w:w="1340" w:type="dxa"/>
            <w:vAlign w:val="bottom"/>
          </w:tcPr>
          <w:p>
            <w:pPr>
              <w:jc w:val="right"/>
              <w:ind w:right="20"/>
              <w:spacing w:after="0"/>
              <w:rPr>
                <w:sz w:val="20"/>
                <w:szCs w:val="20"/>
                <w:color w:val="auto"/>
              </w:rPr>
            </w:pPr>
            <w:r>
              <w:rPr>
                <w:rFonts w:ascii="Arial" w:cs="Arial" w:eastAsia="Arial" w:hAnsi="Arial"/>
                <w:sz w:val="12"/>
                <w:szCs w:val="12"/>
                <w:color w:val="282A32"/>
              </w:rPr>
              <w:t>112,876,552</w:t>
            </w:r>
          </w:p>
        </w:tc>
        <w:tc>
          <w:tcPr>
            <w:tcW w:w="140" w:type="dxa"/>
            <w:vAlign w:val="bottom"/>
          </w:tcPr>
          <w:p>
            <w:pPr>
              <w:spacing w:after="0"/>
              <w:rPr>
                <w:sz w:val="19"/>
                <w:szCs w:val="19"/>
                <w:color w:val="auto"/>
              </w:rPr>
            </w:pPr>
          </w:p>
        </w:tc>
        <w:tc>
          <w:tcPr>
            <w:tcW w:w="740" w:type="dxa"/>
            <w:vAlign w:val="bottom"/>
          </w:tcPr>
          <w:p>
            <w:pPr>
              <w:jc w:val="right"/>
              <w:ind w:right="63"/>
              <w:spacing w:after="0"/>
              <w:rPr>
                <w:sz w:val="20"/>
                <w:szCs w:val="20"/>
                <w:color w:val="auto"/>
              </w:rPr>
            </w:pPr>
            <w:r>
              <w:rPr>
                <w:rFonts w:ascii="Arial" w:cs="Arial" w:eastAsia="Arial" w:hAnsi="Arial"/>
                <w:sz w:val="12"/>
                <w:szCs w:val="12"/>
                <w:color w:val="282A32"/>
              </w:rPr>
              <w:t>1.1</w:t>
            </w:r>
          </w:p>
        </w:tc>
        <w:tc>
          <w:tcPr>
            <w:tcW w:w="24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3,084.2</w:t>
            </w:r>
          </w:p>
        </w:tc>
        <w:tc>
          <w:tcPr>
            <w:tcW w:w="26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282A32"/>
              </w:rPr>
              <w:t>1,667.8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282A32"/>
              </w:rPr>
              <w:t>(155.2)</w:t>
            </w:r>
          </w:p>
        </w:tc>
        <w:tc>
          <w:tcPr>
            <w:tcW w:w="30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282A32"/>
              </w:rPr>
              <w:t>(1,654.9)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282A32"/>
              </w:rPr>
              <w:t>—</w:t>
            </w:r>
          </w:p>
        </w:tc>
        <w:tc>
          <w:tcPr>
            <w:tcW w:w="30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2,943.0</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Net earnings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282A32"/>
              </w:rPr>
              <w:t>419.2</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419.2</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Other comprehensive loss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282A32"/>
              </w:rPr>
              <w:t>(130.8)</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(130.8)</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Issuances under equity plans, including tax benefits</w:t>
            </w:r>
          </w:p>
        </w:tc>
        <w:tc>
          <w:tcPr>
            <w:tcW w:w="1340" w:type="dxa"/>
            <w:vAlign w:val="bottom"/>
          </w:tcPr>
          <w:p>
            <w:pPr>
              <w:jc w:val="right"/>
              <w:ind w:right="20"/>
              <w:spacing w:after="0"/>
              <w:rPr>
                <w:sz w:val="20"/>
                <w:szCs w:val="20"/>
                <w:color w:val="auto"/>
              </w:rPr>
            </w:pPr>
            <w:r>
              <w:rPr>
                <w:rFonts w:ascii="Arial" w:cs="Arial" w:eastAsia="Arial" w:hAnsi="Arial"/>
                <w:sz w:val="12"/>
                <w:szCs w:val="12"/>
                <w:color w:val="282A32"/>
              </w:rPr>
              <w:t>1,628,376</w:t>
            </w:r>
          </w:p>
        </w:tc>
        <w:tc>
          <w:tcPr>
            <w:tcW w:w="14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Arial" w:cs="Arial" w:eastAsia="Arial" w:hAnsi="Arial"/>
                <w:sz w:val="12"/>
                <w:szCs w:val="12"/>
                <w:color w:val="282A32"/>
              </w:rPr>
              <w:t>0.1</w:t>
            </w:r>
          </w:p>
        </w:tc>
        <w:tc>
          <w:tcPr>
            <w:tcW w:w="2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77.5</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282A32"/>
              </w:rPr>
              <w:t>(8.1)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69.5</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Share-based compensation expense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31.1</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31.1</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Dividends ($1.60 per share)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282A32"/>
              </w:rPr>
              <w:t>(121.0)</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(121.0)</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Repurchases of common stock</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282A32"/>
              </w:rPr>
              <w:t>(580.2)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(580.2)</w:t>
            </w: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Arial" w:cs="Arial" w:eastAsia="Arial" w:hAnsi="Arial"/>
                <w:sz w:val="12"/>
                <w:szCs w:val="12"/>
                <w:color w:val="282A32"/>
              </w:rPr>
              <w:t>Contribution from a noncontrolling interest and other</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noncontrolling interest transactions</w:t>
            </w:r>
          </w:p>
        </w:tc>
        <w:tc>
          <w:tcPr>
            <w:tcW w:w="1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(6.1)</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282A32"/>
              </w:rPr>
              <w:t>67.8</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61.7</w:t>
            </w: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2"/>
                <w:szCs w:val="12"/>
                <w:color w:val="282A32"/>
              </w:rPr>
              <w:t>Balance, December 31, 2015</w:t>
            </w:r>
          </w:p>
        </w:tc>
        <w:tc>
          <w:tcPr>
            <w:tcW w:w="1340" w:type="dxa"/>
            <w:vAlign w:val="bottom"/>
          </w:tcPr>
          <w:p>
            <w:pPr>
              <w:jc w:val="right"/>
              <w:ind w:right="20"/>
              <w:spacing w:after="0"/>
              <w:rPr>
                <w:sz w:val="20"/>
                <w:szCs w:val="20"/>
                <w:color w:val="auto"/>
              </w:rPr>
            </w:pPr>
            <w:r>
              <w:rPr>
                <w:rFonts w:ascii="Arial" w:cs="Arial" w:eastAsia="Arial" w:hAnsi="Arial"/>
                <w:sz w:val="12"/>
                <w:szCs w:val="12"/>
                <w:color w:val="282A32"/>
              </w:rPr>
              <w:t>114,504,928</w:t>
            </w:r>
          </w:p>
        </w:tc>
        <w:tc>
          <w:tcPr>
            <w:tcW w:w="140" w:type="dxa"/>
            <w:vAlign w:val="bottom"/>
          </w:tcPr>
          <w:p>
            <w:pPr>
              <w:spacing w:after="0"/>
              <w:rPr>
                <w:sz w:val="19"/>
                <w:szCs w:val="19"/>
                <w:color w:val="auto"/>
              </w:rPr>
            </w:pPr>
          </w:p>
        </w:tc>
        <w:tc>
          <w:tcPr>
            <w:tcW w:w="740" w:type="dxa"/>
            <w:vAlign w:val="bottom"/>
          </w:tcPr>
          <w:p>
            <w:pPr>
              <w:jc w:val="right"/>
              <w:ind w:right="63"/>
              <w:spacing w:after="0"/>
              <w:rPr>
                <w:sz w:val="20"/>
                <w:szCs w:val="20"/>
                <w:color w:val="auto"/>
              </w:rPr>
            </w:pPr>
            <w:r>
              <w:rPr>
                <w:rFonts w:ascii="Arial" w:cs="Arial" w:eastAsia="Arial" w:hAnsi="Arial"/>
                <w:sz w:val="12"/>
                <w:szCs w:val="12"/>
                <w:color w:val="282A32"/>
              </w:rPr>
              <w:t>1.2</w:t>
            </w:r>
          </w:p>
        </w:tc>
        <w:tc>
          <w:tcPr>
            <w:tcW w:w="24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3,186.7</w:t>
            </w:r>
          </w:p>
        </w:tc>
        <w:tc>
          <w:tcPr>
            <w:tcW w:w="26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282A32"/>
              </w:rPr>
              <w:t>1,966.0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282A32"/>
              </w:rPr>
              <w:t>(286.0)</w:t>
            </w:r>
          </w:p>
        </w:tc>
        <w:tc>
          <w:tcPr>
            <w:tcW w:w="30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282A32"/>
              </w:rPr>
              <w:t>(2,243.2)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44"/>
              <w:spacing w:after="0"/>
              <w:rPr>
                <w:sz w:val="20"/>
                <w:szCs w:val="20"/>
                <w:color w:val="auto"/>
              </w:rPr>
            </w:pPr>
            <w:r>
              <w:rPr>
                <w:rFonts w:ascii="Arial" w:cs="Arial" w:eastAsia="Arial" w:hAnsi="Arial"/>
                <w:sz w:val="12"/>
                <w:szCs w:val="12"/>
                <w:color w:val="282A32"/>
              </w:rPr>
              <w:t>67.8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2,692.5</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Net earnings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282A32"/>
              </w:rPr>
              <w:t>443.7</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443.7</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Other comprehensive loss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282A32"/>
              </w:rPr>
              <w:t>(140.1)</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(140.1)</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Issuances under equity plans, including tax benefits</w:t>
            </w:r>
          </w:p>
        </w:tc>
        <w:tc>
          <w:tcPr>
            <w:tcW w:w="1340" w:type="dxa"/>
            <w:vAlign w:val="bottom"/>
          </w:tcPr>
          <w:p>
            <w:pPr>
              <w:jc w:val="right"/>
              <w:ind w:right="20"/>
              <w:spacing w:after="0"/>
              <w:rPr>
                <w:sz w:val="20"/>
                <w:szCs w:val="20"/>
                <w:color w:val="auto"/>
              </w:rPr>
            </w:pPr>
            <w:r>
              <w:rPr>
                <w:rFonts w:ascii="Arial" w:cs="Arial" w:eastAsia="Arial" w:hAnsi="Arial"/>
                <w:sz w:val="12"/>
                <w:szCs w:val="12"/>
                <w:color w:val="282A32"/>
              </w:rPr>
              <w:t>610,820</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20.5</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282A32"/>
              </w:rPr>
              <w:t>(6.3)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14.2</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Share-based compensation expense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282A32"/>
              </w:rPr>
              <w:t>27.1</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282A32"/>
              </w:rPr>
              <w:t>27.1</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Dividends ($1.72 per share)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282A32"/>
              </w:rPr>
              <w:t>(118.4)</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(118.4)</w:t>
            </w:r>
          </w:p>
        </w:tc>
        <w:tc>
          <w:tcPr>
            <w:tcW w:w="0" w:type="dxa"/>
            <w:vAlign w:val="bottom"/>
          </w:tcPr>
          <w:p>
            <w:pPr>
              <w:spacing w:after="0"/>
              <w:rPr>
                <w:sz w:val="1"/>
                <w:szCs w:val="1"/>
                <w:color w:val="auto"/>
              </w:rPr>
            </w:pPr>
          </w:p>
        </w:tc>
      </w:tr>
      <w:tr>
        <w:trPr>
          <w:trHeight w:val="238"/>
        </w:trPr>
        <w:tc>
          <w:tcPr>
            <w:tcW w:w="3100" w:type="dxa"/>
            <w:vAlign w:val="bottom"/>
          </w:tcPr>
          <w:p>
            <w:pPr>
              <w:ind w:left="20"/>
              <w:spacing w:after="0"/>
              <w:rPr>
                <w:sz w:val="20"/>
                <w:szCs w:val="20"/>
                <w:color w:val="auto"/>
              </w:rPr>
            </w:pPr>
            <w:r>
              <w:rPr>
                <w:rFonts w:ascii="Arial" w:cs="Arial" w:eastAsia="Arial" w:hAnsi="Arial"/>
                <w:sz w:val="12"/>
                <w:szCs w:val="12"/>
                <w:color w:val="282A32"/>
              </w:rPr>
              <w:t>Repurchases of common stock</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282A32"/>
              </w:rPr>
              <w:t>(482.2)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(482.2)</w:t>
            </w:r>
          </w:p>
        </w:tc>
        <w:tc>
          <w:tcPr>
            <w:tcW w:w="0" w:type="dxa"/>
            <w:vAlign w:val="bottom"/>
          </w:tcPr>
          <w:p>
            <w:pPr>
              <w:spacing w:after="0"/>
              <w:rPr>
                <w:sz w:val="1"/>
                <w:szCs w:val="1"/>
                <w:color w:val="auto"/>
              </w:rPr>
            </w:pPr>
          </w:p>
        </w:tc>
      </w:tr>
      <w:tr>
        <w:trPr>
          <w:trHeight w:val="24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Noncontrolling interest transactions</w:t>
            </w:r>
          </w:p>
        </w:tc>
        <w:tc>
          <w:tcPr>
            <w:tcW w:w="1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(7.1)</w:t>
            </w: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282A32"/>
              </w:rPr>
              <w:t>16.7</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9.6</w:t>
            </w:r>
          </w:p>
        </w:tc>
        <w:tc>
          <w:tcPr>
            <w:tcW w:w="0" w:type="dxa"/>
            <w:vAlign w:val="bottom"/>
          </w:tcPr>
          <w:p>
            <w:pPr>
              <w:spacing w:after="0"/>
              <w:rPr>
                <w:sz w:val="1"/>
                <w:szCs w:val="1"/>
                <w:color w:val="auto"/>
              </w:rPr>
            </w:pPr>
          </w:p>
        </w:tc>
      </w:tr>
      <w:tr>
        <w:trPr>
          <w:trHeight w:val="228"/>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Balance, December 31, 2016</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282A32"/>
              </w:rPr>
              <w:t>115,115,748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282A32"/>
              </w:rPr>
              <w:t>1.2</w:t>
            </w:r>
          </w:p>
        </w:tc>
        <w:tc>
          <w:tcPr>
            <w:tcW w:w="2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282A32"/>
              </w:rPr>
              <w:t>$</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282A32"/>
              </w:rPr>
              <w:t>3,227.2</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282A32"/>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282A32"/>
              </w:rPr>
              <w:t>2,291.3</w:t>
            </w: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282A3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(426.1)</w:t>
            </w: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282A32"/>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282A32"/>
              </w:rPr>
              <w:t>(2,731.7)</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282A32"/>
                <w:w w:val="89"/>
              </w:rPr>
              <w:t>$</w:t>
            </w: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282A32"/>
              </w:rPr>
              <w:t>84.5</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282A32"/>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2,446.4</w:t>
            </w:r>
          </w:p>
        </w:tc>
        <w:tc>
          <w:tcPr>
            <w:tcW w:w="0" w:type="dxa"/>
            <w:vAlign w:val="bottom"/>
          </w:tcPr>
          <w:p>
            <w:pPr>
              <w:spacing w:after="0"/>
              <w:rPr>
                <w:sz w:val="1"/>
                <w:szCs w:val="1"/>
                <w:color w:val="auto"/>
              </w:rPr>
            </w:pPr>
          </w:p>
        </w:tc>
      </w:tr>
      <w:tr>
        <w:trPr>
          <w:trHeight w:val="196"/>
        </w:trPr>
        <w:tc>
          <w:tcPr>
            <w:tcW w:w="5320" w:type="dxa"/>
            <w:vAlign w:val="bottom"/>
            <w:gridSpan w:val="4"/>
          </w:tcPr>
          <w:p>
            <w:pPr>
              <w:spacing w:after="0"/>
              <w:rPr>
                <w:sz w:val="20"/>
                <w:szCs w:val="20"/>
                <w:color w:val="auto"/>
              </w:rPr>
            </w:pPr>
            <w:r>
              <w:rPr>
                <w:rFonts w:ascii="Arial" w:cs="Arial" w:eastAsia="Arial" w:hAnsi="Arial"/>
                <w:sz w:val="11"/>
                <w:szCs w:val="11"/>
                <w:color w:val="282A32"/>
              </w:rPr>
              <w:t>The accompanying Notes to Consolidated Financial Statements are an integral part of these statements.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3100" w:type="dxa"/>
            <w:vAlign w:val="bottom"/>
          </w:tcPr>
          <w:p>
            <w:pPr>
              <w:ind w:left="40"/>
              <w:spacing w:after="0"/>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50</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5"/>
          </w:tcPr>
          <w:p>
            <w:pPr>
              <w:jc w:val="right"/>
              <w:ind w:right="98"/>
              <w:spacing w:after="0"/>
              <w:rPr>
                <w:sz w:val="20"/>
                <w:szCs w:val="20"/>
                <w:color w:val="auto"/>
              </w:rPr>
            </w:pPr>
            <w:r>
              <w:rPr>
                <w:rFonts w:ascii="Arial" w:cs="Arial" w:eastAsia="Arial" w:hAnsi="Arial"/>
                <w:sz w:val="9"/>
                <w:szCs w:val="9"/>
                <w:color w:val="auto"/>
              </w:rPr>
              <w:t>Consolidated Statements of Shareholders' Equity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52" w:right="21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2989B9"/>
        </w:rPr>
        <w:t>Note 01. Summary of Significant Accounting Policies</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Nature of Operations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ManpowerGroup Inc. is a world leader in the innovative workforce solutions and services industry. Our global network of nearly 2,800 offices in 80 countries and territories allows us to meet the needs of our global, multinational and local clients across all major industry segments. Our largest operations, based on revenues, are located in France, the United States, the United Kingdom and Italy.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Use of Estimates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2989B9"/>
        </w:rPr>
        <w:t>Basis of Consolidation</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the accounting guidance on consolidation of variable interest entities. These investments were $145.8 and $137.9 as of December 31, 2016 and 2015, respectively, and are included in other assets in the Consolidated Balance Sheets. Included in shareholders’ equity as of December 31, 2016 and 2015 are $88.9 and $85.4, respectively, of unremitted earnings from investments accounted for using the equity method. All significant intercompany accounts and transactions have been eliminated in consolidation.</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2989B9"/>
        </w:rPr>
        <w:t>Revenues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revenues based on the hours worked. Permanent recruitment revenues are recorded as placements are made. Provisions for sales allowances, based on historical experience, are recognized at the time the related sale is recognized.</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$23.3, $24.2 and $25.4 for the years ended December 31, 2016, 2015 and 2014, respectively.</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282A32"/>
        </w:rPr>
        <w:t>In our outplacement business, we recognize revenues from individual programs and for large projects over the estimated period in which services are rendered to candidates. In our consulting business, revenues are recognized upon the performance of the service under the consulting service contract. For performance-based contracts, we defer recognizing revenues until the performance criteria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51</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76" w:name="page77"/>
    <w:bookmarkEnd w:id="76"/>
    <w:p>
      <w:pPr>
        <w:jc w:val="both"/>
        <w:spacing w:after="0" w:line="260" w:lineRule="auto"/>
        <w:rPr>
          <w:sz w:val="20"/>
          <w:szCs w:val="20"/>
          <w:color w:val="auto"/>
        </w:rPr>
      </w:pPr>
      <w:r>
        <w:rPr>
          <w:rFonts w:ascii="Arial" w:cs="Arial" w:eastAsia="Arial" w:hAnsi="Arial"/>
          <w:sz w:val="12"/>
          <w:szCs w:val="12"/>
          <w:color w:val="282A32"/>
        </w:rPr>
        <w:t>The amounts billed for outplacement, consulting services and performance-based contracts in excess of the amount recognized as revenues are recorded as deferred revenue and included in accrued liabilities for the current portion and other long-term liabilities for the long-term portion in our Consolidated Balance Sheets. As of December 31, 2016 and 2015, the current portion of deferred revenue was $38.7 and $38.4, respectively, and the long-term portion of deferred revenue was $2.4 and zero, respectively. The increase in these amounts is primarily related to new client contracts in 2016.</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record revenues from sales of services and the related direct costs in accordance with the accounting guidance on reporting revenue gross as a principal versus net as an agent.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2989B9"/>
        </w:rPr>
        <w:t>Allowance for Doubtful Accounts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Bad debt expense is recorded as selling and administrative expenses in our Consolidated Statements of Operations and was $20.4, $16.3 and $18.9 in 2016, 2015 and 2014,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$16.9, $20.3 and $15.8 for 2016, 2015 and 2014,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2989B9"/>
        </w:rPr>
        <w:t>Advertising Costs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We expense production costs of advertising as they are incurred. Advertising expenses were $24.4, $28.8 and $25.7 in 2016, 2015 and 2014,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2989B9"/>
        </w:rPr>
        <w:t>Restructuring Costs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recorded net restructuring costs of $16.4 in 2015 in selling and administrative expenses, primarily related to severances and office closures and consolidations in multiple countries and territories. During 2016 and 2015, we made payments of $11.9 and $12.9, respectively, out of our restructuring reserve. We expect a majority of the remaining $4.5 reserve will be paid by the end of 2017. Changes in the restructuring liability balances for each reportable segment and Corporate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160" w:type="dxa"/>
            <w:vAlign w:val="bottom"/>
          </w:tcPr>
          <w:p>
            <w:pPr>
              <w:jc w:val="right"/>
              <w:ind w:right="299"/>
              <w:spacing w:after="0"/>
              <w:rPr>
                <w:sz w:val="20"/>
                <w:szCs w:val="20"/>
                <w:color w:val="auto"/>
              </w:rPr>
            </w:pPr>
            <w:r>
              <w:rPr>
                <w:rFonts w:ascii="Arial" w:cs="Arial" w:eastAsia="Arial" w:hAnsi="Arial"/>
                <w:sz w:val="11"/>
                <w:szCs w:val="11"/>
                <w:color w:val="282A32"/>
              </w:rPr>
              <w:t>Southern</w:t>
            </w:r>
          </w:p>
        </w:tc>
        <w:tc>
          <w:tcPr>
            <w:tcW w:w="1200" w:type="dxa"/>
            <w:vAlign w:val="bottom"/>
          </w:tcPr>
          <w:p>
            <w:pPr>
              <w:jc w:val="right"/>
              <w:ind w:right="359"/>
              <w:spacing w:after="0"/>
              <w:rPr>
                <w:sz w:val="20"/>
                <w:szCs w:val="20"/>
                <w:color w:val="auto"/>
              </w:rPr>
            </w:pPr>
            <w:r>
              <w:rPr>
                <w:rFonts w:ascii="Arial" w:cs="Arial" w:eastAsia="Arial" w:hAnsi="Arial"/>
                <w:sz w:val="11"/>
                <w:szCs w:val="11"/>
                <w:color w:val="282A32"/>
              </w:rPr>
              <w:t>Northern</w:t>
            </w:r>
          </w:p>
        </w:tc>
        <w:tc>
          <w:tcPr>
            <w:tcW w:w="9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5"/>
        </w:trPr>
        <w:tc>
          <w:tcPr>
            <w:tcW w:w="26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319"/>
              <w:spacing w:after="0" w:line="145" w:lineRule="exact"/>
              <w:rPr>
                <w:sz w:val="20"/>
                <w:szCs w:val="20"/>
                <w:color w:val="auto"/>
              </w:rPr>
            </w:pPr>
            <w:r>
              <w:rPr>
                <w:rFonts w:ascii="Arial" w:cs="Arial" w:eastAsia="Arial" w:hAnsi="Arial"/>
                <w:sz w:val="11"/>
                <w:szCs w:val="11"/>
                <w:color w:val="282A32"/>
              </w:rPr>
              <w:t>Americas</w:t>
            </w:r>
            <w:r>
              <w:rPr>
                <w:rFonts w:ascii="Arial" w:cs="Arial" w:eastAsia="Arial" w:hAnsi="Arial"/>
                <w:sz w:val="13"/>
                <w:szCs w:val="13"/>
                <w:color w:val="282A32"/>
                <w:vertAlign w:val="superscript"/>
              </w:rPr>
              <w:t>(1)</w:t>
            </w:r>
          </w:p>
        </w:tc>
        <w:tc>
          <w:tcPr>
            <w:tcW w:w="1160" w:type="dxa"/>
            <w:vAlign w:val="bottom"/>
            <w:tcBorders>
              <w:bottom w:val="single" w:sz="8" w:color="auto"/>
            </w:tcBorders>
          </w:tcPr>
          <w:p>
            <w:pPr>
              <w:jc w:val="right"/>
              <w:ind w:right="299"/>
              <w:spacing w:after="0" w:line="145" w:lineRule="exact"/>
              <w:rPr>
                <w:sz w:val="20"/>
                <w:szCs w:val="20"/>
                <w:color w:val="auto"/>
              </w:rPr>
            </w:pPr>
            <w:r>
              <w:rPr>
                <w:rFonts w:ascii="Arial" w:cs="Arial" w:eastAsia="Arial" w:hAnsi="Arial"/>
                <w:sz w:val="11"/>
                <w:szCs w:val="11"/>
                <w:color w:val="282A32"/>
              </w:rPr>
              <w:t>Europe</w:t>
            </w:r>
            <w:r>
              <w:rPr>
                <w:rFonts w:ascii="Arial" w:cs="Arial" w:eastAsia="Arial" w:hAnsi="Arial"/>
                <w:sz w:val="13"/>
                <w:szCs w:val="13"/>
                <w:color w:val="282A32"/>
                <w:vertAlign w:val="superscript"/>
              </w:rPr>
              <w:t>(2)</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color w:val="282A32"/>
              </w:rPr>
              <w:t>Europe</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color w:val="282A32"/>
              </w:rPr>
              <w:t>APME</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color w:val="auto"/>
              </w:rPr>
              <w:t>Right Management</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color w:val="282A32"/>
              </w:rPr>
              <w:t>Corporate</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282A32"/>
              </w:rPr>
              <w:t>Total</w:t>
            </w:r>
          </w:p>
        </w:tc>
      </w:tr>
      <w:tr>
        <w:trPr>
          <w:trHeight w:val="182"/>
        </w:trPr>
        <w:tc>
          <w:tcPr>
            <w:tcW w:w="2680" w:type="dxa"/>
            <w:vAlign w:val="bottom"/>
          </w:tcPr>
          <w:p>
            <w:pPr>
              <w:ind w:left="20"/>
              <w:spacing w:after="0"/>
              <w:rPr>
                <w:sz w:val="20"/>
                <w:szCs w:val="20"/>
                <w:color w:val="auto"/>
              </w:rPr>
            </w:pPr>
            <w:r>
              <w:rPr>
                <w:rFonts w:ascii="Arial" w:cs="Arial" w:eastAsia="Arial" w:hAnsi="Arial"/>
                <w:sz w:val="12"/>
                <w:szCs w:val="12"/>
                <w:color w:val="282A32"/>
              </w:rPr>
              <w:t>Balance, January 1, 2015</w:t>
            </w:r>
          </w:p>
        </w:tc>
        <w:tc>
          <w:tcPr>
            <w:tcW w:w="1960" w:type="dxa"/>
            <w:vAlign w:val="bottom"/>
          </w:tcPr>
          <w:p>
            <w:pPr>
              <w:jc w:val="right"/>
              <w:ind w:right="319"/>
              <w:spacing w:after="0"/>
              <w:rPr>
                <w:sz w:val="20"/>
                <w:szCs w:val="20"/>
                <w:color w:val="auto"/>
              </w:rPr>
            </w:pPr>
            <w:r>
              <w:rPr>
                <w:rFonts w:ascii="Arial" w:cs="Arial" w:eastAsia="Arial" w:hAnsi="Arial"/>
                <w:sz w:val="12"/>
                <w:szCs w:val="12"/>
                <w:color w:val="282A32"/>
              </w:rPr>
              <w:t>$1.1</w:t>
            </w:r>
          </w:p>
        </w:tc>
        <w:tc>
          <w:tcPr>
            <w:tcW w:w="1160" w:type="dxa"/>
            <w:vAlign w:val="bottom"/>
          </w:tcPr>
          <w:p>
            <w:pPr>
              <w:jc w:val="right"/>
              <w:ind w:right="299"/>
              <w:spacing w:after="0"/>
              <w:rPr>
                <w:sz w:val="20"/>
                <w:szCs w:val="20"/>
                <w:color w:val="auto"/>
              </w:rPr>
            </w:pPr>
            <w:r>
              <w:rPr>
                <w:rFonts w:ascii="Arial" w:cs="Arial" w:eastAsia="Arial" w:hAnsi="Arial"/>
                <w:sz w:val="12"/>
                <w:szCs w:val="12"/>
                <w:color w:val="282A32"/>
              </w:rPr>
              <w:t>$2.3</w:t>
            </w:r>
          </w:p>
        </w:tc>
        <w:tc>
          <w:tcPr>
            <w:tcW w:w="1200" w:type="dxa"/>
            <w:vAlign w:val="bottom"/>
          </w:tcPr>
          <w:p>
            <w:pPr>
              <w:jc w:val="right"/>
              <w:ind w:right="359"/>
              <w:spacing w:after="0"/>
              <w:rPr>
                <w:sz w:val="20"/>
                <w:szCs w:val="20"/>
                <w:color w:val="auto"/>
              </w:rPr>
            </w:pPr>
            <w:r>
              <w:rPr>
                <w:rFonts w:ascii="Arial" w:cs="Arial" w:eastAsia="Arial" w:hAnsi="Arial"/>
                <w:sz w:val="12"/>
                <w:szCs w:val="12"/>
                <w:color w:val="282A32"/>
              </w:rPr>
              <w:t>$5.8</w:t>
            </w:r>
          </w:p>
        </w:tc>
        <w:tc>
          <w:tcPr>
            <w:tcW w:w="940" w:type="dxa"/>
            <w:vAlign w:val="bottom"/>
          </w:tcPr>
          <w:p>
            <w:pPr>
              <w:jc w:val="right"/>
              <w:ind w:right="159"/>
              <w:spacing w:after="0"/>
              <w:rPr>
                <w:sz w:val="20"/>
                <w:szCs w:val="20"/>
                <w:color w:val="auto"/>
              </w:rPr>
            </w:pPr>
            <w:r>
              <w:rPr>
                <w:rFonts w:ascii="Arial" w:cs="Arial" w:eastAsia="Arial" w:hAnsi="Arial"/>
                <w:sz w:val="12"/>
                <w:szCs w:val="12"/>
                <w:color w:val="282A32"/>
              </w:rPr>
              <w:t>$0.5</w:t>
            </w:r>
          </w:p>
        </w:tc>
        <w:tc>
          <w:tcPr>
            <w:tcW w:w="1480" w:type="dxa"/>
            <w:vAlign w:val="bottom"/>
          </w:tcPr>
          <w:p>
            <w:pPr>
              <w:jc w:val="right"/>
              <w:ind w:right="279"/>
              <w:spacing w:after="0"/>
              <w:rPr>
                <w:sz w:val="20"/>
                <w:szCs w:val="20"/>
                <w:color w:val="auto"/>
              </w:rPr>
            </w:pPr>
            <w:r>
              <w:rPr>
                <w:rFonts w:ascii="Arial" w:cs="Arial" w:eastAsia="Arial" w:hAnsi="Arial"/>
                <w:sz w:val="12"/>
                <w:szCs w:val="12"/>
                <w:color w:val="282A32"/>
              </w:rPr>
              <w:t>$2.3</w:t>
            </w:r>
          </w:p>
        </w:tc>
        <w:tc>
          <w:tcPr>
            <w:tcW w:w="1220" w:type="dxa"/>
            <w:vAlign w:val="bottom"/>
          </w:tcPr>
          <w:p>
            <w:pPr>
              <w:jc w:val="right"/>
              <w:ind w:right="359"/>
              <w:spacing w:after="0"/>
              <w:rPr>
                <w:sz w:val="20"/>
                <w:szCs w:val="20"/>
                <w:color w:val="auto"/>
              </w:rPr>
            </w:pPr>
            <w:r>
              <w:rPr>
                <w:rFonts w:ascii="Arial" w:cs="Arial" w:eastAsia="Arial" w:hAnsi="Arial"/>
                <w:sz w:val="12"/>
                <w:szCs w:val="12"/>
                <w:color w:val="282A32"/>
              </w:rPr>
              <w:t>$0.9</w:t>
            </w:r>
          </w:p>
        </w:tc>
        <w:tc>
          <w:tcPr>
            <w:tcW w:w="820" w:type="dxa"/>
            <w:vAlign w:val="bottom"/>
          </w:tcPr>
          <w:p>
            <w:pPr>
              <w:jc w:val="right"/>
              <w:ind w:right="39"/>
              <w:spacing w:after="0"/>
              <w:rPr>
                <w:sz w:val="20"/>
                <w:szCs w:val="20"/>
                <w:color w:val="auto"/>
              </w:rPr>
            </w:pPr>
            <w:r>
              <w:rPr>
                <w:rFonts w:ascii="Arial" w:cs="Arial" w:eastAsia="Arial" w:hAnsi="Arial"/>
                <w:sz w:val="12"/>
                <w:szCs w:val="12"/>
                <w:color w:val="282A32"/>
              </w:rPr>
              <w:t>$12.9</w:t>
            </w:r>
          </w:p>
        </w:tc>
      </w:tr>
      <w:tr>
        <w:trPr>
          <w:trHeight w:val="186"/>
        </w:trPr>
        <w:tc>
          <w:tcPr>
            <w:tcW w:w="2680" w:type="dxa"/>
            <w:vAlign w:val="bottom"/>
          </w:tcPr>
          <w:p>
            <w:pPr>
              <w:ind w:left="20"/>
              <w:spacing w:after="0"/>
              <w:rPr>
                <w:sz w:val="20"/>
                <w:szCs w:val="20"/>
                <w:color w:val="auto"/>
              </w:rPr>
            </w:pPr>
            <w:r>
              <w:rPr>
                <w:rFonts w:ascii="Arial" w:cs="Arial" w:eastAsia="Arial" w:hAnsi="Arial"/>
                <w:sz w:val="12"/>
                <w:szCs w:val="12"/>
                <w:color w:val="282A32"/>
              </w:rPr>
              <w:t>Severance costs</w:t>
            </w:r>
          </w:p>
        </w:tc>
        <w:tc>
          <w:tcPr>
            <w:tcW w:w="1960" w:type="dxa"/>
            <w:vAlign w:val="bottom"/>
          </w:tcPr>
          <w:p>
            <w:pPr>
              <w:jc w:val="right"/>
              <w:ind w:right="319"/>
              <w:spacing w:after="0"/>
              <w:rPr>
                <w:sz w:val="20"/>
                <w:szCs w:val="20"/>
                <w:color w:val="auto"/>
              </w:rPr>
            </w:pPr>
            <w:r>
              <w:rPr>
                <w:rFonts w:ascii="Arial" w:cs="Arial" w:eastAsia="Arial" w:hAnsi="Arial"/>
                <w:sz w:val="12"/>
                <w:szCs w:val="12"/>
                <w:color w:val="282A32"/>
              </w:rPr>
              <w:t>2.5</w:t>
            </w:r>
          </w:p>
        </w:tc>
        <w:tc>
          <w:tcPr>
            <w:tcW w:w="1160" w:type="dxa"/>
            <w:vAlign w:val="bottom"/>
          </w:tcPr>
          <w:p>
            <w:pPr>
              <w:jc w:val="right"/>
              <w:ind w:right="299"/>
              <w:spacing w:after="0"/>
              <w:rPr>
                <w:sz w:val="20"/>
                <w:szCs w:val="20"/>
                <w:color w:val="auto"/>
              </w:rPr>
            </w:pPr>
            <w:r>
              <w:rPr>
                <w:rFonts w:ascii="Arial" w:cs="Arial" w:eastAsia="Arial" w:hAnsi="Arial"/>
                <w:sz w:val="12"/>
                <w:szCs w:val="12"/>
                <w:color w:val="282A32"/>
              </w:rPr>
              <w:t>—</w:t>
            </w:r>
          </w:p>
        </w:tc>
        <w:tc>
          <w:tcPr>
            <w:tcW w:w="1200" w:type="dxa"/>
            <w:vAlign w:val="bottom"/>
          </w:tcPr>
          <w:p>
            <w:pPr>
              <w:jc w:val="right"/>
              <w:ind w:right="359"/>
              <w:spacing w:after="0"/>
              <w:rPr>
                <w:sz w:val="20"/>
                <w:szCs w:val="20"/>
                <w:color w:val="auto"/>
              </w:rPr>
            </w:pPr>
            <w:r>
              <w:rPr>
                <w:rFonts w:ascii="Arial" w:cs="Arial" w:eastAsia="Arial" w:hAnsi="Arial"/>
                <w:sz w:val="12"/>
                <w:szCs w:val="12"/>
                <w:color w:val="282A32"/>
              </w:rPr>
              <w:t>8.6</w:t>
            </w:r>
          </w:p>
        </w:tc>
        <w:tc>
          <w:tcPr>
            <w:tcW w:w="940" w:type="dxa"/>
            <w:vAlign w:val="bottom"/>
          </w:tcPr>
          <w:p>
            <w:pPr>
              <w:jc w:val="right"/>
              <w:ind w:right="159"/>
              <w:spacing w:after="0"/>
              <w:rPr>
                <w:sz w:val="20"/>
                <w:szCs w:val="20"/>
                <w:color w:val="auto"/>
              </w:rPr>
            </w:pPr>
            <w:r>
              <w:rPr>
                <w:rFonts w:ascii="Arial" w:cs="Arial" w:eastAsia="Arial" w:hAnsi="Arial"/>
                <w:sz w:val="12"/>
                <w:szCs w:val="12"/>
                <w:color w:val="282A32"/>
              </w:rPr>
              <w:t>0.9</w:t>
            </w:r>
          </w:p>
        </w:tc>
        <w:tc>
          <w:tcPr>
            <w:tcW w:w="1480" w:type="dxa"/>
            <w:vAlign w:val="bottom"/>
          </w:tcPr>
          <w:p>
            <w:pPr>
              <w:jc w:val="right"/>
              <w:ind w:right="279"/>
              <w:spacing w:after="0"/>
              <w:rPr>
                <w:sz w:val="20"/>
                <w:szCs w:val="20"/>
                <w:color w:val="auto"/>
              </w:rPr>
            </w:pPr>
            <w:r>
              <w:rPr>
                <w:rFonts w:ascii="Arial" w:cs="Arial" w:eastAsia="Arial" w:hAnsi="Arial"/>
                <w:sz w:val="12"/>
                <w:szCs w:val="12"/>
                <w:color w:val="282A32"/>
              </w:rPr>
              <w:t>1.1</w:t>
            </w:r>
          </w:p>
        </w:tc>
        <w:tc>
          <w:tcPr>
            <w:tcW w:w="1220" w:type="dxa"/>
            <w:vAlign w:val="bottom"/>
          </w:tcPr>
          <w:p>
            <w:pPr>
              <w:jc w:val="right"/>
              <w:ind w:right="359"/>
              <w:spacing w:after="0"/>
              <w:rPr>
                <w:sz w:val="20"/>
                <w:szCs w:val="20"/>
                <w:color w:val="auto"/>
              </w:rPr>
            </w:pPr>
            <w:r>
              <w:rPr>
                <w:rFonts w:ascii="Arial" w:cs="Arial" w:eastAsia="Arial" w:hAnsi="Arial"/>
                <w:sz w:val="12"/>
                <w:szCs w:val="12"/>
                <w:color w:val="282A32"/>
              </w:rPr>
              <w:t>—</w:t>
            </w:r>
          </w:p>
        </w:tc>
        <w:tc>
          <w:tcPr>
            <w:tcW w:w="820" w:type="dxa"/>
            <w:vAlign w:val="bottom"/>
          </w:tcPr>
          <w:p>
            <w:pPr>
              <w:jc w:val="right"/>
              <w:ind w:right="39"/>
              <w:spacing w:after="0"/>
              <w:rPr>
                <w:sz w:val="20"/>
                <w:szCs w:val="20"/>
                <w:color w:val="auto"/>
              </w:rPr>
            </w:pPr>
            <w:r>
              <w:rPr>
                <w:rFonts w:ascii="Arial" w:cs="Arial" w:eastAsia="Arial" w:hAnsi="Arial"/>
                <w:sz w:val="12"/>
                <w:szCs w:val="12"/>
                <w:color w:val="282A32"/>
              </w:rPr>
              <w:t>13.1</w:t>
            </w:r>
          </w:p>
        </w:tc>
      </w:tr>
      <w:tr>
        <w:trPr>
          <w:trHeight w:val="186"/>
        </w:trPr>
        <w:tc>
          <w:tcPr>
            <w:tcW w:w="2680" w:type="dxa"/>
            <w:vAlign w:val="bottom"/>
          </w:tcPr>
          <w:p>
            <w:pPr>
              <w:ind w:left="20"/>
              <w:spacing w:after="0"/>
              <w:rPr>
                <w:sz w:val="20"/>
                <w:szCs w:val="20"/>
                <w:color w:val="auto"/>
              </w:rPr>
            </w:pPr>
            <w:r>
              <w:rPr>
                <w:rFonts w:ascii="Arial" w:cs="Arial" w:eastAsia="Arial" w:hAnsi="Arial"/>
                <w:sz w:val="12"/>
                <w:szCs w:val="12"/>
                <w:color w:val="282A32"/>
              </w:rPr>
              <w:t>Office closure costs</w:t>
            </w:r>
          </w:p>
        </w:tc>
        <w:tc>
          <w:tcPr>
            <w:tcW w:w="1960" w:type="dxa"/>
            <w:vAlign w:val="bottom"/>
          </w:tcPr>
          <w:p>
            <w:pPr>
              <w:jc w:val="right"/>
              <w:ind w:right="319"/>
              <w:spacing w:after="0"/>
              <w:rPr>
                <w:sz w:val="20"/>
                <w:szCs w:val="20"/>
                <w:color w:val="auto"/>
              </w:rPr>
            </w:pPr>
            <w:r>
              <w:rPr>
                <w:rFonts w:ascii="Arial" w:cs="Arial" w:eastAsia="Arial" w:hAnsi="Arial"/>
                <w:sz w:val="12"/>
                <w:szCs w:val="12"/>
                <w:color w:val="282A32"/>
              </w:rPr>
              <w:t>0.7</w:t>
            </w:r>
          </w:p>
        </w:tc>
        <w:tc>
          <w:tcPr>
            <w:tcW w:w="1160" w:type="dxa"/>
            <w:vAlign w:val="bottom"/>
          </w:tcPr>
          <w:p>
            <w:pPr>
              <w:jc w:val="right"/>
              <w:ind w:right="299"/>
              <w:spacing w:after="0"/>
              <w:rPr>
                <w:sz w:val="20"/>
                <w:szCs w:val="20"/>
                <w:color w:val="auto"/>
              </w:rPr>
            </w:pPr>
            <w:r>
              <w:rPr>
                <w:rFonts w:ascii="Arial" w:cs="Arial" w:eastAsia="Arial" w:hAnsi="Arial"/>
                <w:sz w:val="12"/>
                <w:szCs w:val="12"/>
                <w:color w:val="282A32"/>
              </w:rPr>
              <w:t>—</w:t>
            </w:r>
          </w:p>
        </w:tc>
        <w:tc>
          <w:tcPr>
            <w:tcW w:w="1200" w:type="dxa"/>
            <w:vAlign w:val="bottom"/>
          </w:tcPr>
          <w:p>
            <w:pPr>
              <w:jc w:val="right"/>
              <w:ind w:right="359"/>
              <w:spacing w:after="0"/>
              <w:rPr>
                <w:sz w:val="20"/>
                <w:szCs w:val="20"/>
                <w:color w:val="auto"/>
              </w:rPr>
            </w:pPr>
            <w:r>
              <w:rPr>
                <w:rFonts w:ascii="Arial" w:cs="Arial" w:eastAsia="Arial" w:hAnsi="Arial"/>
                <w:sz w:val="12"/>
                <w:szCs w:val="12"/>
                <w:color w:val="282A32"/>
              </w:rPr>
              <w:t>0.4</w:t>
            </w:r>
          </w:p>
        </w:tc>
        <w:tc>
          <w:tcPr>
            <w:tcW w:w="940" w:type="dxa"/>
            <w:vAlign w:val="bottom"/>
          </w:tcPr>
          <w:p>
            <w:pPr>
              <w:jc w:val="right"/>
              <w:ind w:right="159"/>
              <w:spacing w:after="0"/>
              <w:rPr>
                <w:sz w:val="20"/>
                <w:szCs w:val="20"/>
                <w:color w:val="auto"/>
              </w:rPr>
            </w:pPr>
            <w:r>
              <w:rPr>
                <w:rFonts w:ascii="Arial" w:cs="Arial" w:eastAsia="Arial" w:hAnsi="Arial"/>
                <w:sz w:val="12"/>
                <w:szCs w:val="12"/>
                <w:color w:val="282A32"/>
              </w:rPr>
              <w:t>2.0</w:t>
            </w:r>
          </w:p>
        </w:tc>
        <w:tc>
          <w:tcPr>
            <w:tcW w:w="1480" w:type="dxa"/>
            <w:vAlign w:val="bottom"/>
          </w:tcPr>
          <w:p>
            <w:pPr>
              <w:jc w:val="right"/>
              <w:ind w:right="279"/>
              <w:spacing w:after="0"/>
              <w:rPr>
                <w:sz w:val="20"/>
                <w:szCs w:val="20"/>
                <w:color w:val="auto"/>
              </w:rPr>
            </w:pPr>
            <w:r>
              <w:rPr>
                <w:rFonts w:ascii="Arial" w:cs="Arial" w:eastAsia="Arial" w:hAnsi="Arial"/>
                <w:sz w:val="12"/>
                <w:szCs w:val="12"/>
                <w:color w:val="282A32"/>
              </w:rPr>
              <w:t>0.2</w:t>
            </w:r>
          </w:p>
        </w:tc>
        <w:tc>
          <w:tcPr>
            <w:tcW w:w="1220" w:type="dxa"/>
            <w:vAlign w:val="bottom"/>
          </w:tcPr>
          <w:p>
            <w:pPr>
              <w:jc w:val="right"/>
              <w:ind w:right="359"/>
              <w:spacing w:after="0"/>
              <w:rPr>
                <w:sz w:val="20"/>
                <w:szCs w:val="20"/>
                <w:color w:val="auto"/>
              </w:rPr>
            </w:pPr>
            <w:r>
              <w:rPr>
                <w:rFonts w:ascii="Arial" w:cs="Arial" w:eastAsia="Arial" w:hAnsi="Arial"/>
                <w:sz w:val="12"/>
                <w:szCs w:val="12"/>
                <w:color w:val="282A32"/>
              </w:rPr>
              <w:t>—</w:t>
            </w:r>
          </w:p>
        </w:tc>
        <w:tc>
          <w:tcPr>
            <w:tcW w:w="820" w:type="dxa"/>
            <w:vAlign w:val="bottom"/>
          </w:tcPr>
          <w:p>
            <w:pPr>
              <w:jc w:val="right"/>
              <w:ind w:right="39"/>
              <w:spacing w:after="0"/>
              <w:rPr>
                <w:sz w:val="20"/>
                <w:szCs w:val="20"/>
                <w:color w:val="auto"/>
              </w:rPr>
            </w:pPr>
            <w:r>
              <w:rPr>
                <w:rFonts w:ascii="Arial" w:cs="Arial" w:eastAsia="Arial" w:hAnsi="Arial"/>
                <w:sz w:val="12"/>
                <w:szCs w:val="12"/>
                <w:color w:val="282A32"/>
              </w:rPr>
              <w:t>3.3</w:t>
            </w:r>
          </w:p>
        </w:tc>
      </w:tr>
      <w:tr>
        <w:trPr>
          <w:trHeight w:val="194"/>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Costs paid or utilized</w:t>
            </w:r>
          </w:p>
        </w:tc>
        <w:tc>
          <w:tcPr>
            <w:tcW w:w="19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282A32"/>
              </w:rPr>
              <w:t>(0.8)</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282A32"/>
              </w:rPr>
              <w:t>(0.6)</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282A32"/>
              </w:rPr>
              <w:t>(6.3)</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282A32"/>
              </w:rPr>
              <w:t>(1.7)</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282A32"/>
              </w:rPr>
              <w:t>(2.8)</w:t>
            </w: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282A32"/>
              </w:rPr>
              <w:t>(0.7)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(12.9)</w:t>
            </w:r>
          </w:p>
        </w:tc>
      </w:tr>
      <w:tr>
        <w:trPr>
          <w:trHeight w:val="17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Balance, December 31, 2015</w:t>
            </w:r>
          </w:p>
        </w:tc>
        <w:tc>
          <w:tcPr>
            <w:tcW w:w="19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282A32"/>
              </w:rPr>
              <w:t>3.5</w:t>
            </w: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282A32"/>
              </w:rPr>
              <w:t>1.7</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8.5</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282A32"/>
              </w:rPr>
              <w:t>1.7</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282A32"/>
              </w:rPr>
              <w:t>0.8</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0.2</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16.4</w:t>
            </w:r>
          </w:p>
        </w:tc>
      </w:tr>
      <w:tr>
        <w:trPr>
          <w:trHeight w:val="17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Costs paid or utilized</w:t>
            </w:r>
          </w:p>
        </w:tc>
        <w:tc>
          <w:tcPr>
            <w:tcW w:w="19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282A32"/>
              </w:rPr>
              <w:t>(3.1)</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282A32"/>
              </w:rPr>
              <w:t>(0.4)</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282A32"/>
              </w:rPr>
              <w:t>(5.9)</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282A32"/>
              </w:rPr>
              <w:t>(1.6)</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282A32"/>
              </w:rPr>
              <w:t>(0.7)</w:t>
            </w: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282A32"/>
              </w:rPr>
              <w:t>(0.2)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(11.9)</w:t>
            </w:r>
          </w:p>
        </w:tc>
      </w:tr>
      <w:tr>
        <w:trPr>
          <w:trHeight w:val="228"/>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Balance, December 31, 2016</w:t>
            </w:r>
          </w:p>
        </w:tc>
        <w:tc>
          <w:tcPr>
            <w:tcW w:w="19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282A32"/>
              </w:rPr>
              <w:t>$0.4</w:t>
            </w: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282A32"/>
              </w:rPr>
              <w:t>$1.3</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$2.6</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282A32"/>
              </w:rPr>
              <w:t>$0.1</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282A32"/>
              </w:rPr>
              <w:t>$0.1</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$4.5</w:t>
            </w:r>
          </w:p>
        </w:tc>
      </w:tr>
    </w:tbl>
    <w:p>
      <w:pPr>
        <w:spacing w:after="0" w:line="159" w:lineRule="exact"/>
        <w:rPr>
          <w:sz w:val="20"/>
          <w:szCs w:val="20"/>
          <w:color w:val="auto"/>
        </w:rPr>
      </w:pPr>
    </w:p>
    <w:p>
      <w:pPr>
        <w:ind w:firstLine="3"/>
        <w:spacing w:after="0" w:line="245" w:lineRule="auto"/>
        <w:tabs>
          <w:tab w:leader="none" w:pos="168" w:val="left"/>
        </w:tabs>
        <w:numPr>
          <w:ilvl w:val="0"/>
          <w:numId w:val="53"/>
        </w:numPr>
        <w:rPr>
          <w:rFonts w:ascii="Arial" w:cs="Arial" w:eastAsia="Arial" w:hAnsi="Arial"/>
          <w:sz w:val="11"/>
          <w:szCs w:val="11"/>
          <w:color w:val="282A32"/>
        </w:rPr>
      </w:pPr>
      <w:r>
        <w:rPr>
          <w:rFonts w:ascii="Arial" w:cs="Arial" w:eastAsia="Arial" w:hAnsi="Arial"/>
          <w:sz w:val="11"/>
          <w:szCs w:val="11"/>
          <w:color w:val="282A32"/>
        </w:rPr>
        <w:t>Balance related to United States was $1.0 as of January 1, 2015. In 2015, United States incurred $2.3 for severance costs and $0.7 for office closure costs and paid/utilized $1.1, leaving a $2.9 liability as of December 31, 2015. In 2016, United States paid/utilized $2.5, leaving a $0.4 liability as of December 31, 2016.</w:t>
      </w:r>
    </w:p>
    <w:p>
      <w:pPr>
        <w:spacing w:after="0" w:line="72" w:lineRule="exact"/>
        <w:rPr>
          <w:rFonts w:ascii="Arial" w:cs="Arial" w:eastAsia="Arial" w:hAnsi="Arial"/>
          <w:sz w:val="11"/>
          <w:szCs w:val="11"/>
          <w:color w:val="282A32"/>
        </w:rPr>
      </w:pPr>
    </w:p>
    <w:p>
      <w:pPr>
        <w:ind w:firstLine="3"/>
        <w:spacing w:after="0" w:line="245" w:lineRule="auto"/>
        <w:tabs>
          <w:tab w:leader="none" w:pos="167" w:val="left"/>
        </w:tabs>
        <w:numPr>
          <w:ilvl w:val="0"/>
          <w:numId w:val="53"/>
        </w:numPr>
        <w:rPr>
          <w:rFonts w:ascii="Arial" w:cs="Arial" w:eastAsia="Arial" w:hAnsi="Arial"/>
          <w:sz w:val="11"/>
          <w:szCs w:val="11"/>
          <w:color w:val="282A32"/>
        </w:rPr>
      </w:pPr>
      <w:r>
        <w:rPr>
          <w:rFonts w:ascii="Arial" w:cs="Arial" w:eastAsia="Arial" w:hAnsi="Arial"/>
          <w:sz w:val="11"/>
          <w:szCs w:val="11"/>
          <w:color w:val="282A32"/>
        </w:rPr>
        <w:t>Balance related to France was $2.1 as of January 1, 2015. In 2015, France paid/utilized $0.6, leaving a $1.5 liability as of December 31, 2015. In 2016, France paid/utilized $0.2, leaving a $1.3 liability as of December 31, 2016. Italy had no restructuring reserves recorded as of either January 1, 2015, December 31, 2015 or December 31, 2016.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52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color w:val="2989B9"/>
        </w:rPr>
        <w:t>Income Taxes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Fair Value Measurements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assets and liabilities measured and recorded at fair value on a recurring basis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20" w:type="dxa"/>
            <w:vAlign w:val="bottom"/>
            <w:gridSpan w:val="3"/>
          </w:tcPr>
          <w:p>
            <w:pPr>
              <w:jc w:val="right"/>
              <w:ind w:right="240"/>
              <w:spacing w:after="0"/>
              <w:rPr>
                <w:sz w:val="20"/>
                <w:szCs w:val="20"/>
                <w:color w:val="auto"/>
              </w:rPr>
            </w:pPr>
            <w:r>
              <w:rPr>
                <w:rFonts w:ascii="Arial" w:cs="Arial" w:eastAsia="Arial" w:hAnsi="Arial"/>
                <w:sz w:val="11"/>
                <w:szCs w:val="11"/>
                <w:color w:val="282A32"/>
              </w:rPr>
              <w:t>Fair Value Measurements Using</w:t>
            </w:r>
          </w:p>
        </w:tc>
        <w:tc>
          <w:tcPr>
            <w:tcW w:w="1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80" w:type="dxa"/>
            <w:vAlign w:val="bottom"/>
            <w:gridSpan w:val="2"/>
          </w:tcPr>
          <w:p>
            <w:pPr>
              <w:jc w:val="right"/>
              <w:ind w:right="46"/>
              <w:spacing w:after="0"/>
              <w:rPr>
                <w:sz w:val="20"/>
                <w:szCs w:val="20"/>
                <w:color w:val="auto"/>
              </w:rPr>
            </w:pPr>
            <w:r>
              <w:rPr>
                <w:rFonts w:ascii="Arial" w:cs="Arial" w:eastAsia="Arial" w:hAnsi="Arial"/>
                <w:sz w:val="11"/>
                <w:szCs w:val="11"/>
                <w:color w:val="282A32"/>
              </w:rPr>
              <w:t>Fair Value Measurements Using</w:t>
            </w:r>
          </w:p>
        </w:tc>
      </w:tr>
      <w:tr>
        <w:trPr>
          <w:trHeight w:val="121"/>
        </w:trPr>
        <w:tc>
          <w:tcPr>
            <w:tcW w:w="288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27"/>
              <w:spacing w:after="0"/>
              <w:rPr>
                <w:sz w:val="20"/>
                <w:szCs w:val="20"/>
                <w:color w:val="auto"/>
              </w:rPr>
            </w:pPr>
            <w:r>
              <w:rPr>
                <w:rFonts w:ascii="Arial" w:cs="Arial" w:eastAsia="Arial" w:hAnsi="Arial"/>
                <w:sz w:val="9"/>
                <w:szCs w:val="9"/>
                <w:color w:val="282A32"/>
              </w:rPr>
              <w:t>Quoted Prices in</w:t>
            </w:r>
          </w:p>
        </w:tc>
        <w:tc>
          <w:tcPr>
            <w:tcW w:w="10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47"/>
              <w:spacing w:after="0"/>
              <w:rPr>
                <w:sz w:val="20"/>
                <w:szCs w:val="20"/>
                <w:color w:val="auto"/>
              </w:rPr>
            </w:pPr>
            <w:r>
              <w:rPr>
                <w:rFonts w:ascii="Arial" w:cs="Arial" w:eastAsia="Arial" w:hAnsi="Arial"/>
                <w:sz w:val="9"/>
                <w:szCs w:val="9"/>
                <w:color w:val="282A32"/>
              </w:rPr>
              <w:t>Quoted Prices in</w:t>
            </w:r>
          </w:p>
        </w:tc>
        <w:tc>
          <w:tcPr>
            <w:tcW w:w="10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r>
      <w:tr>
        <w:trPr>
          <w:trHeight w:val="103"/>
        </w:trPr>
        <w:tc>
          <w:tcPr>
            <w:tcW w:w="2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jc w:val="right"/>
              <w:ind w:right="227"/>
              <w:spacing w:after="0"/>
              <w:rPr>
                <w:sz w:val="20"/>
                <w:szCs w:val="20"/>
                <w:color w:val="auto"/>
              </w:rPr>
            </w:pPr>
            <w:r>
              <w:rPr>
                <w:rFonts w:ascii="Arial" w:cs="Arial" w:eastAsia="Arial" w:hAnsi="Arial"/>
                <w:sz w:val="9"/>
                <w:szCs w:val="9"/>
                <w:color w:val="282A32"/>
              </w:rPr>
              <w:t>Active Markets</w:t>
            </w:r>
          </w:p>
        </w:tc>
        <w:tc>
          <w:tcPr>
            <w:tcW w:w="1040" w:type="dxa"/>
            <w:vAlign w:val="bottom"/>
          </w:tcPr>
          <w:p>
            <w:pPr>
              <w:jc w:val="right"/>
              <w:ind w:right="246"/>
              <w:spacing w:after="0"/>
              <w:rPr>
                <w:sz w:val="20"/>
                <w:szCs w:val="20"/>
                <w:color w:val="auto"/>
              </w:rPr>
            </w:pPr>
            <w:r>
              <w:rPr>
                <w:rFonts w:ascii="Arial" w:cs="Arial" w:eastAsia="Arial" w:hAnsi="Arial"/>
                <w:sz w:val="9"/>
                <w:szCs w:val="9"/>
                <w:color w:val="282A32"/>
              </w:rPr>
              <w:t>Significant</w:t>
            </w: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jc w:val="right"/>
              <w:ind w:right="247"/>
              <w:spacing w:after="0"/>
              <w:rPr>
                <w:sz w:val="20"/>
                <w:szCs w:val="20"/>
                <w:color w:val="auto"/>
              </w:rPr>
            </w:pPr>
            <w:r>
              <w:rPr>
                <w:rFonts w:ascii="Arial" w:cs="Arial" w:eastAsia="Arial" w:hAnsi="Arial"/>
                <w:sz w:val="9"/>
                <w:szCs w:val="9"/>
                <w:color w:val="282A32"/>
              </w:rPr>
              <w:t>Active Markets</w:t>
            </w:r>
          </w:p>
        </w:tc>
        <w:tc>
          <w:tcPr>
            <w:tcW w:w="1020" w:type="dxa"/>
            <w:vAlign w:val="bottom"/>
          </w:tcPr>
          <w:p>
            <w:pPr>
              <w:jc w:val="right"/>
              <w:ind w:right="266"/>
              <w:spacing w:after="0"/>
              <w:rPr>
                <w:sz w:val="20"/>
                <w:szCs w:val="20"/>
                <w:color w:val="auto"/>
              </w:rPr>
            </w:pPr>
            <w:r>
              <w:rPr>
                <w:rFonts w:ascii="Arial" w:cs="Arial" w:eastAsia="Arial" w:hAnsi="Arial"/>
                <w:sz w:val="9"/>
                <w:szCs w:val="9"/>
                <w:color w:val="282A32"/>
              </w:rPr>
              <w:t>Significant</w:t>
            </w:r>
          </w:p>
        </w:tc>
        <w:tc>
          <w:tcPr>
            <w:tcW w:w="960" w:type="dxa"/>
            <w:vAlign w:val="bottom"/>
          </w:tcPr>
          <w:p>
            <w:pPr>
              <w:spacing w:after="0"/>
              <w:rPr>
                <w:sz w:val="8"/>
                <w:szCs w:val="8"/>
                <w:color w:val="auto"/>
              </w:rPr>
            </w:pPr>
          </w:p>
        </w:tc>
      </w:tr>
      <w:tr>
        <w:trPr>
          <w:trHeight w:val="103"/>
        </w:trPr>
        <w:tc>
          <w:tcPr>
            <w:tcW w:w="2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jc w:val="right"/>
              <w:ind w:right="227"/>
              <w:spacing w:after="0"/>
              <w:rPr>
                <w:sz w:val="20"/>
                <w:szCs w:val="20"/>
                <w:color w:val="auto"/>
              </w:rPr>
            </w:pPr>
            <w:r>
              <w:rPr>
                <w:rFonts w:ascii="Arial" w:cs="Arial" w:eastAsia="Arial" w:hAnsi="Arial"/>
                <w:sz w:val="9"/>
                <w:szCs w:val="9"/>
                <w:color w:val="282A32"/>
              </w:rPr>
              <w:t>for</w:t>
            </w:r>
          </w:p>
        </w:tc>
        <w:tc>
          <w:tcPr>
            <w:tcW w:w="1040" w:type="dxa"/>
            <w:vAlign w:val="bottom"/>
          </w:tcPr>
          <w:p>
            <w:pPr>
              <w:jc w:val="right"/>
              <w:ind w:right="246"/>
              <w:spacing w:after="0"/>
              <w:rPr>
                <w:sz w:val="20"/>
                <w:szCs w:val="20"/>
                <w:color w:val="auto"/>
              </w:rPr>
            </w:pPr>
            <w:r>
              <w:rPr>
                <w:rFonts w:ascii="Arial" w:cs="Arial" w:eastAsia="Arial" w:hAnsi="Arial"/>
                <w:sz w:val="9"/>
                <w:szCs w:val="9"/>
                <w:color w:val="282A32"/>
              </w:rPr>
              <w:t>Other</w:t>
            </w:r>
          </w:p>
        </w:tc>
        <w:tc>
          <w:tcPr>
            <w:tcW w:w="1080" w:type="dxa"/>
            <w:vAlign w:val="bottom"/>
            <w:gridSpan w:val="2"/>
          </w:tcPr>
          <w:p>
            <w:pPr>
              <w:jc w:val="right"/>
              <w:ind w:right="240"/>
              <w:spacing w:after="0"/>
              <w:rPr>
                <w:sz w:val="20"/>
                <w:szCs w:val="20"/>
                <w:color w:val="auto"/>
              </w:rPr>
            </w:pPr>
            <w:r>
              <w:rPr>
                <w:rFonts w:ascii="Arial" w:cs="Arial" w:eastAsia="Arial" w:hAnsi="Arial"/>
                <w:sz w:val="9"/>
                <w:szCs w:val="9"/>
                <w:color w:val="282A32"/>
              </w:rPr>
              <w:t>Significant</w:t>
            </w:r>
          </w:p>
        </w:tc>
        <w:tc>
          <w:tcPr>
            <w:tcW w:w="1200" w:type="dxa"/>
            <w:vAlign w:val="bottom"/>
          </w:tcPr>
          <w:p>
            <w:pPr>
              <w:spacing w:after="0"/>
              <w:rPr>
                <w:sz w:val="8"/>
                <w:szCs w:val="8"/>
                <w:color w:val="auto"/>
              </w:rPr>
            </w:pPr>
          </w:p>
        </w:tc>
        <w:tc>
          <w:tcPr>
            <w:tcW w:w="1020" w:type="dxa"/>
            <w:vAlign w:val="bottom"/>
          </w:tcPr>
          <w:p>
            <w:pPr>
              <w:jc w:val="right"/>
              <w:ind w:right="247"/>
              <w:spacing w:after="0"/>
              <w:rPr>
                <w:sz w:val="20"/>
                <w:szCs w:val="20"/>
                <w:color w:val="auto"/>
              </w:rPr>
            </w:pPr>
            <w:r>
              <w:rPr>
                <w:rFonts w:ascii="Arial" w:cs="Arial" w:eastAsia="Arial" w:hAnsi="Arial"/>
                <w:sz w:val="9"/>
                <w:szCs w:val="9"/>
                <w:color w:val="282A32"/>
              </w:rPr>
              <w:t>for</w:t>
            </w:r>
          </w:p>
        </w:tc>
        <w:tc>
          <w:tcPr>
            <w:tcW w:w="1020" w:type="dxa"/>
            <w:vAlign w:val="bottom"/>
          </w:tcPr>
          <w:p>
            <w:pPr>
              <w:jc w:val="right"/>
              <w:ind w:right="226"/>
              <w:spacing w:after="0"/>
              <w:rPr>
                <w:sz w:val="20"/>
                <w:szCs w:val="20"/>
                <w:color w:val="auto"/>
              </w:rPr>
            </w:pPr>
            <w:r>
              <w:rPr>
                <w:rFonts w:ascii="Arial" w:cs="Arial" w:eastAsia="Arial" w:hAnsi="Arial"/>
                <w:sz w:val="9"/>
                <w:szCs w:val="9"/>
                <w:color w:val="282A32"/>
              </w:rPr>
              <w:t>Other</w:t>
            </w:r>
          </w:p>
        </w:tc>
        <w:tc>
          <w:tcPr>
            <w:tcW w:w="960" w:type="dxa"/>
            <w:vAlign w:val="bottom"/>
          </w:tcPr>
          <w:p>
            <w:pPr>
              <w:jc w:val="right"/>
              <w:ind w:right="46"/>
              <w:spacing w:after="0"/>
              <w:rPr>
                <w:sz w:val="20"/>
                <w:szCs w:val="20"/>
                <w:color w:val="auto"/>
              </w:rPr>
            </w:pPr>
            <w:r>
              <w:rPr>
                <w:rFonts w:ascii="Arial" w:cs="Arial" w:eastAsia="Arial" w:hAnsi="Arial"/>
                <w:sz w:val="9"/>
                <w:szCs w:val="9"/>
                <w:color w:val="282A32"/>
              </w:rPr>
              <w:t>Significant</w:t>
            </w:r>
          </w:p>
        </w:tc>
      </w:tr>
      <w:tr>
        <w:trPr>
          <w:trHeight w:val="103"/>
        </w:trPr>
        <w:tc>
          <w:tcPr>
            <w:tcW w:w="2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jc w:val="right"/>
              <w:ind w:right="227"/>
              <w:spacing w:after="0"/>
              <w:rPr>
                <w:sz w:val="20"/>
                <w:szCs w:val="20"/>
                <w:color w:val="auto"/>
              </w:rPr>
            </w:pPr>
            <w:r>
              <w:rPr>
                <w:rFonts w:ascii="Arial" w:cs="Arial" w:eastAsia="Arial" w:hAnsi="Arial"/>
                <w:sz w:val="9"/>
                <w:szCs w:val="9"/>
                <w:color w:val="282A32"/>
              </w:rPr>
              <w:t>Identical</w:t>
            </w:r>
          </w:p>
        </w:tc>
        <w:tc>
          <w:tcPr>
            <w:tcW w:w="1040" w:type="dxa"/>
            <w:vAlign w:val="bottom"/>
          </w:tcPr>
          <w:p>
            <w:pPr>
              <w:jc w:val="right"/>
              <w:ind w:right="246"/>
              <w:spacing w:after="0"/>
              <w:rPr>
                <w:sz w:val="20"/>
                <w:szCs w:val="20"/>
                <w:color w:val="auto"/>
              </w:rPr>
            </w:pPr>
            <w:r>
              <w:rPr>
                <w:rFonts w:ascii="Arial" w:cs="Arial" w:eastAsia="Arial" w:hAnsi="Arial"/>
                <w:sz w:val="9"/>
                <w:szCs w:val="9"/>
                <w:color w:val="282A32"/>
              </w:rPr>
              <w:t>Observable</w:t>
            </w:r>
          </w:p>
        </w:tc>
        <w:tc>
          <w:tcPr>
            <w:tcW w:w="1080" w:type="dxa"/>
            <w:vAlign w:val="bottom"/>
            <w:gridSpan w:val="2"/>
          </w:tcPr>
          <w:p>
            <w:pPr>
              <w:jc w:val="right"/>
              <w:ind w:right="240"/>
              <w:spacing w:after="0"/>
              <w:rPr>
                <w:sz w:val="20"/>
                <w:szCs w:val="20"/>
                <w:color w:val="auto"/>
              </w:rPr>
            </w:pPr>
            <w:r>
              <w:rPr>
                <w:rFonts w:ascii="Arial" w:cs="Arial" w:eastAsia="Arial" w:hAnsi="Arial"/>
                <w:sz w:val="9"/>
                <w:szCs w:val="9"/>
                <w:color w:val="282A32"/>
              </w:rPr>
              <w:t>Unobservable</w:t>
            </w:r>
          </w:p>
        </w:tc>
        <w:tc>
          <w:tcPr>
            <w:tcW w:w="1200" w:type="dxa"/>
            <w:vAlign w:val="bottom"/>
          </w:tcPr>
          <w:p>
            <w:pPr>
              <w:spacing w:after="0"/>
              <w:rPr>
                <w:sz w:val="8"/>
                <w:szCs w:val="8"/>
                <w:color w:val="auto"/>
              </w:rPr>
            </w:pPr>
          </w:p>
        </w:tc>
        <w:tc>
          <w:tcPr>
            <w:tcW w:w="1020" w:type="dxa"/>
            <w:vAlign w:val="bottom"/>
          </w:tcPr>
          <w:p>
            <w:pPr>
              <w:jc w:val="right"/>
              <w:ind w:right="247"/>
              <w:spacing w:after="0"/>
              <w:rPr>
                <w:sz w:val="20"/>
                <w:szCs w:val="20"/>
                <w:color w:val="auto"/>
              </w:rPr>
            </w:pPr>
            <w:r>
              <w:rPr>
                <w:rFonts w:ascii="Arial" w:cs="Arial" w:eastAsia="Arial" w:hAnsi="Arial"/>
                <w:sz w:val="9"/>
                <w:szCs w:val="9"/>
                <w:color w:val="282A32"/>
              </w:rPr>
              <w:t>Identical</w:t>
            </w:r>
          </w:p>
        </w:tc>
        <w:tc>
          <w:tcPr>
            <w:tcW w:w="1020" w:type="dxa"/>
            <w:vAlign w:val="bottom"/>
          </w:tcPr>
          <w:p>
            <w:pPr>
              <w:jc w:val="right"/>
              <w:ind w:right="226"/>
              <w:spacing w:after="0"/>
              <w:rPr>
                <w:sz w:val="20"/>
                <w:szCs w:val="20"/>
                <w:color w:val="auto"/>
              </w:rPr>
            </w:pPr>
            <w:r>
              <w:rPr>
                <w:rFonts w:ascii="Arial" w:cs="Arial" w:eastAsia="Arial" w:hAnsi="Arial"/>
                <w:sz w:val="9"/>
                <w:szCs w:val="9"/>
                <w:color w:val="282A32"/>
              </w:rPr>
              <w:t>Observable</w:t>
            </w:r>
          </w:p>
        </w:tc>
        <w:tc>
          <w:tcPr>
            <w:tcW w:w="960" w:type="dxa"/>
            <w:vAlign w:val="bottom"/>
          </w:tcPr>
          <w:p>
            <w:pPr>
              <w:jc w:val="right"/>
              <w:ind w:right="46"/>
              <w:spacing w:after="0"/>
              <w:rPr>
                <w:sz w:val="20"/>
                <w:szCs w:val="20"/>
                <w:color w:val="auto"/>
              </w:rPr>
            </w:pPr>
            <w:r>
              <w:rPr>
                <w:rFonts w:ascii="Arial" w:cs="Arial" w:eastAsia="Arial" w:hAnsi="Arial"/>
                <w:sz w:val="9"/>
                <w:szCs w:val="9"/>
                <w:color w:val="282A32"/>
              </w:rPr>
              <w:t>Unobservable</w:t>
            </w:r>
          </w:p>
        </w:tc>
      </w:tr>
      <w:tr>
        <w:trPr>
          <w:trHeight w:val="103"/>
        </w:trPr>
        <w:tc>
          <w:tcPr>
            <w:tcW w:w="2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jc w:val="right"/>
              <w:ind w:right="227"/>
              <w:spacing w:after="0"/>
              <w:rPr>
                <w:sz w:val="20"/>
                <w:szCs w:val="20"/>
                <w:color w:val="auto"/>
              </w:rPr>
            </w:pPr>
            <w:r>
              <w:rPr>
                <w:rFonts w:ascii="Arial" w:cs="Arial" w:eastAsia="Arial" w:hAnsi="Arial"/>
                <w:sz w:val="9"/>
                <w:szCs w:val="9"/>
                <w:color w:val="282A32"/>
              </w:rPr>
              <w:t>Assets</w:t>
            </w:r>
          </w:p>
        </w:tc>
        <w:tc>
          <w:tcPr>
            <w:tcW w:w="1040" w:type="dxa"/>
            <w:vAlign w:val="bottom"/>
          </w:tcPr>
          <w:p>
            <w:pPr>
              <w:jc w:val="right"/>
              <w:ind w:right="246"/>
              <w:spacing w:after="0"/>
              <w:rPr>
                <w:sz w:val="20"/>
                <w:szCs w:val="20"/>
                <w:color w:val="auto"/>
              </w:rPr>
            </w:pPr>
            <w:r>
              <w:rPr>
                <w:rFonts w:ascii="Arial" w:cs="Arial" w:eastAsia="Arial" w:hAnsi="Arial"/>
                <w:sz w:val="9"/>
                <w:szCs w:val="9"/>
                <w:color w:val="282A32"/>
              </w:rPr>
              <w:t>Inputs</w:t>
            </w:r>
          </w:p>
        </w:tc>
        <w:tc>
          <w:tcPr>
            <w:tcW w:w="1080" w:type="dxa"/>
            <w:vAlign w:val="bottom"/>
            <w:gridSpan w:val="2"/>
          </w:tcPr>
          <w:p>
            <w:pPr>
              <w:jc w:val="right"/>
              <w:ind w:right="240"/>
              <w:spacing w:after="0"/>
              <w:rPr>
                <w:sz w:val="20"/>
                <w:szCs w:val="20"/>
                <w:color w:val="auto"/>
              </w:rPr>
            </w:pPr>
            <w:r>
              <w:rPr>
                <w:rFonts w:ascii="Arial" w:cs="Arial" w:eastAsia="Arial" w:hAnsi="Arial"/>
                <w:sz w:val="9"/>
                <w:szCs w:val="9"/>
                <w:color w:val="282A32"/>
              </w:rPr>
              <w:t>Inputs</w:t>
            </w:r>
          </w:p>
        </w:tc>
        <w:tc>
          <w:tcPr>
            <w:tcW w:w="1200" w:type="dxa"/>
            <w:vAlign w:val="bottom"/>
          </w:tcPr>
          <w:p>
            <w:pPr>
              <w:spacing w:after="0"/>
              <w:rPr>
                <w:sz w:val="8"/>
                <w:szCs w:val="8"/>
                <w:color w:val="auto"/>
              </w:rPr>
            </w:pPr>
          </w:p>
        </w:tc>
        <w:tc>
          <w:tcPr>
            <w:tcW w:w="1020" w:type="dxa"/>
            <w:vAlign w:val="bottom"/>
          </w:tcPr>
          <w:p>
            <w:pPr>
              <w:jc w:val="right"/>
              <w:ind w:right="247"/>
              <w:spacing w:after="0"/>
              <w:rPr>
                <w:sz w:val="20"/>
                <w:szCs w:val="20"/>
                <w:color w:val="auto"/>
              </w:rPr>
            </w:pPr>
            <w:r>
              <w:rPr>
                <w:rFonts w:ascii="Arial" w:cs="Arial" w:eastAsia="Arial" w:hAnsi="Arial"/>
                <w:sz w:val="9"/>
                <w:szCs w:val="9"/>
                <w:color w:val="282A32"/>
              </w:rPr>
              <w:t>Assets</w:t>
            </w:r>
          </w:p>
        </w:tc>
        <w:tc>
          <w:tcPr>
            <w:tcW w:w="1020" w:type="dxa"/>
            <w:vAlign w:val="bottom"/>
          </w:tcPr>
          <w:p>
            <w:pPr>
              <w:jc w:val="right"/>
              <w:ind w:right="226"/>
              <w:spacing w:after="0"/>
              <w:rPr>
                <w:sz w:val="20"/>
                <w:szCs w:val="20"/>
                <w:color w:val="auto"/>
              </w:rPr>
            </w:pPr>
            <w:r>
              <w:rPr>
                <w:rFonts w:ascii="Arial" w:cs="Arial" w:eastAsia="Arial" w:hAnsi="Arial"/>
                <w:sz w:val="9"/>
                <w:szCs w:val="9"/>
                <w:color w:val="282A32"/>
              </w:rPr>
              <w:t>Inputs</w:t>
            </w:r>
          </w:p>
        </w:tc>
        <w:tc>
          <w:tcPr>
            <w:tcW w:w="960" w:type="dxa"/>
            <w:vAlign w:val="bottom"/>
          </w:tcPr>
          <w:p>
            <w:pPr>
              <w:jc w:val="right"/>
              <w:ind w:right="86"/>
              <w:spacing w:after="0"/>
              <w:rPr>
                <w:sz w:val="20"/>
                <w:szCs w:val="20"/>
                <w:color w:val="auto"/>
              </w:rPr>
            </w:pPr>
            <w:r>
              <w:rPr>
                <w:rFonts w:ascii="Arial" w:cs="Arial" w:eastAsia="Arial" w:hAnsi="Arial"/>
                <w:sz w:val="9"/>
                <w:szCs w:val="9"/>
                <w:color w:val="282A32"/>
              </w:rPr>
              <w:t>Inputs</w:t>
            </w:r>
          </w:p>
        </w:tc>
      </w:tr>
      <w:tr>
        <w:trPr>
          <w:trHeight w:val="115"/>
        </w:trPr>
        <w:tc>
          <w:tcPr>
            <w:tcW w:w="28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9"/>
                <w:szCs w:val="9"/>
                <w:color w:val="282A32"/>
              </w:rPr>
              <w:t>December 31, 2016</w:t>
            </w:r>
          </w:p>
        </w:tc>
        <w:tc>
          <w:tcPr>
            <w:tcW w:w="980" w:type="dxa"/>
            <w:vAlign w:val="bottom"/>
            <w:tcBorders>
              <w:bottom w:val="single" w:sz="8" w:color="auto"/>
            </w:tcBorders>
          </w:tcPr>
          <w:p>
            <w:pPr>
              <w:jc w:val="right"/>
              <w:ind w:right="227"/>
              <w:spacing w:after="0"/>
              <w:rPr>
                <w:sz w:val="20"/>
                <w:szCs w:val="20"/>
                <w:color w:val="auto"/>
              </w:rPr>
            </w:pPr>
            <w:r>
              <w:rPr>
                <w:rFonts w:ascii="Arial" w:cs="Arial" w:eastAsia="Arial" w:hAnsi="Arial"/>
                <w:sz w:val="9"/>
                <w:szCs w:val="9"/>
                <w:color w:val="282A32"/>
              </w:rPr>
              <w:t>(Level 1)</w:t>
            </w:r>
          </w:p>
        </w:tc>
        <w:tc>
          <w:tcPr>
            <w:tcW w:w="1040" w:type="dxa"/>
            <w:vAlign w:val="bottom"/>
            <w:tcBorders>
              <w:bottom w:val="single" w:sz="8" w:color="auto"/>
            </w:tcBorders>
          </w:tcPr>
          <w:p>
            <w:pPr>
              <w:jc w:val="right"/>
              <w:ind w:right="246"/>
              <w:spacing w:after="0"/>
              <w:rPr>
                <w:sz w:val="20"/>
                <w:szCs w:val="20"/>
                <w:color w:val="auto"/>
              </w:rPr>
            </w:pPr>
            <w:r>
              <w:rPr>
                <w:rFonts w:ascii="Arial" w:cs="Arial" w:eastAsia="Arial" w:hAnsi="Arial"/>
                <w:sz w:val="9"/>
                <w:szCs w:val="9"/>
                <w:color w:val="282A32"/>
              </w:rPr>
              <w:t>(Level 2)</w:t>
            </w: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9"/>
                <w:szCs w:val="9"/>
                <w:color w:val="282A32"/>
              </w:rPr>
              <w:t>(Level 3)</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9"/>
                <w:szCs w:val="9"/>
                <w:color w:val="282A32"/>
              </w:rPr>
              <w:t>December 31, 2015</w:t>
            </w: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9"/>
                <w:szCs w:val="9"/>
                <w:color w:val="282A32"/>
              </w:rPr>
              <w:t>(Level 1)</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9"/>
                <w:szCs w:val="9"/>
                <w:color w:val="282A32"/>
              </w:rPr>
              <w:t>(Level 2)</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9"/>
                <w:szCs w:val="9"/>
                <w:color w:val="282A32"/>
              </w:rPr>
              <w:t>(Level 3)</w:t>
            </w:r>
          </w:p>
        </w:tc>
      </w:tr>
      <w:tr>
        <w:trPr>
          <w:trHeight w:val="220"/>
        </w:trPr>
        <w:tc>
          <w:tcPr>
            <w:tcW w:w="2880" w:type="dxa"/>
            <w:vAlign w:val="bottom"/>
          </w:tcPr>
          <w:p>
            <w:pPr>
              <w:ind w:left="20"/>
              <w:spacing w:after="0"/>
              <w:rPr>
                <w:sz w:val="20"/>
                <w:szCs w:val="20"/>
                <w:color w:val="auto"/>
              </w:rPr>
            </w:pPr>
            <w:r>
              <w:rPr>
                <w:rFonts w:ascii="Arial" w:cs="Arial" w:eastAsia="Arial" w:hAnsi="Arial"/>
                <w:sz w:val="12"/>
                <w:szCs w:val="12"/>
                <w:color w:val="2989B9"/>
              </w:rPr>
              <w:t>Assets</w:t>
            </w:r>
          </w:p>
        </w:tc>
        <w:tc>
          <w:tcPr>
            <w:tcW w:w="1280" w:type="dxa"/>
            <w:vAlign w:val="bottom"/>
            <w:shd w:val="clear" w:color="auto" w:fill="E1F4FD"/>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7"/>
        </w:trPr>
        <w:tc>
          <w:tcPr>
            <w:tcW w:w="2880" w:type="dxa"/>
            <w:vAlign w:val="bottom"/>
          </w:tcPr>
          <w:p>
            <w:pPr>
              <w:ind w:left="20"/>
              <w:spacing w:after="0"/>
              <w:rPr>
                <w:sz w:val="20"/>
                <w:szCs w:val="20"/>
                <w:color w:val="auto"/>
              </w:rPr>
            </w:pPr>
            <w:r>
              <w:rPr>
                <w:rFonts w:ascii="Arial" w:cs="Arial" w:eastAsia="Arial" w:hAnsi="Arial"/>
                <w:sz w:val="12"/>
                <w:szCs w:val="12"/>
                <w:color w:val="282A32"/>
              </w:rPr>
              <w:t>Foreign currency forward contracts</w:t>
            </w:r>
          </w:p>
        </w:tc>
        <w:tc>
          <w:tcPr>
            <w:tcW w:w="1280" w:type="dxa"/>
            <w:vAlign w:val="bottom"/>
            <w:shd w:val="clear" w:color="auto" w:fill="E1F4FD"/>
          </w:tcPr>
          <w:p>
            <w:pPr>
              <w:jc w:val="right"/>
              <w:ind w:right="61"/>
              <w:spacing w:after="0"/>
              <w:rPr>
                <w:sz w:val="20"/>
                <w:szCs w:val="20"/>
                <w:color w:val="auto"/>
              </w:rPr>
            </w:pPr>
            <w:r>
              <w:rPr>
                <w:rFonts w:ascii="Arial" w:cs="Arial" w:eastAsia="Arial" w:hAnsi="Arial"/>
                <w:sz w:val="12"/>
                <w:szCs w:val="12"/>
                <w:color w:val="4F8ABE"/>
              </w:rPr>
              <w:t>$—</w:t>
            </w:r>
          </w:p>
        </w:tc>
        <w:tc>
          <w:tcPr>
            <w:tcW w:w="980" w:type="dxa"/>
            <w:vAlign w:val="bottom"/>
          </w:tcPr>
          <w:p>
            <w:pPr>
              <w:jc w:val="right"/>
              <w:ind w:right="227"/>
              <w:spacing w:after="0"/>
              <w:rPr>
                <w:sz w:val="20"/>
                <w:szCs w:val="20"/>
                <w:color w:val="auto"/>
              </w:rPr>
            </w:pPr>
            <w:r>
              <w:rPr>
                <w:rFonts w:ascii="Arial" w:cs="Arial" w:eastAsia="Arial" w:hAnsi="Arial"/>
                <w:sz w:val="12"/>
                <w:szCs w:val="12"/>
                <w:color w:val="282A32"/>
              </w:rPr>
              <w:t>$—</w:t>
            </w:r>
          </w:p>
        </w:tc>
        <w:tc>
          <w:tcPr>
            <w:tcW w:w="1040" w:type="dxa"/>
            <w:vAlign w:val="bottom"/>
          </w:tcPr>
          <w:p>
            <w:pPr>
              <w:jc w:val="right"/>
              <w:ind w:right="246"/>
              <w:spacing w:after="0"/>
              <w:rPr>
                <w:sz w:val="20"/>
                <w:szCs w:val="20"/>
                <w:color w:val="auto"/>
              </w:rPr>
            </w:pPr>
            <w:r>
              <w:rPr>
                <w:rFonts w:ascii="Arial" w:cs="Arial" w:eastAsia="Arial" w:hAnsi="Arial"/>
                <w:sz w:val="12"/>
                <w:szCs w:val="12"/>
                <w:color w:val="282A32"/>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282A32"/>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282A32"/>
              </w:rPr>
              <w:t>$0.1</w:t>
            </w:r>
          </w:p>
        </w:tc>
        <w:tc>
          <w:tcPr>
            <w:tcW w:w="1020" w:type="dxa"/>
            <w:vAlign w:val="bottom"/>
          </w:tcPr>
          <w:p>
            <w:pPr>
              <w:jc w:val="right"/>
              <w:ind w:right="247"/>
              <w:spacing w:after="0"/>
              <w:rPr>
                <w:sz w:val="20"/>
                <w:szCs w:val="20"/>
                <w:color w:val="auto"/>
              </w:rPr>
            </w:pPr>
            <w:r>
              <w:rPr>
                <w:rFonts w:ascii="Arial" w:cs="Arial" w:eastAsia="Arial" w:hAnsi="Arial"/>
                <w:sz w:val="12"/>
                <w:szCs w:val="12"/>
                <w:color w:val="282A32"/>
              </w:rPr>
              <w:t>$—</w:t>
            </w:r>
          </w:p>
        </w:tc>
        <w:tc>
          <w:tcPr>
            <w:tcW w:w="1020" w:type="dxa"/>
            <w:vAlign w:val="bottom"/>
          </w:tcPr>
          <w:p>
            <w:pPr>
              <w:jc w:val="right"/>
              <w:ind w:right="226"/>
              <w:spacing w:after="0"/>
              <w:rPr>
                <w:sz w:val="20"/>
                <w:szCs w:val="20"/>
                <w:color w:val="auto"/>
              </w:rPr>
            </w:pPr>
            <w:r>
              <w:rPr>
                <w:rFonts w:ascii="Arial" w:cs="Arial" w:eastAsia="Arial" w:hAnsi="Arial"/>
                <w:sz w:val="12"/>
                <w:szCs w:val="12"/>
                <w:color w:val="282A32"/>
              </w:rPr>
              <w:t>$0.1</w:t>
            </w:r>
          </w:p>
        </w:tc>
        <w:tc>
          <w:tcPr>
            <w:tcW w:w="960" w:type="dxa"/>
            <w:vAlign w:val="bottom"/>
          </w:tcPr>
          <w:p>
            <w:pPr>
              <w:jc w:val="right"/>
              <w:ind w:right="46"/>
              <w:spacing w:after="0"/>
              <w:rPr>
                <w:sz w:val="20"/>
                <w:szCs w:val="20"/>
                <w:color w:val="auto"/>
              </w:rPr>
            </w:pPr>
            <w:r>
              <w:rPr>
                <w:rFonts w:ascii="Arial" w:cs="Arial" w:eastAsia="Arial" w:hAnsi="Arial"/>
                <w:sz w:val="12"/>
                <w:szCs w:val="12"/>
                <w:color w:val="282A32"/>
              </w:rPr>
              <w:t>$—</w:t>
            </w:r>
          </w:p>
        </w:tc>
      </w:tr>
      <w:tr>
        <w:trPr>
          <w:trHeight w:val="215"/>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Deferred compensation plan assets</w:t>
            </w:r>
          </w:p>
        </w:tc>
        <w:tc>
          <w:tcPr>
            <w:tcW w:w="1280" w:type="dxa"/>
            <w:vAlign w:val="bottom"/>
            <w:tcBorders>
              <w:bottom w:val="single" w:sz="8" w:color="auto"/>
            </w:tcBorders>
            <w:shd w:val="clear" w:color="auto" w:fill="E1F4FD"/>
          </w:tcPr>
          <w:p>
            <w:pPr>
              <w:jc w:val="right"/>
              <w:ind w:right="61"/>
              <w:spacing w:after="0"/>
              <w:rPr>
                <w:sz w:val="20"/>
                <w:szCs w:val="20"/>
                <w:color w:val="auto"/>
              </w:rPr>
            </w:pPr>
            <w:r>
              <w:rPr>
                <w:rFonts w:ascii="Arial" w:cs="Arial" w:eastAsia="Arial" w:hAnsi="Arial"/>
                <w:sz w:val="12"/>
                <w:szCs w:val="12"/>
                <w:color w:val="4F8ABE"/>
              </w:rPr>
              <w:t>86.8</w:t>
            </w:r>
          </w:p>
        </w:tc>
        <w:tc>
          <w:tcPr>
            <w:tcW w:w="98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color w:val="282A32"/>
              </w:rPr>
              <w:t>86.8</w:t>
            </w:r>
          </w:p>
        </w:tc>
        <w:tc>
          <w:tcPr>
            <w:tcW w:w="104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color w:val="282A32"/>
              </w:rPr>
              <w:t>—</w:t>
            </w: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282A32"/>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282A32"/>
              </w:rPr>
              <w:t>84.1</w:t>
            </w: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color w:val="282A32"/>
              </w:rPr>
              <w:t>84.1</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color w:val="282A32"/>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282A32"/>
              </w:rPr>
              <w:t>—</w:t>
            </w:r>
          </w:p>
        </w:tc>
      </w:tr>
      <w:tr>
        <w:trPr>
          <w:trHeight w:val="197"/>
        </w:trPr>
        <w:tc>
          <w:tcPr>
            <w:tcW w:w="2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shd w:val="clear" w:color="auto" w:fill="E1F4FD"/>
          </w:tcPr>
          <w:p>
            <w:pPr>
              <w:jc w:val="right"/>
              <w:ind w:right="61"/>
              <w:spacing w:after="0"/>
              <w:rPr>
                <w:sz w:val="20"/>
                <w:szCs w:val="20"/>
                <w:color w:val="auto"/>
              </w:rPr>
            </w:pPr>
            <w:r>
              <w:rPr>
                <w:rFonts w:ascii="Arial" w:cs="Arial" w:eastAsia="Arial" w:hAnsi="Arial"/>
                <w:sz w:val="12"/>
                <w:szCs w:val="12"/>
                <w:color w:val="4F8ABE"/>
              </w:rPr>
              <w:t>$86.8</w:t>
            </w:r>
          </w:p>
        </w:tc>
        <w:tc>
          <w:tcPr>
            <w:tcW w:w="98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color w:val="282A32"/>
              </w:rPr>
              <w:t>$86.8</w:t>
            </w:r>
          </w:p>
        </w:tc>
        <w:tc>
          <w:tcPr>
            <w:tcW w:w="104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color w:val="282A32"/>
              </w:rPr>
              <w:t>$—</w:t>
            </w: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282A32"/>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282A32"/>
              </w:rPr>
              <w:t>$84.2</w:t>
            </w: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color w:val="282A32"/>
              </w:rPr>
              <w:t>$84.1</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color w:val="282A32"/>
              </w:rPr>
              <w:t>$0.1</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282A32"/>
              </w:rPr>
              <w:t>$—</w:t>
            </w:r>
          </w:p>
        </w:tc>
      </w:tr>
      <w:tr>
        <w:trPr>
          <w:trHeight w:val="189"/>
        </w:trPr>
        <w:tc>
          <w:tcPr>
            <w:tcW w:w="2880" w:type="dxa"/>
            <w:vAlign w:val="bottom"/>
          </w:tcPr>
          <w:p>
            <w:pPr>
              <w:ind w:left="20"/>
              <w:spacing w:after="0"/>
              <w:rPr>
                <w:sz w:val="20"/>
                <w:szCs w:val="20"/>
                <w:color w:val="auto"/>
              </w:rPr>
            </w:pPr>
            <w:r>
              <w:rPr>
                <w:rFonts w:ascii="Arial" w:cs="Arial" w:eastAsia="Arial" w:hAnsi="Arial"/>
                <w:sz w:val="12"/>
                <w:szCs w:val="12"/>
                <w:color w:val="2989B9"/>
              </w:rPr>
              <w:t>Liabilities</w:t>
            </w:r>
          </w:p>
        </w:tc>
        <w:tc>
          <w:tcPr>
            <w:tcW w:w="1280" w:type="dxa"/>
            <w:vAlign w:val="bottom"/>
            <w:shd w:val="clear" w:color="auto" w:fill="E1F4FD"/>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5"/>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Foreign currency forward contracts</w:t>
            </w:r>
          </w:p>
        </w:tc>
        <w:tc>
          <w:tcPr>
            <w:tcW w:w="1280" w:type="dxa"/>
            <w:vAlign w:val="bottom"/>
            <w:tcBorders>
              <w:bottom w:val="single" w:sz="8" w:color="auto"/>
            </w:tcBorders>
            <w:shd w:val="clear" w:color="auto" w:fill="E1F4FD"/>
          </w:tcPr>
          <w:p>
            <w:pPr>
              <w:jc w:val="right"/>
              <w:ind w:right="61"/>
              <w:spacing w:after="0"/>
              <w:rPr>
                <w:sz w:val="20"/>
                <w:szCs w:val="20"/>
                <w:color w:val="auto"/>
              </w:rPr>
            </w:pPr>
            <w:r>
              <w:rPr>
                <w:rFonts w:ascii="Arial" w:cs="Arial" w:eastAsia="Arial" w:hAnsi="Arial"/>
                <w:sz w:val="12"/>
                <w:szCs w:val="12"/>
                <w:color w:val="4F8ABE"/>
              </w:rPr>
              <w:t>$0.2</w:t>
            </w:r>
          </w:p>
        </w:tc>
        <w:tc>
          <w:tcPr>
            <w:tcW w:w="98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color w:val="282A32"/>
              </w:rPr>
              <w:t>$—</w:t>
            </w:r>
          </w:p>
        </w:tc>
        <w:tc>
          <w:tcPr>
            <w:tcW w:w="104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color w:val="282A32"/>
              </w:rPr>
              <w:t>$0.2</w:t>
            </w: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282A32"/>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282A32"/>
              </w:rPr>
              <w:t>$0.5</w:t>
            </w: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color w:val="282A32"/>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color w:val="282A32"/>
              </w:rPr>
              <w:t>$0.5</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282A32"/>
              </w:rPr>
              <w:t>$—</w:t>
            </w:r>
          </w:p>
        </w:tc>
      </w:tr>
      <w:tr>
        <w:trPr>
          <w:trHeight w:val="197"/>
        </w:trPr>
        <w:tc>
          <w:tcPr>
            <w:tcW w:w="2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shd w:val="clear" w:color="auto" w:fill="E1F4FD"/>
          </w:tcPr>
          <w:p>
            <w:pPr>
              <w:jc w:val="right"/>
              <w:ind w:right="61"/>
              <w:spacing w:after="0"/>
              <w:rPr>
                <w:sz w:val="20"/>
                <w:szCs w:val="20"/>
                <w:color w:val="auto"/>
              </w:rPr>
            </w:pPr>
            <w:r>
              <w:rPr>
                <w:rFonts w:ascii="Arial" w:cs="Arial" w:eastAsia="Arial" w:hAnsi="Arial"/>
                <w:sz w:val="12"/>
                <w:szCs w:val="12"/>
                <w:color w:val="4F8ABE"/>
              </w:rPr>
              <w:t>$0.2</w:t>
            </w:r>
          </w:p>
        </w:tc>
        <w:tc>
          <w:tcPr>
            <w:tcW w:w="98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color w:val="282A32"/>
              </w:rPr>
              <w:t>$—</w:t>
            </w:r>
          </w:p>
        </w:tc>
        <w:tc>
          <w:tcPr>
            <w:tcW w:w="104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color w:val="282A32"/>
              </w:rPr>
              <w:t>$0.2</w:t>
            </w: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282A32"/>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282A32"/>
              </w:rPr>
              <w:t>$0.5</w:t>
            </w: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color w:val="282A32"/>
              </w:rPr>
              <w:t>$—</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color w:val="282A32"/>
              </w:rPr>
              <w:t>$0.5</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282A32"/>
              </w:rPr>
              <w:t>$—</w:t>
            </w:r>
          </w:p>
        </w:tc>
      </w:tr>
      <w:tr>
        <w:trPr>
          <w:trHeight w:val="91"/>
        </w:trPr>
        <w:tc>
          <w:tcPr>
            <w:tcW w:w="2880" w:type="dxa"/>
            <w:vAlign w:val="bottom"/>
          </w:tcPr>
          <w:p>
            <w:pPr>
              <w:spacing w:after="0"/>
              <w:rPr>
                <w:sz w:val="7"/>
                <w:szCs w:val="7"/>
                <w:color w:val="auto"/>
              </w:rPr>
            </w:pPr>
          </w:p>
        </w:tc>
        <w:tc>
          <w:tcPr>
            <w:tcW w:w="1280" w:type="dxa"/>
            <w:vAlign w:val="bottom"/>
            <w:shd w:val="clear" w:color="auto" w:fill="2989B9"/>
          </w:tcPr>
          <w:p>
            <w:pPr>
              <w:spacing w:after="0"/>
              <w:rPr>
                <w:sz w:val="7"/>
                <w:szCs w:val="7"/>
                <w:color w:val="auto"/>
              </w:rPr>
            </w:pPr>
          </w:p>
        </w:tc>
        <w:tc>
          <w:tcPr>
            <w:tcW w:w="9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third parties.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The carrying values of cash and cash equivalents, accounts receivable, accounts payable, and other current assets and liabilities approximate their fair values because of the short-term nature of these instruments. The carrying value of our variable-rate long-term debt approximates fair value. The fair value of the Euro-denominated notes, as observable at commonly quoted intervals (Level 2 inputs), was $831.6 and $858.2 as of December 31, 2016 and 2015, respectively, compared to a carrying value of $785.2 and $810.2,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53</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78" w:name="page79"/>
    <w:bookmarkEnd w:id="78"/>
    <w:p>
      <w:pPr>
        <w:spacing w:after="0"/>
        <w:rPr>
          <w:sz w:val="20"/>
          <w:szCs w:val="20"/>
          <w:color w:val="auto"/>
        </w:rPr>
      </w:pPr>
      <w:r>
        <w:rPr>
          <w:rFonts w:ascii="Arial" w:cs="Arial" w:eastAsia="Arial" w:hAnsi="Arial"/>
          <w:sz w:val="12"/>
          <w:szCs w:val="12"/>
          <w:color w:val="2989B9"/>
        </w:rPr>
        <w:t>Goodwill and Other Intangible Assets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We had goodwill, finite-lived intangible assets and indefinite-lived intangible assets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shd w:val="clear" w:color="auto" w:fill="E1F4FD"/>
          </w:tcPr>
          <w:p>
            <w:pPr>
              <w:spacing w:after="0"/>
              <w:rPr>
                <w:sz w:val="17"/>
                <w:szCs w:val="17"/>
                <w:color w:val="auto"/>
              </w:rPr>
            </w:pPr>
          </w:p>
        </w:tc>
        <w:tc>
          <w:tcPr>
            <w:tcW w:w="880" w:type="dxa"/>
            <w:vAlign w:val="bottom"/>
            <w:tcBorders>
              <w:bottom w:val="single" w:sz="8" w:color="auto"/>
            </w:tcBorders>
            <w:shd w:val="clear" w:color="auto" w:fill="E1F4FD"/>
          </w:tcPr>
          <w:p>
            <w:pPr>
              <w:spacing w:after="0"/>
              <w:rPr>
                <w:sz w:val="17"/>
                <w:szCs w:val="17"/>
                <w:color w:val="auto"/>
              </w:rPr>
            </w:pPr>
          </w:p>
        </w:tc>
        <w:tc>
          <w:tcPr>
            <w:tcW w:w="380" w:type="dxa"/>
            <w:vAlign w:val="bottom"/>
            <w:tcBorders>
              <w:bottom w:val="single" w:sz="8" w:color="auto"/>
            </w:tcBorders>
            <w:shd w:val="clear" w:color="auto" w:fill="E1F4FD"/>
          </w:tcPr>
          <w:p>
            <w:pPr>
              <w:spacing w:after="0"/>
              <w:rPr>
                <w:sz w:val="17"/>
                <w:szCs w:val="17"/>
                <w:color w:val="auto"/>
              </w:rPr>
            </w:pPr>
          </w:p>
        </w:tc>
        <w:tc>
          <w:tcPr>
            <w:tcW w:w="1060" w:type="dxa"/>
            <w:vAlign w:val="bottom"/>
            <w:tcBorders>
              <w:bottom w:val="single" w:sz="8" w:color="auto"/>
            </w:tcBorders>
            <w:shd w:val="clear" w:color="auto" w:fill="E1F4FD"/>
          </w:tcPr>
          <w:p>
            <w:pPr>
              <w:spacing w:after="0"/>
              <w:rPr>
                <w:sz w:val="17"/>
                <w:szCs w:val="17"/>
                <w:color w:val="auto"/>
              </w:rPr>
            </w:pPr>
          </w:p>
        </w:tc>
        <w:tc>
          <w:tcPr>
            <w:tcW w:w="320" w:type="dxa"/>
            <w:vAlign w:val="bottom"/>
            <w:tcBorders>
              <w:bottom w:val="single" w:sz="8" w:color="auto"/>
            </w:tcBorders>
            <w:shd w:val="clear" w:color="auto" w:fill="E1F4FD"/>
          </w:tcPr>
          <w:p>
            <w:pPr>
              <w:spacing w:after="0"/>
              <w:rPr>
                <w:sz w:val="17"/>
                <w:szCs w:val="17"/>
                <w:color w:val="auto"/>
              </w:rPr>
            </w:pPr>
          </w:p>
        </w:tc>
        <w:tc>
          <w:tcPr>
            <w:tcW w:w="7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r>
      <w:tr>
        <w:trPr>
          <w:trHeight w:val="144"/>
        </w:trPr>
        <w:tc>
          <w:tcPr>
            <w:tcW w:w="3500" w:type="dxa"/>
            <w:vAlign w:val="bottom"/>
          </w:tcPr>
          <w:p>
            <w:pPr>
              <w:spacing w:after="0"/>
              <w:rPr>
                <w:sz w:val="12"/>
                <w:szCs w:val="12"/>
                <w:color w:val="auto"/>
              </w:rPr>
            </w:pPr>
          </w:p>
        </w:tc>
        <w:tc>
          <w:tcPr>
            <w:tcW w:w="460" w:type="dxa"/>
            <w:vAlign w:val="bottom"/>
            <w:shd w:val="clear" w:color="auto" w:fill="E1F4FD"/>
          </w:tcPr>
          <w:p>
            <w:pPr>
              <w:spacing w:after="0"/>
              <w:rPr>
                <w:sz w:val="12"/>
                <w:szCs w:val="12"/>
                <w:color w:val="auto"/>
              </w:rPr>
            </w:pPr>
          </w:p>
        </w:tc>
        <w:tc>
          <w:tcPr>
            <w:tcW w:w="880" w:type="dxa"/>
            <w:vAlign w:val="bottom"/>
            <w:shd w:val="clear" w:color="auto" w:fill="E1F4FD"/>
          </w:tcPr>
          <w:p>
            <w:pPr>
              <w:spacing w:after="0"/>
              <w:rPr>
                <w:sz w:val="12"/>
                <w:szCs w:val="12"/>
                <w:color w:val="auto"/>
              </w:rPr>
            </w:pPr>
          </w:p>
        </w:tc>
        <w:tc>
          <w:tcPr>
            <w:tcW w:w="380" w:type="dxa"/>
            <w:vAlign w:val="bottom"/>
            <w:shd w:val="clear" w:color="auto" w:fill="E1F4FD"/>
          </w:tcPr>
          <w:p>
            <w:pPr>
              <w:spacing w:after="0"/>
              <w:rPr>
                <w:sz w:val="12"/>
                <w:szCs w:val="12"/>
                <w:color w:val="auto"/>
              </w:rPr>
            </w:pPr>
          </w:p>
        </w:tc>
        <w:tc>
          <w:tcPr>
            <w:tcW w:w="1060" w:type="dxa"/>
            <w:vAlign w:val="bottom"/>
            <w:shd w:val="clear" w:color="auto" w:fill="E1F4FD"/>
          </w:tcPr>
          <w:p>
            <w:pPr>
              <w:jc w:val="right"/>
              <w:ind w:right="59"/>
              <w:spacing w:after="0"/>
              <w:rPr>
                <w:sz w:val="20"/>
                <w:szCs w:val="20"/>
                <w:color w:val="auto"/>
              </w:rPr>
            </w:pPr>
            <w:r>
              <w:rPr>
                <w:rFonts w:ascii="Arial" w:cs="Arial" w:eastAsia="Arial" w:hAnsi="Arial"/>
                <w:sz w:val="11"/>
                <w:szCs w:val="11"/>
                <w:color w:val="4F8ABE"/>
              </w:rPr>
              <w:t>Accumulated</w:t>
            </w:r>
          </w:p>
        </w:tc>
        <w:tc>
          <w:tcPr>
            <w:tcW w:w="320" w:type="dxa"/>
            <w:vAlign w:val="bottom"/>
            <w:shd w:val="clear" w:color="auto" w:fill="E1F4FD"/>
          </w:tcPr>
          <w:p>
            <w:pPr>
              <w:spacing w:after="0"/>
              <w:rPr>
                <w:sz w:val="12"/>
                <w:szCs w:val="12"/>
                <w:color w:val="auto"/>
              </w:rPr>
            </w:pPr>
          </w:p>
        </w:tc>
        <w:tc>
          <w:tcPr>
            <w:tcW w:w="780" w:type="dxa"/>
            <w:vAlign w:val="bottom"/>
            <w:shd w:val="clear" w:color="auto" w:fill="E1F4FD"/>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282A32"/>
              </w:rPr>
              <w:t>Accumulated</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December 31</w:t>
            </w:r>
          </w:p>
        </w:tc>
        <w:tc>
          <w:tcPr>
            <w:tcW w:w="460" w:type="dxa"/>
            <w:vAlign w:val="bottom"/>
            <w:tcBorders>
              <w:bottom w:val="single" w:sz="8" w:color="auto"/>
            </w:tcBorders>
            <w:shd w:val="clear" w:color="auto" w:fill="E1F4FD"/>
          </w:tcPr>
          <w:p>
            <w:pPr>
              <w:spacing w:after="0"/>
              <w:rPr>
                <w:sz w:val="11"/>
                <w:szCs w:val="11"/>
                <w:color w:val="auto"/>
              </w:rPr>
            </w:pPr>
          </w:p>
        </w:tc>
        <w:tc>
          <w:tcPr>
            <w:tcW w:w="8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Gross</w:t>
            </w:r>
          </w:p>
        </w:tc>
        <w:tc>
          <w:tcPr>
            <w:tcW w:w="380" w:type="dxa"/>
            <w:vAlign w:val="bottom"/>
            <w:tcBorders>
              <w:bottom w:val="single" w:sz="8" w:color="auto"/>
            </w:tcBorders>
            <w:shd w:val="clear" w:color="auto" w:fill="E1F4FD"/>
          </w:tcPr>
          <w:p>
            <w:pPr>
              <w:spacing w:after="0"/>
              <w:rPr>
                <w:sz w:val="11"/>
                <w:szCs w:val="11"/>
                <w:color w:val="auto"/>
              </w:rPr>
            </w:pPr>
          </w:p>
        </w:tc>
        <w:tc>
          <w:tcPr>
            <w:tcW w:w="10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Amortization</w:t>
            </w:r>
          </w:p>
        </w:tc>
        <w:tc>
          <w:tcPr>
            <w:tcW w:w="320" w:type="dxa"/>
            <w:vAlign w:val="bottom"/>
            <w:tcBorders>
              <w:bottom w:val="single" w:sz="8" w:color="auto"/>
            </w:tcBorders>
            <w:shd w:val="clear" w:color="auto" w:fill="E1F4FD"/>
          </w:tcPr>
          <w:p>
            <w:pPr>
              <w:spacing w:after="0"/>
              <w:rPr>
                <w:sz w:val="11"/>
                <w:szCs w:val="11"/>
                <w:color w:val="auto"/>
              </w:rPr>
            </w:pPr>
          </w:p>
        </w:tc>
        <w:tc>
          <w:tcPr>
            <w:tcW w:w="7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Net</w:t>
            </w: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82A32"/>
              </w:rPr>
              <w:t>Gross</w:t>
            </w:r>
          </w:p>
        </w:tc>
        <w:tc>
          <w:tcPr>
            <w:tcW w:w="4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282A32"/>
              </w:rPr>
              <w:t>Amortization</w:t>
            </w: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282A32"/>
              </w:rPr>
              <w:t>Net</w:t>
            </w:r>
          </w:p>
        </w:tc>
      </w:tr>
      <w:tr>
        <w:trPr>
          <w:trHeight w:val="23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Goodwill</w:t>
            </w:r>
            <w:r>
              <w:rPr>
                <w:rFonts w:ascii="Arial" w:cs="Arial" w:eastAsia="Arial" w:hAnsi="Arial"/>
                <w:sz w:val="16"/>
                <w:szCs w:val="16"/>
                <w:color w:val="282A32"/>
                <w:vertAlign w:val="superscript"/>
              </w:rPr>
              <w:t>(1)</w:t>
            </w:r>
          </w:p>
        </w:tc>
        <w:tc>
          <w:tcPr>
            <w:tcW w:w="460" w:type="dxa"/>
            <w:vAlign w:val="bottom"/>
            <w:tcBorders>
              <w:bottom w:val="single" w:sz="8" w:color="auto"/>
            </w:tcBorders>
            <w:shd w:val="clear" w:color="auto" w:fill="E1F4FD"/>
          </w:tcPr>
          <w:p>
            <w:pPr>
              <w:jc w:val="right"/>
              <w:ind w:right="298"/>
              <w:spacing w:after="0"/>
              <w:rPr>
                <w:sz w:val="20"/>
                <w:szCs w:val="20"/>
                <w:color w:val="auto"/>
              </w:rPr>
            </w:pPr>
            <w:r>
              <w:rPr>
                <w:rFonts w:ascii="Arial" w:cs="Arial" w:eastAsia="Arial" w:hAnsi="Arial"/>
                <w:sz w:val="12"/>
                <w:szCs w:val="12"/>
                <w:color w:val="4F8ABE"/>
              </w:rPr>
              <w:t>$</w:t>
            </w:r>
          </w:p>
        </w:tc>
        <w:tc>
          <w:tcPr>
            <w:tcW w:w="8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1,239.9</w:t>
            </w:r>
          </w:p>
        </w:tc>
        <w:tc>
          <w:tcPr>
            <w:tcW w:w="380" w:type="dxa"/>
            <w:vAlign w:val="bottom"/>
            <w:tcBorders>
              <w:bottom w:val="single" w:sz="8" w:color="auto"/>
            </w:tcBorders>
            <w:shd w:val="clear" w:color="auto" w:fill="E1F4FD"/>
          </w:tcPr>
          <w:p>
            <w:pPr>
              <w:jc w:val="right"/>
              <w:ind w:right="238"/>
              <w:spacing w:after="0"/>
              <w:rPr>
                <w:sz w:val="20"/>
                <w:szCs w:val="20"/>
                <w:color w:val="auto"/>
              </w:rPr>
            </w:pPr>
            <w:r>
              <w:rPr>
                <w:rFonts w:ascii="Arial" w:cs="Arial" w:eastAsia="Arial" w:hAnsi="Arial"/>
                <w:sz w:val="12"/>
                <w:szCs w:val="12"/>
                <w:color w:val="4F8ABE"/>
                <w:w w:val="89"/>
              </w:rPr>
              <w:t>$</w:t>
            </w:r>
          </w:p>
        </w:tc>
        <w:tc>
          <w:tcPr>
            <w:tcW w:w="10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w:t>
            </w:r>
          </w:p>
        </w:tc>
        <w:tc>
          <w:tcPr>
            <w:tcW w:w="320" w:type="dxa"/>
            <w:vAlign w:val="bottom"/>
            <w:tcBorders>
              <w:bottom w:val="single" w:sz="8" w:color="auto"/>
            </w:tcBorders>
            <w:shd w:val="clear" w:color="auto" w:fill="E1F4FD"/>
          </w:tcPr>
          <w:p>
            <w:pPr>
              <w:jc w:val="right"/>
              <w:ind w:right="178"/>
              <w:spacing w:after="0"/>
              <w:rPr>
                <w:sz w:val="20"/>
                <w:szCs w:val="20"/>
                <w:color w:val="auto"/>
              </w:rPr>
            </w:pPr>
            <w:r>
              <w:rPr>
                <w:rFonts w:ascii="Arial" w:cs="Arial" w:eastAsia="Arial" w:hAnsi="Arial"/>
                <w:sz w:val="12"/>
                <w:szCs w:val="12"/>
                <w:color w:val="4F8ABE"/>
                <w:w w:val="89"/>
              </w:rPr>
              <w:t>$</w:t>
            </w:r>
          </w:p>
        </w:tc>
        <w:tc>
          <w:tcPr>
            <w:tcW w:w="7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1,239.9</w:t>
            </w:r>
          </w:p>
        </w:tc>
        <w:tc>
          <w:tcPr>
            <w:tcW w:w="3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282A32"/>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1,257.4</w:t>
            </w:r>
          </w:p>
        </w:tc>
        <w:tc>
          <w:tcPr>
            <w:tcW w:w="4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282A3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w:t>
            </w:r>
          </w:p>
        </w:tc>
        <w:tc>
          <w:tcPr>
            <w:tcW w:w="3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282A32"/>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1,257.4</w:t>
            </w:r>
          </w:p>
        </w:tc>
      </w:tr>
      <w:tr>
        <w:trPr>
          <w:trHeight w:val="182"/>
        </w:trPr>
        <w:tc>
          <w:tcPr>
            <w:tcW w:w="3500" w:type="dxa"/>
            <w:vAlign w:val="bottom"/>
          </w:tcPr>
          <w:p>
            <w:pPr>
              <w:ind w:left="20"/>
              <w:spacing w:after="0"/>
              <w:rPr>
                <w:sz w:val="20"/>
                <w:szCs w:val="20"/>
                <w:color w:val="auto"/>
              </w:rPr>
            </w:pPr>
            <w:r>
              <w:rPr>
                <w:rFonts w:ascii="Arial" w:cs="Arial" w:eastAsia="Arial" w:hAnsi="Arial"/>
                <w:sz w:val="12"/>
                <w:szCs w:val="12"/>
                <w:color w:val="auto"/>
              </w:rPr>
              <w:t>Intangible assets:</w:t>
            </w:r>
          </w:p>
        </w:tc>
        <w:tc>
          <w:tcPr>
            <w:tcW w:w="460" w:type="dxa"/>
            <w:vAlign w:val="bottom"/>
            <w:shd w:val="clear" w:color="auto" w:fill="E1F4FD"/>
          </w:tcPr>
          <w:p>
            <w:pPr>
              <w:spacing w:after="0"/>
              <w:rPr>
                <w:sz w:val="15"/>
                <w:szCs w:val="15"/>
                <w:color w:val="auto"/>
              </w:rPr>
            </w:pPr>
          </w:p>
        </w:tc>
        <w:tc>
          <w:tcPr>
            <w:tcW w:w="880" w:type="dxa"/>
            <w:vAlign w:val="bottom"/>
            <w:shd w:val="clear" w:color="auto" w:fill="E1F4FD"/>
          </w:tcPr>
          <w:p>
            <w:pPr>
              <w:spacing w:after="0"/>
              <w:rPr>
                <w:sz w:val="15"/>
                <w:szCs w:val="15"/>
                <w:color w:val="auto"/>
              </w:rPr>
            </w:pPr>
          </w:p>
        </w:tc>
        <w:tc>
          <w:tcPr>
            <w:tcW w:w="380" w:type="dxa"/>
            <w:vAlign w:val="bottom"/>
            <w:shd w:val="clear" w:color="auto" w:fill="E1F4FD"/>
          </w:tcPr>
          <w:p>
            <w:pPr>
              <w:spacing w:after="0"/>
              <w:rPr>
                <w:sz w:val="15"/>
                <w:szCs w:val="15"/>
                <w:color w:val="auto"/>
              </w:rPr>
            </w:pPr>
          </w:p>
        </w:tc>
        <w:tc>
          <w:tcPr>
            <w:tcW w:w="1060" w:type="dxa"/>
            <w:vAlign w:val="bottom"/>
            <w:shd w:val="clear" w:color="auto" w:fill="E1F4FD"/>
          </w:tcPr>
          <w:p>
            <w:pPr>
              <w:spacing w:after="0"/>
              <w:rPr>
                <w:sz w:val="15"/>
                <w:szCs w:val="15"/>
                <w:color w:val="auto"/>
              </w:rPr>
            </w:pPr>
          </w:p>
        </w:tc>
        <w:tc>
          <w:tcPr>
            <w:tcW w:w="320" w:type="dxa"/>
            <w:vAlign w:val="bottom"/>
            <w:shd w:val="clear" w:color="auto" w:fill="E1F4FD"/>
          </w:tcPr>
          <w:p>
            <w:pPr>
              <w:spacing w:after="0"/>
              <w:rPr>
                <w:sz w:val="15"/>
                <w:szCs w:val="15"/>
                <w:color w:val="auto"/>
              </w:rPr>
            </w:pPr>
          </w:p>
        </w:tc>
        <w:tc>
          <w:tcPr>
            <w:tcW w:w="780" w:type="dxa"/>
            <w:vAlign w:val="bottom"/>
            <w:shd w:val="clear" w:color="auto" w:fill="E1F4FD"/>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7"/>
        </w:trPr>
        <w:tc>
          <w:tcPr>
            <w:tcW w:w="3500" w:type="dxa"/>
            <w:vAlign w:val="bottom"/>
          </w:tcPr>
          <w:p>
            <w:pPr>
              <w:ind w:left="160"/>
              <w:spacing w:after="0"/>
              <w:rPr>
                <w:sz w:val="20"/>
                <w:szCs w:val="20"/>
                <w:color w:val="auto"/>
              </w:rPr>
            </w:pPr>
            <w:r>
              <w:rPr>
                <w:rFonts w:ascii="Arial" w:cs="Arial" w:eastAsia="Arial" w:hAnsi="Arial"/>
                <w:sz w:val="12"/>
                <w:szCs w:val="12"/>
                <w:color w:val="282A32"/>
              </w:rPr>
              <w:t>Finite-lived:</w:t>
            </w:r>
          </w:p>
        </w:tc>
        <w:tc>
          <w:tcPr>
            <w:tcW w:w="460" w:type="dxa"/>
            <w:vAlign w:val="bottom"/>
            <w:shd w:val="clear" w:color="auto" w:fill="E1F4FD"/>
          </w:tcPr>
          <w:p>
            <w:pPr>
              <w:spacing w:after="0"/>
              <w:rPr>
                <w:sz w:val="17"/>
                <w:szCs w:val="17"/>
                <w:color w:val="auto"/>
              </w:rPr>
            </w:pPr>
          </w:p>
        </w:tc>
        <w:tc>
          <w:tcPr>
            <w:tcW w:w="880" w:type="dxa"/>
            <w:vAlign w:val="bottom"/>
            <w:shd w:val="clear" w:color="auto" w:fill="E1F4FD"/>
          </w:tcPr>
          <w:p>
            <w:pPr>
              <w:spacing w:after="0"/>
              <w:rPr>
                <w:sz w:val="17"/>
                <w:szCs w:val="17"/>
                <w:color w:val="auto"/>
              </w:rPr>
            </w:pPr>
          </w:p>
        </w:tc>
        <w:tc>
          <w:tcPr>
            <w:tcW w:w="380" w:type="dxa"/>
            <w:vAlign w:val="bottom"/>
            <w:shd w:val="clear" w:color="auto" w:fill="E1F4FD"/>
          </w:tcPr>
          <w:p>
            <w:pPr>
              <w:spacing w:after="0"/>
              <w:rPr>
                <w:sz w:val="17"/>
                <w:szCs w:val="17"/>
                <w:color w:val="auto"/>
              </w:rPr>
            </w:pPr>
          </w:p>
        </w:tc>
        <w:tc>
          <w:tcPr>
            <w:tcW w:w="1060" w:type="dxa"/>
            <w:vAlign w:val="bottom"/>
            <w:shd w:val="clear" w:color="auto" w:fill="E1F4FD"/>
          </w:tcPr>
          <w:p>
            <w:pPr>
              <w:spacing w:after="0"/>
              <w:rPr>
                <w:sz w:val="17"/>
                <w:szCs w:val="17"/>
                <w:color w:val="auto"/>
              </w:rPr>
            </w:pPr>
          </w:p>
        </w:tc>
        <w:tc>
          <w:tcPr>
            <w:tcW w:w="320" w:type="dxa"/>
            <w:vAlign w:val="bottom"/>
            <w:shd w:val="clear" w:color="auto" w:fill="E1F4FD"/>
          </w:tcPr>
          <w:p>
            <w:pPr>
              <w:spacing w:after="0"/>
              <w:rPr>
                <w:sz w:val="17"/>
                <w:szCs w:val="17"/>
                <w:color w:val="auto"/>
              </w:rPr>
            </w:pPr>
          </w:p>
        </w:tc>
        <w:tc>
          <w:tcPr>
            <w:tcW w:w="780" w:type="dxa"/>
            <w:vAlign w:val="bottom"/>
            <w:shd w:val="clear" w:color="auto" w:fill="E1F4FD"/>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3500" w:type="dxa"/>
            <w:vAlign w:val="bottom"/>
          </w:tcPr>
          <w:p>
            <w:pPr>
              <w:ind w:left="340"/>
              <w:spacing w:after="0"/>
              <w:rPr>
                <w:sz w:val="20"/>
                <w:szCs w:val="20"/>
                <w:color w:val="auto"/>
              </w:rPr>
            </w:pPr>
            <w:r>
              <w:rPr>
                <w:rFonts w:ascii="Arial" w:cs="Arial" w:eastAsia="Arial" w:hAnsi="Arial"/>
                <w:sz w:val="12"/>
                <w:szCs w:val="12"/>
                <w:color w:val="282A32"/>
              </w:rPr>
              <w:t>Customer relationships</w:t>
            </w:r>
          </w:p>
        </w:tc>
        <w:tc>
          <w:tcPr>
            <w:tcW w:w="460" w:type="dxa"/>
            <w:vAlign w:val="bottom"/>
            <w:shd w:val="clear" w:color="auto" w:fill="E1F4FD"/>
          </w:tcPr>
          <w:p>
            <w:pPr>
              <w:spacing w:after="0"/>
              <w:rPr>
                <w:sz w:val="16"/>
                <w:szCs w:val="16"/>
                <w:color w:val="auto"/>
              </w:rPr>
            </w:pPr>
          </w:p>
        </w:tc>
        <w:tc>
          <w:tcPr>
            <w:tcW w:w="8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426.2</w:t>
            </w:r>
          </w:p>
        </w:tc>
        <w:tc>
          <w:tcPr>
            <w:tcW w:w="380" w:type="dxa"/>
            <w:vAlign w:val="bottom"/>
            <w:shd w:val="clear" w:color="auto" w:fill="E1F4FD"/>
          </w:tcPr>
          <w:p>
            <w:pPr>
              <w:spacing w:after="0"/>
              <w:rPr>
                <w:sz w:val="16"/>
                <w:szCs w:val="16"/>
                <w:color w:val="auto"/>
              </w:rPr>
            </w:pPr>
          </w:p>
        </w:tc>
        <w:tc>
          <w:tcPr>
            <w:tcW w:w="10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287.2</w:t>
            </w:r>
          </w:p>
        </w:tc>
        <w:tc>
          <w:tcPr>
            <w:tcW w:w="320" w:type="dxa"/>
            <w:vAlign w:val="bottom"/>
            <w:shd w:val="clear" w:color="auto" w:fill="E1F4FD"/>
          </w:tcPr>
          <w:p>
            <w:pPr>
              <w:spacing w:after="0"/>
              <w:rPr>
                <w:sz w:val="16"/>
                <w:szCs w:val="16"/>
                <w:color w:val="auto"/>
              </w:rPr>
            </w:pPr>
          </w:p>
        </w:tc>
        <w:tc>
          <w:tcPr>
            <w:tcW w:w="7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139.0</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425.6</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282A32"/>
              </w:rPr>
              <w:t>256.7</w:t>
            </w:r>
          </w:p>
        </w:tc>
        <w:tc>
          <w:tcPr>
            <w:tcW w:w="36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282A32"/>
              </w:rPr>
              <w:t>168.9</w:t>
            </w:r>
          </w:p>
        </w:tc>
      </w:tr>
      <w:tr>
        <w:trPr>
          <w:trHeight w:val="194"/>
        </w:trPr>
        <w:tc>
          <w:tcPr>
            <w:tcW w:w="350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282A32"/>
              </w:rPr>
              <w:t>Other</w:t>
            </w:r>
          </w:p>
        </w:tc>
        <w:tc>
          <w:tcPr>
            <w:tcW w:w="460" w:type="dxa"/>
            <w:vAlign w:val="bottom"/>
            <w:tcBorders>
              <w:bottom w:val="single" w:sz="8" w:color="auto"/>
            </w:tcBorders>
            <w:shd w:val="clear" w:color="auto" w:fill="E1F4FD"/>
          </w:tcPr>
          <w:p>
            <w:pPr>
              <w:spacing w:after="0"/>
              <w:rPr>
                <w:sz w:val="16"/>
                <w:szCs w:val="16"/>
                <w:color w:val="auto"/>
              </w:rPr>
            </w:pPr>
          </w:p>
        </w:tc>
        <w:tc>
          <w:tcPr>
            <w:tcW w:w="8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17.2</w:t>
            </w:r>
          </w:p>
        </w:tc>
        <w:tc>
          <w:tcPr>
            <w:tcW w:w="380" w:type="dxa"/>
            <w:vAlign w:val="bottom"/>
            <w:tcBorders>
              <w:bottom w:val="single" w:sz="8" w:color="auto"/>
            </w:tcBorders>
            <w:shd w:val="clear" w:color="auto" w:fill="E1F4FD"/>
          </w:tcPr>
          <w:p>
            <w:pPr>
              <w:spacing w:after="0"/>
              <w:rPr>
                <w:sz w:val="16"/>
                <w:szCs w:val="16"/>
                <w:color w:val="auto"/>
              </w:rPr>
            </w:pPr>
          </w:p>
        </w:tc>
        <w:tc>
          <w:tcPr>
            <w:tcW w:w="10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12.6</w:t>
            </w:r>
          </w:p>
        </w:tc>
        <w:tc>
          <w:tcPr>
            <w:tcW w:w="320" w:type="dxa"/>
            <w:vAlign w:val="bottom"/>
            <w:tcBorders>
              <w:bottom w:val="single" w:sz="8" w:color="auto"/>
            </w:tcBorders>
            <w:shd w:val="clear" w:color="auto" w:fill="E1F4FD"/>
          </w:tcPr>
          <w:p>
            <w:pPr>
              <w:spacing w:after="0"/>
              <w:rPr>
                <w:sz w:val="16"/>
                <w:szCs w:val="16"/>
                <w:color w:val="auto"/>
              </w:rPr>
            </w:pPr>
          </w:p>
        </w:tc>
        <w:tc>
          <w:tcPr>
            <w:tcW w:w="7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4.6</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16.9</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9.9</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7.0</w:t>
            </w:r>
          </w:p>
        </w:tc>
      </w:tr>
      <w:tr>
        <w:trPr>
          <w:trHeight w:val="197"/>
        </w:trPr>
        <w:tc>
          <w:tcPr>
            <w:tcW w:w="3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shd w:val="clear" w:color="auto" w:fill="E1F4FD"/>
          </w:tcPr>
          <w:p>
            <w:pPr>
              <w:spacing w:after="0"/>
              <w:rPr>
                <w:sz w:val="17"/>
                <w:szCs w:val="17"/>
                <w:color w:val="auto"/>
              </w:rPr>
            </w:pPr>
          </w:p>
        </w:tc>
        <w:tc>
          <w:tcPr>
            <w:tcW w:w="8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443.4</w:t>
            </w:r>
          </w:p>
        </w:tc>
        <w:tc>
          <w:tcPr>
            <w:tcW w:w="380" w:type="dxa"/>
            <w:vAlign w:val="bottom"/>
            <w:tcBorders>
              <w:bottom w:val="single" w:sz="8" w:color="auto"/>
            </w:tcBorders>
            <w:shd w:val="clear" w:color="auto" w:fill="E1F4FD"/>
          </w:tcPr>
          <w:p>
            <w:pPr>
              <w:spacing w:after="0"/>
              <w:rPr>
                <w:sz w:val="17"/>
                <w:szCs w:val="17"/>
                <w:color w:val="auto"/>
              </w:rPr>
            </w:pPr>
          </w:p>
        </w:tc>
        <w:tc>
          <w:tcPr>
            <w:tcW w:w="10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299.8</w:t>
            </w:r>
          </w:p>
        </w:tc>
        <w:tc>
          <w:tcPr>
            <w:tcW w:w="320" w:type="dxa"/>
            <w:vAlign w:val="bottom"/>
            <w:tcBorders>
              <w:bottom w:val="single" w:sz="8" w:color="auto"/>
            </w:tcBorders>
            <w:shd w:val="clear" w:color="auto" w:fill="E1F4FD"/>
          </w:tcPr>
          <w:p>
            <w:pPr>
              <w:spacing w:after="0"/>
              <w:rPr>
                <w:sz w:val="17"/>
                <w:szCs w:val="17"/>
                <w:color w:val="auto"/>
              </w:rPr>
            </w:pPr>
          </w:p>
        </w:tc>
        <w:tc>
          <w:tcPr>
            <w:tcW w:w="7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143.6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442.5</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266.6</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175.9</w:t>
            </w:r>
          </w:p>
        </w:tc>
      </w:tr>
      <w:tr>
        <w:trPr>
          <w:trHeight w:val="189"/>
        </w:trPr>
        <w:tc>
          <w:tcPr>
            <w:tcW w:w="3500" w:type="dxa"/>
            <w:vAlign w:val="bottom"/>
          </w:tcPr>
          <w:p>
            <w:pPr>
              <w:ind w:left="120"/>
              <w:spacing w:after="0"/>
              <w:rPr>
                <w:sz w:val="20"/>
                <w:szCs w:val="20"/>
                <w:color w:val="auto"/>
              </w:rPr>
            </w:pPr>
            <w:r>
              <w:rPr>
                <w:rFonts w:ascii="Arial" w:cs="Arial" w:eastAsia="Arial" w:hAnsi="Arial"/>
                <w:sz w:val="12"/>
                <w:szCs w:val="12"/>
                <w:color w:val="auto"/>
              </w:rPr>
              <w:t>Indefinite-lived:</w:t>
            </w:r>
          </w:p>
        </w:tc>
        <w:tc>
          <w:tcPr>
            <w:tcW w:w="460" w:type="dxa"/>
            <w:vAlign w:val="bottom"/>
            <w:shd w:val="clear" w:color="auto" w:fill="E1F4FD"/>
          </w:tcPr>
          <w:p>
            <w:pPr>
              <w:spacing w:after="0"/>
              <w:rPr>
                <w:sz w:val="16"/>
                <w:szCs w:val="16"/>
                <w:color w:val="auto"/>
              </w:rPr>
            </w:pPr>
          </w:p>
        </w:tc>
        <w:tc>
          <w:tcPr>
            <w:tcW w:w="880" w:type="dxa"/>
            <w:vAlign w:val="bottom"/>
            <w:shd w:val="clear" w:color="auto" w:fill="E1F4FD"/>
          </w:tcPr>
          <w:p>
            <w:pPr>
              <w:spacing w:after="0"/>
              <w:rPr>
                <w:sz w:val="16"/>
                <w:szCs w:val="16"/>
                <w:color w:val="auto"/>
              </w:rPr>
            </w:pPr>
          </w:p>
        </w:tc>
        <w:tc>
          <w:tcPr>
            <w:tcW w:w="380" w:type="dxa"/>
            <w:vAlign w:val="bottom"/>
            <w:shd w:val="clear" w:color="auto" w:fill="E1F4FD"/>
          </w:tcPr>
          <w:p>
            <w:pPr>
              <w:spacing w:after="0"/>
              <w:rPr>
                <w:sz w:val="16"/>
                <w:szCs w:val="16"/>
                <w:color w:val="auto"/>
              </w:rPr>
            </w:pPr>
          </w:p>
        </w:tc>
        <w:tc>
          <w:tcPr>
            <w:tcW w:w="1060" w:type="dxa"/>
            <w:vAlign w:val="bottom"/>
            <w:shd w:val="clear" w:color="auto" w:fill="E1F4FD"/>
          </w:tcPr>
          <w:p>
            <w:pPr>
              <w:spacing w:after="0"/>
              <w:rPr>
                <w:sz w:val="16"/>
                <w:szCs w:val="16"/>
                <w:color w:val="auto"/>
              </w:rPr>
            </w:pPr>
          </w:p>
        </w:tc>
        <w:tc>
          <w:tcPr>
            <w:tcW w:w="320" w:type="dxa"/>
            <w:vAlign w:val="bottom"/>
            <w:shd w:val="clear" w:color="auto" w:fill="E1F4FD"/>
          </w:tcPr>
          <w:p>
            <w:pPr>
              <w:spacing w:after="0"/>
              <w:rPr>
                <w:sz w:val="16"/>
                <w:szCs w:val="16"/>
                <w:color w:val="auto"/>
              </w:rPr>
            </w:pPr>
          </w:p>
        </w:tc>
        <w:tc>
          <w:tcPr>
            <w:tcW w:w="780" w:type="dxa"/>
            <w:vAlign w:val="bottom"/>
            <w:shd w:val="clear" w:color="auto" w:fill="E1F4FD"/>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2"/>
        </w:trPr>
        <w:tc>
          <w:tcPr>
            <w:tcW w:w="3500" w:type="dxa"/>
            <w:vAlign w:val="bottom"/>
          </w:tcPr>
          <w:p>
            <w:pPr>
              <w:ind w:left="340"/>
              <w:spacing w:after="0"/>
              <w:rPr>
                <w:sz w:val="20"/>
                <w:szCs w:val="20"/>
                <w:color w:val="auto"/>
              </w:rPr>
            </w:pPr>
            <w:r>
              <w:rPr>
                <w:rFonts w:ascii="Arial" w:cs="Arial" w:eastAsia="Arial" w:hAnsi="Arial"/>
                <w:sz w:val="12"/>
                <w:szCs w:val="12"/>
                <w:color w:val="282A32"/>
              </w:rPr>
              <w:t>Tradenames</w:t>
            </w:r>
            <w:r>
              <w:rPr>
                <w:rFonts w:ascii="Arial" w:cs="Arial" w:eastAsia="Arial" w:hAnsi="Arial"/>
                <w:sz w:val="16"/>
                <w:szCs w:val="16"/>
                <w:color w:val="282A32"/>
                <w:vertAlign w:val="superscript"/>
              </w:rPr>
              <w:t>(2)</w:t>
            </w:r>
          </w:p>
        </w:tc>
        <w:tc>
          <w:tcPr>
            <w:tcW w:w="460" w:type="dxa"/>
            <w:vAlign w:val="bottom"/>
            <w:shd w:val="clear" w:color="auto" w:fill="E1F4FD"/>
          </w:tcPr>
          <w:p>
            <w:pPr>
              <w:spacing w:after="0"/>
              <w:rPr>
                <w:sz w:val="17"/>
                <w:szCs w:val="17"/>
                <w:color w:val="auto"/>
              </w:rPr>
            </w:pPr>
          </w:p>
        </w:tc>
        <w:tc>
          <w:tcPr>
            <w:tcW w:w="8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52.0</w:t>
            </w:r>
          </w:p>
        </w:tc>
        <w:tc>
          <w:tcPr>
            <w:tcW w:w="380" w:type="dxa"/>
            <w:vAlign w:val="bottom"/>
            <w:shd w:val="clear" w:color="auto" w:fill="E1F4FD"/>
          </w:tcPr>
          <w:p>
            <w:pPr>
              <w:spacing w:after="0"/>
              <w:rPr>
                <w:sz w:val="17"/>
                <w:szCs w:val="17"/>
                <w:color w:val="auto"/>
              </w:rPr>
            </w:pPr>
          </w:p>
        </w:tc>
        <w:tc>
          <w:tcPr>
            <w:tcW w:w="106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w:t>
            </w:r>
          </w:p>
        </w:tc>
        <w:tc>
          <w:tcPr>
            <w:tcW w:w="320" w:type="dxa"/>
            <w:vAlign w:val="bottom"/>
            <w:shd w:val="clear" w:color="auto" w:fill="E1F4FD"/>
          </w:tcPr>
          <w:p>
            <w:pPr>
              <w:spacing w:after="0"/>
              <w:rPr>
                <w:sz w:val="17"/>
                <w:szCs w:val="17"/>
                <w:color w:val="auto"/>
              </w:rPr>
            </w:pPr>
          </w:p>
        </w:tc>
        <w:tc>
          <w:tcPr>
            <w:tcW w:w="7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52.0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282A32"/>
              </w:rPr>
              <w:t>54.0</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282A32"/>
              </w:rPr>
              <w:t>—</w:t>
            </w: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282A32"/>
              </w:rPr>
              <w:t>54.0</w:t>
            </w:r>
          </w:p>
        </w:tc>
      </w:tr>
      <w:tr>
        <w:trPr>
          <w:trHeight w:val="178"/>
        </w:trPr>
        <w:tc>
          <w:tcPr>
            <w:tcW w:w="350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282A32"/>
              </w:rPr>
              <w:t>Reacquired franchise rights</w:t>
            </w:r>
          </w:p>
        </w:tc>
        <w:tc>
          <w:tcPr>
            <w:tcW w:w="460" w:type="dxa"/>
            <w:vAlign w:val="bottom"/>
            <w:tcBorders>
              <w:bottom w:val="single" w:sz="8" w:color="auto"/>
            </w:tcBorders>
            <w:shd w:val="clear" w:color="auto" w:fill="E1F4FD"/>
          </w:tcPr>
          <w:p>
            <w:pPr>
              <w:spacing w:after="0"/>
              <w:rPr>
                <w:sz w:val="15"/>
                <w:szCs w:val="15"/>
                <w:color w:val="auto"/>
              </w:rPr>
            </w:pPr>
          </w:p>
        </w:tc>
        <w:tc>
          <w:tcPr>
            <w:tcW w:w="8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98.8</w:t>
            </w:r>
          </w:p>
        </w:tc>
        <w:tc>
          <w:tcPr>
            <w:tcW w:w="380" w:type="dxa"/>
            <w:vAlign w:val="bottom"/>
            <w:tcBorders>
              <w:bottom w:val="single" w:sz="8" w:color="auto"/>
            </w:tcBorders>
            <w:shd w:val="clear" w:color="auto" w:fill="E1F4FD"/>
          </w:tcPr>
          <w:p>
            <w:pPr>
              <w:spacing w:after="0"/>
              <w:rPr>
                <w:sz w:val="15"/>
                <w:szCs w:val="15"/>
                <w:color w:val="auto"/>
              </w:rPr>
            </w:pPr>
          </w:p>
        </w:tc>
        <w:tc>
          <w:tcPr>
            <w:tcW w:w="10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w:t>
            </w:r>
          </w:p>
        </w:tc>
        <w:tc>
          <w:tcPr>
            <w:tcW w:w="320" w:type="dxa"/>
            <w:vAlign w:val="bottom"/>
            <w:tcBorders>
              <w:bottom w:val="single" w:sz="8" w:color="auto"/>
            </w:tcBorders>
            <w:shd w:val="clear" w:color="auto" w:fill="E1F4FD"/>
          </w:tcPr>
          <w:p>
            <w:pPr>
              <w:spacing w:after="0"/>
              <w:rPr>
                <w:sz w:val="15"/>
                <w:szCs w:val="15"/>
                <w:color w:val="auto"/>
              </w:rPr>
            </w:pPr>
          </w:p>
        </w:tc>
        <w:tc>
          <w:tcPr>
            <w:tcW w:w="7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98.8</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96.6</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96.6</w:t>
            </w:r>
          </w:p>
        </w:tc>
      </w:tr>
      <w:tr>
        <w:trPr>
          <w:trHeight w:val="197"/>
        </w:trPr>
        <w:tc>
          <w:tcPr>
            <w:tcW w:w="3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shd w:val="clear" w:color="auto" w:fill="E1F4FD"/>
          </w:tcPr>
          <w:p>
            <w:pPr>
              <w:spacing w:after="0"/>
              <w:rPr>
                <w:sz w:val="17"/>
                <w:szCs w:val="17"/>
                <w:color w:val="auto"/>
              </w:rPr>
            </w:pPr>
          </w:p>
        </w:tc>
        <w:tc>
          <w:tcPr>
            <w:tcW w:w="8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150.8</w:t>
            </w:r>
          </w:p>
        </w:tc>
        <w:tc>
          <w:tcPr>
            <w:tcW w:w="380" w:type="dxa"/>
            <w:vAlign w:val="bottom"/>
            <w:tcBorders>
              <w:bottom w:val="single" w:sz="8" w:color="auto"/>
            </w:tcBorders>
            <w:shd w:val="clear" w:color="auto" w:fill="E1F4FD"/>
          </w:tcPr>
          <w:p>
            <w:pPr>
              <w:spacing w:after="0"/>
              <w:rPr>
                <w:sz w:val="17"/>
                <w:szCs w:val="17"/>
                <w:color w:val="auto"/>
              </w:rPr>
            </w:pPr>
          </w:p>
        </w:tc>
        <w:tc>
          <w:tcPr>
            <w:tcW w:w="10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w:t>
            </w:r>
          </w:p>
        </w:tc>
        <w:tc>
          <w:tcPr>
            <w:tcW w:w="320" w:type="dxa"/>
            <w:vAlign w:val="bottom"/>
            <w:tcBorders>
              <w:bottom w:val="single" w:sz="8" w:color="auto"/>
            </w:tcBorders>
            <w:shd w:val="clear" w:color="auto" w:fill="E1F4FD"/>
          </w:tcPr>
          <w:p>
            <w:pPr>
              <w:spacing w:after="0"/>
              <w:rPr>
                <w:sz w:val="17"/>
                <w:szCs w:val="17"/>
                <w:color w:val="auto"/>
              </w:rPr>
            </w:pPr>
          </w:p>
        </w:tc>
        <w:tc>
          <w:tcPr>
            <w:tcW w:w="7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150.8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150.6</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150.6</w:t>
            </w:r>
          </w:p>
        </w:tc>
      </w:tr>
      <w:tr>
        <w:trPr>
          <w:trHeight w:val="20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Total intangible assets</w:t>
            </w:r>
          </w:p>
        </w:tc>
        <w:tc>
          <w:tcPr>
            <w:tcW w:w="460" w:type="dxa"/>
            <w:vAlign w:val="bottom"/>
            <w:tcBorders>
              <w:bottom w:val="single" w:sz="8" w:color="auto"/>
            </w:tcBorders>
            <w:shd w:val="clear" w:color="auto" w:fill="E1F4FD"/>
          </w:tcPr>
          <w:p>
            <w:pPr>
              <w:jc w:val="right"/>
              <w:ind w:right="298"/>
              <w:spacing w:after="0"/>
              <w:rPr>
                <w:sz w:val="20"/>
                <w:szCs w:val="20"/>
                <w:color w:val="auto"/>
              </w:rPr>
            </w:pPr>
            <w:r>
              <w:rPr>
                <w:rFonts w:ascii="Arial" w:cs="Arial" w:eastAsia="Arial" w:hAnsi="Arial"/>
                <w:sz w:val="12"/>
                <w:szCs w:val="12"/>
                <w:color w:val="4F8ABE"/>
              </w:rPr>
              <w:t>$</w:t>
            </w:r>
          </w:p>
        </w:tc>
        <w:tc>
          <w:tcPr>
            <w:tcW w:w="8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594.2</w:t>
            </w:r>
          </w:p>
        </w:tc>
        <w:tc>
          <w:tcPr>
            <w:tcW w:w="380" w:type="dxa"/>
            <w:vAlign w:val="bottom"/>
            <w:tcBorders>
              <w:bottom w:val="single" w:sz="8" w:color="auto"/>
            </w:tcBorders>
            <w:shd w:val="clear" w:color="auto" w:fill="E1F4FD"/>
          </w:tcPr>
          <w:p>
            <w:pPr>
              <w:jc w:val="right"/>
              <w:ind w:right="238"/>
              <w:spacing w:after="0"/>
              <w:rPr>
                <w:sz w:val="20"/>
                <w:szCs w:val="20"/>
                <w:color w:val="auto"/>
              </w:rPr>
            </w:pPr>
            <w:r>
              <w:rPr>
                <w:rFonts w:ascii="Arial" w:cs="Arial" w:eastAsia="Arial" w:hAnsi="Arial"/>
                <w:sz w:val="12"/>
                <w:szCs w:val="12"/>
                <w:color w:val="4F8ABE"/>
                <w:w w:val="89"/>
              </w:rPr>
              <w:t>$</w:t>
            </w:r>
          </w:p>
        </w:tc>
        <w:tc>
          <w:tcPr>
            <w:tcW w:w="106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299.8</w:t>
            </w:r>
          </w:p>
        </w:tc>
        <w:tc>
          <w:tcPr>
            <w:tcW w:w="320" w:type="dxa"/>
            <w:vAlign w:val="bottom"/>
            <w:tcBorders>
              <w:bottom w:val="single" w:sz="8" w:color="auto"/>
            </w:tcBorders>
            <w:shd w:val="clear" w:color="auto" w:fill="E1F4FD"/>
          </w:tcPr>
          <w:p>
            <w:pPr>
              <w:jc w:val="right"/>
              <w:ind w:right="178"/>
              <w:spacing w:after="0"/>
              <w:rPr>
                <w:sz w:val="20"/>
                <w:szCs w:val="20"/>
                <w:color w:val="auto"/>
              </w:rPr>
            </w:pPr>
            <w:r>
              <w:rPr>
                <w:rFonts w:ascii="Arial" w:cs="Arial" w:eastAsia="Arial" w:hAnsi="Arial"/>
                <w:sz w:val="12"/>
                <w:szCs w:val="12"/>
                <w:color w:val="4F8ABE"/>
                <w:w w:val="89"/>
              </w:rPr>
              <w:t>$</w:t>
            </w:r>
          </w:p>
        </w:tc>
        <w:tc>
          <w:tcPr>
            <w:tcW w:w="7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294.4</w:t>
            </w:r>
          </w:p>
        </w:tc>
        <w:tc>
          <w:tcPr>
            <w:tcW w:w="3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282A32"/>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593.1</w:t>
            </w:r>
          </w:p>
        </w:tc>
        <w:tc>
          <w:tcPr>
            <w:tcW w:w="4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282A3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282A32"/>
              </w:rPr>
              <w:t>266.6</w:t>
            </w:r>
          </w:p>
        </w:tc>
        <w:tc>
          <w:tcPr>
            <w:tcW w:w="3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282A32"/>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326.5</w:t>
            </w:r>
          </w:p>
        </w:tc>
      </w:tr>
      <w:tr>
        <w:trPr>
          <w:trHeight w:val="91"/>
        </w:trPr>
        <w:tc>
          <w:tcPr>
            <w:tcW w:w="3500" w:type="dxa"/>
            <w:vAlign w:val="bottom"/>
          </w:tcPr>
          <w:p>
            <w:pPr>
              <w:spacing w:after="0"/>
              <w:rPr>
                <w:sz w:val="7"/>
                <w:szCs w:val="7"/>
                <w:color w:val="auto"/>
              </w:rPr>
            </w:pPr>
          </w:p>
        </w:tc>
        <w:tc>
          <w:tcPr>
            <w:tcW w:w="460" w:type="dxa"/>
            <w:vAlign w:val="bottom"/>
            <w:shd w:val="clear" w:color="auto" w:fill="2989B9"/>
          </w:tcPr>
          <w:p>
            <w:pPr>
              <w:spacing w:after="0"/>
              <w:rPr>
                <w:sz w:val="7"/>
                <w:szCs w:val="7"/>
                <w:color w:val="auto"/>
              </w:rPr>
            </w:pPr>
          </w:p>
        </w:tc>
        <w:tc>
          <w:tcPr>
            <w:tcW w:w="880" w:type="dxa"/>
            <w:vAlign w:val="bottom"/>
            <w:shd w:val="clear" w:color="auto" w:fill="2989B9"/>
          </w:tcPr>
          <w:p>
            <w:pPr>
              <w:spacing w:after="0"/>
              <w:rPr>
                <w:sz w:val="7"/>
                <w:szCs w:val="7"/>
                <w:color w:val="auto"/>
              </w:rPr>
            </w:pPr>
          </w:p>
        </w:tc>
        <w:tc>
          <w:tcPr>
            <w:tcW w:w="380" w:type="dxa"/>
            <w:vAlign w:val="bottom"/>
            <w:shd w:val="clear" w:color="auto" w:fill="2989B9"/>
          </w:tcPr>
          <w:p>
            <w:pPr>
              <w:spacing w:after="0"/>
              <w:rPr>
                <w:sz w:val="7"/>
                <w:szCs w:val="7"/>
                <w:color w:val="auto"/>
              </w:rPr>
            </w:pPr>
          </w:p>
        </w:tc>
        <w:tc>
          <w:tcPr>
            <w:tcW w:w="1060" w:type="dxa"/>
            <w:vAlign w:val="bottom"/>
            <w:shd w:val="clear" w:color="auto" w:fill="2989B9"/>
          </w:tcPr>
          <w:p>
            <w:pPr>
              <w:spacing w:after="0"/>
              <w:rPr>
                <w:sz w:val="7"/>
                <w:szCs w:val="7"/>
                <w:color w:val="auto"/>
              </w:rPr>
            </w:pPr>
          </w:p>
        </w:tc>
        <w:tc>
          <w:tcPr>
            <w:tcW w:w="320" w:type="dxa"/>
            <w:vAlign w:val="bottom"/>
            <w:shd w:val="clear" w:color="auto" w:fill="2989B9"/>
          </w:tcPr>
          <w:p>
            <w:pPr>
              <w:spacing w:after="0"/>
              <w:rPr>
                <w:sz w:val="7"/>
                <w:szCs w:val="7"/>
                <w:color w:val="auto"/>
              </w:rPr>
            </w:pPr>
          </w:p>
        </w:tc>
        <w:tc>
          <w:tcPr>
            <w:tcW w:w="780" w:type="dxa"/>
            <w:vAlign w:val="bottom"/>
            <w:shd w:val="clear" w:color="auto" w:fill="2989B9"/>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159" w:lineRule="exact"/>
        <w:rPr>
          <w:sz w:val="20"/>
          <w:szCs w:val="20"/>
          <w:color w:val="auto"/>
        </w:rPr>
      </w:pPr>
    </w:p>
    <w:p>
      <w:pPr>
        <w:ind w:left="160" w:hanging="157"/>
        <w:spacing w:after="0"/>
        <w:tabs>
          <w:tab w:leader="none" w:pos="1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Balances were net of accumulated impairment loss of $513.4 as of both December 31, 2016 and 2015.</w:t>
      </w:r>
    </w:p>
    <w:p>
      <w:pPr>
        <w:spacing w:after="0" w:line="80" w:lineRule="exact"/>
        <w:rPr>
          <w:rFonts w:ascii="Arial" w:cs="Arial" w:eastAsia="Arial" w:hAnsi="Arial"/>
          <w:sz w:val="11"/>
          <w:szCs w:val="11"/>
          <w:color w:val="auto"/>
        </w:rPr>
      </w:pPr>
    </w:p>
    <w:p>
      <w:pPr>
        <w:ind w:left="160" w:hanging="157"/>
        <w:spacing w:after="0"/>
        <w:tabs>
          <w:tab w:leader="none" w:pos="1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Balances were net of accumulated impairment loss of $139.5 as of both December 31, 2016 and 2015.</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Amortization expense related to intangibles was $36.0, $32.8 and $33.4 in 2016, 2015 and 2014, respectively. Amortization expense expected in each of the next five years related to acquisitions completed as of December 31, 2016 is as follows: 2017 - $32.6, 2018 - $29.7, 2019 - $25.8, 2020 - $20.9 and 2021 - $10.5. The weighted-average useful lives of the customer relationships and other are 13 and 4 years, respectively. The tradenames have been assigned an indefinite life based on our expectation of renewing the tradenames, as required, without material modifications and at a minimal cost, and our expectation of positive cash flows beyond the foreseeable future. The reacquired franchise rights result from our franchise acquisitions in the United States and Canada completed prior to 2009.</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 performed our annual impairment test of our goodwill and indefinite-lived intangible assets during the third quarter of 2016, 2015 and 2014, and there was no impairment of our goodwill or indefinite-lived intangible as a result of our annual tests.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We utilize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revenues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54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Significant assumptions used in our goodwill impairment tests during 2016, 2015 and 2014 included: expected revenue growth rates, operating unit profit margins, working capital levels, discount rates ranging from 10.8% to 15.3% for 2016, and a terminal value multiple. The expected future revenue growth rates and the expected operating unit profit margins were determined after considering our historical revenue growth rates and operating unit profit margins, our assessment of future market potential, and our expectations of future business performance.</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If the reporting unit’s fair value is less than its carrying value, we are required to perform a second step. In the second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989B9"/>
        </w:rPr>
        <w:t>Marketable Securities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account for our marketable security investments in accordance with the accounting guidance on investments in debt and equity securities, and have historically determined that all such investments are classified as available-for-sale. Accordingly, unrealized gains and unrealized losses that are determined to be temporary, net of related income taxes, are included in accumulated other comprehensive loss, which is a separate component of shareholders’ equity. Realized gains and losses, and unrealized losses determined to be other-than-temporary, are recorded in our Consolidated Statements of Operations.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We hold a 49% interest in our Swiss franchise, accounted for under the equity method of accounting, which maintained an investment portfolio with a market value of $207.0 and $202.3 as of December 31, 2016 and 2015, respectively. This portfolio is comprised of a wide variety of European and United States debt and equity securities as well as various professionally-managed funds, all of which are classified as available-for-sale. Our share of net realized gains and losses, and declines in value determined to be other-than-temporary, are included in our Consolidated Statements of Operations. For the years ended December 31, 2016, 2015 and 2014, realized gains totaled $2.9, $2.3 and $2.5, respectively, and realized losses totaled $1.0, $1.1 and $0.5, respectively. Other-than-temporary impairment amounts were net gains of $0.3 and $0.2 for 2016 and 2015, respectively, as previously impaired investments were sold for a gain, and a loss of $0.1 in 2014. Our share of net unrealized gains and unrealized losses that are determined to be temporary related to these investments are included in accumulated other comprehensive loss, with the offsetting amount increasing or decreasing our investment in the franchise.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2989B9"/>
        </w:rPr>
        <w:t>Capitalized Software for Internal Use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$3.2 and $5.1 as of December 31, 2016 and 2015, respectively, is included in other assets in the Consolidated Balance Sheets. Amortization expense related to the capitalized software costs was $1.9, $1.7 and $2.2 for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55</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80" w:name="page81"/>
    <w:bookmarkEnd w:id="80"/>
    <w:p>
      <w:pPr>
        <w:spacing w:after="0"/>
        <w:rPr>
          <w:sz w:val="20"/>
          <w:szCs w:val="20"/>
          <w:color w:val="auto"/>
        </w:rPr>
      </w:pPr>
      <w:r>
        <w:rPr>
          <w:rFonts w:ascii="Arial" w:cs="Arial" w:eastAsia="Arial" w:hAnsi="Arial"/>
          <w:sz w:val="12"/>
          <w:szCs w:val="12"/>
          <w:color w:val="2989B9"/>
        </w:rPr>
        <w:t>Property and Equipment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A summary of property and equipment as of December 31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E1F4FD"/>
          </w:tcPr>
          <w:p>
            <w:pPr>
              <w:spacing w:after="0"/>
              <w:rPr>
                <w:sz w:val="17"/>
                <w:szCs w:val="17"/>
                <w:color w:val="auto"/>
              </w:rPr>
            </w:pPr>
          </w:p>
        </w:tc>
        <w:tc>
          <w:tcPr>
            <w:tcW w:w="74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1"/>
                <w:szCs w:val="11"/>
                <w:color w:val="4F8ABE"/>
              </w:rPr>
              <w:t>2016</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282A32"/>
              </w:rPr>
              <w:t>2015</w:t>
            </w:r>
          </w:p>
        </w:tc>
      </w:tr>
      <w:tr>
        <w:trPr>
          <w:trHeight w:val="166"/>
        </w:trPr>
        <w:tc>
          <w:tcPr>
            <w:tcW w:w="9180" w:type="dxa"/>
            <w:vAlign w:val="bottom"/>
          </w:tcPr>
          <w:p>
            <w:pPr>
              <w:ind w:left="20"/>
              <w:spacing w:after="0"/>
              <w:rPr>
                <w:sz w:val="20"/>
                <w:szCs w:val="20"/>
                <w:color w:val="auto"/>
              </w:rPr>
            </w:pPr>
            <w:r>
              <w:rPr>
                <w:rFonts w:ascii="Arial" w:cs="Arial" w:eastAsia="Arial" w:hAnsi="Arial"/>
                <w:sz w:val="12"/>
                <w:szCs w:val="12"/>
                <w:color w:val="282A32"/>
              </w:rPr>
              <w:t>Land</w:t>
            </w:r>
          </w:p>
        </w:tc>
        <w:tc>
          <w:tcPr>
            <w:tcW w:w="400" w:type="dxa"/>
            <w:vAlign w:val="bottom"/>
            <w:shd w:val="clear" w:color="auto" w:fill="E1F4FD"/>
          </w:tcPr>
          <w:p>
            <w:pPr>
              <w:jc w:val="right"/>
              <w:ind w:right="258"/>
              <w:spacing w:after="0"/>
              <w:rPr>
                <w:sz w:val="20"/>
                <w:szCs w:val="20"/>
                <w:color w:val="auto"/>
              </w:rPr>
            </w:pPr>
            <w:r>
              <w:rPr>
                <w:rFonts w:ascii="Arial" w:cs="Arial" w:eastAsia="Arial" w:hAnsi="Arial"/>
                <w:sz w:val="12"/>
                <w:szCs w:val="12"/>
                <w:color w:val="4F8ABE"/>
                <w:w w:val="89"/>
              </w:rPr>
              <w:t>$</w:t>
            </w:r>
          </w:p>
        </w:tc>
        <w:tc>
          <w:tcPr>
            <w:tcW w:w="74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5.5</w:t>
            </w:r>
          </w:p>
        </w:tc>
        <w:tc>
          <w:tcPr>
            <w:tcW w:w="400" w:type="dxa"/>
            <w:vAlign w:val="bottom"/>
          </w:tcPr>
          <w:p>
            <w:pPr>
              <w:jc w:val="right"/>
              <w:ind w:right="238"/>
              <w:spacing w:after="0"/>
              <w:rPr>
                <w:sz w:val="20"/>
                <w:szCs w:val="20"/>
                <w:color w:val="auto"/>
              </w:rPr>
            </w:pPr>
            <w:r>
              <w:rPr>
                <w:rFonts w:ascii="Arial" w:cs="Arial" w:eastAsia="Arial" w:hAnsi="Arial"/>
                <w:sz w:val="12"/>
                <w:szCs w:val="12"/>
                <w:color w:val="282A32"/>
              </w:rPr>
              <w:t>$</w:t>
            </w:r>
          </w:p>
        </w:tc>
        <w:tc>
          <w:tcPr>
            <w:tcW w:w="740" w:type="dxa"/>
            <w:vAlign w:val="bottom"/>
          </w:tcPr>
          <w:p>
            <w:pPr>
              <w:jc w:val="right"/>
              <w:ind w:right="39"/>
              <w:spacing w:after="0"/>
              <w:rPr>
                <w:sz w:val="20"/>
                <w:szCs w:val="20"/>
                <w:color w:val="auto"/>
              </w:rPr>
            </w:pPr>
            <w:r>
              <w:rPr>
                <w:rFonts w:ascii="Arial" w:cs="Arial" w:eastAsia="Arial" w:hAnsi="Arial"/>
                <w:sz w:val="12"/>
                <w:szCs w:val="12"/>
                <w:color w:val="282A32"/>
              </w:rPr>
              <w:t>5.4</w:t>
            </w:r>
          </w:p>
        </w:tc>
      </w:tr>
      <w:tr>
        <w:trPr>
          <w:trHeight w:val="186"/>
        </w:trPr>
        <w:tc>
          <w:tcPr>
            <w:tcW w:w="9180" w:type="dxa"/>
            <w:vAlign w:val="bottom"/>
          </w:tcPr>
          <w:p>
            <w:pPr>
              <w:ind w:left="20"/>
              <w:spacing w:after="0"/>
              <w:rPr>
                <w:sz w:val="20"/>
                <w:szCs w:val="20"/>
                <w:color w:val="auto"/>
              </w:rPr>
            </w:pPr>
            <w:r>
              <w:rPr>
                <w:rFonts w:ascii="Arial" w:cs="Arial" w:eastAsia="Arial" w:hAnsi="Arial"/>
                <w:sz w:val="12"/>
                <w:szCs w:val="12"/>
                <w:color w:val="282A32"/>
              </w:rPr>
              <w:t>Buildings</w:t>
            </w:r>
          </w:p>
        </w:tc>
        <w:tc>
          <w:tcPr>
            <w:tcW w:w="400" w:type="dxa"/>
            <w:vAlign w:val="bottom"/>
            <w:shd w:val="clear" w:color="auto" w:fill="E1F4FD"/>
          </w:tcPr>
          <w:p>
            <w:pPr>
              <w:spacing w:after="0"/>
              <w:rPr>
                <w:sz w:val="16"/>
                <w:szCs w:val="16"/>
                <w:color w:val="auto"/>
              </w:rPr>
            </w:pPr>
          </w:p>
        </w:tc>
        <w:tc>
          <w:tcPr>
            <w:tcW w:w="74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16.2</w:t>
            </w:r>
          </w:p>
        </w:tc>
        <w:tc>
          <w:tcPr>
            <w:tcW w:w="4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2"/>
                <w:szCs w:val="12"/>
                <w:color w:val="282A32"/>
              </w:rPr>
              <w:t>16.7</w:t>
            </w:r>
          </w:p>
        </w:tc>
      </w:tr>
      <w:tr>
        <w:trPr>
          <w:trHeight w:val="186"/>
        </w:trPr>
        <w:tc>
          <w:tcPr>
            <w:tcW w:w="9180" w:type="dxa"/>
            <w:vAlign w:val="bottom"/>
          </w:tcPr>
          <w:p>
            <w:pPr>
              <w:ind w:left="20"/>
              <w:spacing w:after="0"/>
              <w:rPr>
                <w:sz w:val="20"/>
                <w:szCs w:val="20"/>
                <w:color w:val="auto"/>
              </w:rPr>
            </w:pPr>
            <w:r>
              <w:rPr>
                <w:rFonts w:ascii="Arial" w:cs="Arial" w:eastAsia="Arial" w:hAnsi="Arial"/>
                <w:sz w:val="12"/>
                <w:szCs w:val="12"/>
                <w:color w:val="282A32"/>
              </w:rPr>
              <w:t>Furniture, fixtures, and autos</w:t>
            </w:r>
          </w:p>
        </w:tc>
        <w:tc>
          <w:tcPr>
            <w:tcW w:w="400" w:type="dxa"/>
            <w:vAlign w:val="bottom"/>
            <w:shd w:val="clear" w:color="auto" w:fill="E1F4FD"/>
          </w:tcPr>
          <w:p>
            <w:pPr>
              <w:spacing w:after="0"/>
              <w:rPr>
                <w:sz w:val="16"/>
                <w:szCs w:val="16"/>
                <w:color w:val="auto"/>
              </w:rPr>
            </w:pPr>
          </w:p>
        </w:tc>
        <w:tc>
          <w:tcPr>
            <w:tcW w:w="74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157.6</w:t>
            </w:r>
          </w:p>
        </w:tc>
        <w:tc>
          <w:tcPr>
            <w:tcW w:w="4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2"/>
                <w:szCs w:val="12"/>
                <w:color w:val="282A32"/>
              </w:rPr>
              <w:t>166.6</w:t>
            </w:r>
          </w:p>
        </w:tc>
      </w:tr>
      <w:tr>
        <w:trPr>
          <w:trHeight w:val="186"/>
        </w:trPr>
        <w:tc>
          <w:tcPr>
            <w:tcW w:w="9180" w:type="dxa"/>
            <w:vAlign w:val="bottom"/>
          </w:tcPr>
          <w:p>
            <w:pPr>
              <w:ind w:left="20"/>
              <w:spacing w:after="0"/>
              <w:rPr>
                <w:sz w:val="20"/>
                <w:szCs w:val="20"/>
                <w:color w:val="auto"/>
              </w:rPr>
            </w:pPr>
            <w:r>
              <w:rPr>
                <w:rFonts w:ascii="Arial" w:cs="Arial" w:eastAsia="Arial" w:hAnsi="Arial"/>
                <w:sz w:val="12"/>
                <w:szCs w:val="12"/>
                <w:color w:val="282A32"/>
              </w:rPr>
              <w:t>Computer equipment</w:t>
            </w:r>
          </w:p>
        </w:tc>
        <w:tc>
          <w:tcPr>
            <w:tcW w:w="400" w:type="dxa"/>
            <w:vAlign w:val="bottom"/>
            <w:shd w:val="clear" w:color="auto" w:fill="E1F4FD"/>
          </w:tcPr>
          <w:p>
            <w:pPr>
              <w:spacing w:after="0"/>
              <w:rPr>
                <w:sz w:val="16"/>
                <w:szCs w:val="16"/>
                <w:color w:val="auto"/>
              </w:rPr>
            </w:pPr>
          </w:p>
        </w:tc>
        <w:tc>
          <w:tcPr>
            <w:tcW w:w="74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117.8</w:t>
            </w:r>
          </w:p>
        </w:tc>
        <w:tc>
          <w:tcPr>
            <w:tcW w:w="4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2"/>
                <w:szCs w:val="12"/>
                <w:color w:val="282A32"/>
              </w:rPr>
              <w:t>133.2</w:t>
            </w:r>
          </w:p>
        </w:tc>
      </w:tr>
      <w:tr>
        <w:trPr>
          <w:trHeight w:val="194"/>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Leasehold improvements</w:t>
            </w:r>
          </w:p>
        </w:tc>
        <w:tc>
          <w:tcPr>
            <w:tcW w:w="400" w:type="dxa"/>
            <w:vAlign w:val="bottom"/>
            <w:tcBorders>
              <w:bottom w:val="single" w:sz="8" w:color="auto"/>
            </w:tcBorders>
            <w:shd w:val="clear" w:color="auto" w:fill="E1F4FD"/>
          </w:tcPr>
          <w:p>
            <w:pPr>
              <w:spacing w:after="0"/>
              <w:rPr>
                <w:sz w:val="16"/>
                <w:szCs w:val="16"/>
                <w:color w:val="auto"/>
              </w:rPr>
            </w:pPr>
          </w:p>
        </w:tc>
        <w:tc>
          <w:tcPr>
            <w:tcW w:w="74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2"/>
                <w:szCs w:val="12"/>
                <w:color w:val="4F8ABE"/>
              </w:rPr>
              <w:t>269.9</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263.5</w:t>
            </w:r>
          </w:p>
        </w:tc>
      </w:tr>
      <w:tr>
        <w:trPr>
          <w:trHeight w:val="177"/>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Property and equipment</w:t>
            </w:r>
          </w:p>
        </w:tc>
        <w:tc>
          <w:tcPr>
            <w:tcW w:w="400" w:type="dxa"/>
            <w:vAlign w:val="bottom"/>
            <w:tcBorders>
              <w:bottom w:val="single" w:sz="8" w:color="auto"/>
            </w:tcBorders>
            <w:shd w:val="clear" w:color="auto" w:fill="E1F4FD"/>
          </w:tcPr>
          <w:p>
            <w:pPr>
              <w:jc w:val="right"/>
              <w:ind w:right="258"/>
              <w:spacing w:after="0"/>
              <w:rPr>
                <w:sz w:val="20"/>
                <w:szCs w:val="20"/>
                <w:color w:val="auto"/>
              </w:rPr>
            </w:pPr>
            <w:r>
              <w:rPr>
                <w:rFonts w:ascii="Arial" w:cs="Arial" w:eastAsia="Arial" w:hAnsi="Arial"/>
                <w:sz w:val="12"/>
                <w:szCs w:val="12"/>
                <w:color w:val="4F8ABE"/>
                <w:w w:val="89"/>
              </w:rPr>
              <w:t>$</w:t>
            </w:r>
          </w:p>
        </w:tc>
        <w:tc>
          <w:tcPr>
            <w:tcW w:w="74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2"/>
                <w:szCs w:val="12"/>
                <w:color w:val="4F8ABE"/>
              </w:rPr>
              <w:t>567.0</w:t>
            </w:r>
          </w:p>
        </w:tc>
        <w:tc>
          <w:tcPr>
            <w:tcW w:w="4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282A32"/>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585.4</w:t>
            </w:r>
          </w:p>
        </w:tc>
      </w:tr>
      <w:tr>
        <w:trPr>
          <w:trHeight w:val="91"/>
        </w:trPr>
        <w:tc>
          <w:tcPr>
            <w:tcW w:w="9180" w:type="dxa"/>
            <w:vAlign w:val="bottom"/>
          </w:tcPr>
          <w:p>
            <w:pPr>
              <w:spacing w:after="0"/>
              <w:rPr>
                <w:sz w:val="7"/>
                <w:szCs w:val="7"/>
                <w:color w:val="auto"/>
              </w:rPr>
            </w:pPr>
          </w:p>
        </w:tc>
        <w:tc>
          <w:tcPr>
            <w:tcW w:w="400" w:type="dxa"/>
            <w:vAlign w:val="bottom"/>
            <w:shd w:val="clear" w:color="auto" w:fill="2989B9"/>
          </w:tcPr>
          <w:p>
            <w:pPr>
              <w:spacing w:after="0"/>
              <w:rPr>
                <w:sz w:val="7"/>
                <w:szCs w:val="7"/>
                <w:color w:val="auto"/>
              </w:rPr>
            </w:pPr>
          </w:p>
        </w:tc>
        <w:tc>
          <w:tcPr>
            <w:tcW w:w="740" w:type="dxa"/>
            <w:vAlign w:val="bottom"/>
            <w:shd w:val="clear" w:color="auto" w:fill="2989B9"/>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Property and equipment are stated at cost and are depreciated using primarily the straight-line method over the following estimated useful lives: buildings - up to 40 years; furniture, fixtures, autos and computer equipment - 2 to 13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Derivative Financial Instruments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2989B9"/>
        </w:rPr>
        <w:t>Foreign Currency Translation</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The financial statements of our non-United States subsidiaries have been translated in accordance with the accounting guidance on foreign currency translation. Under the accounting guidance, asset and liability accounts are translated at the current exchange rates and income statement items are translated at the average exchange rates each month. The resulting translation adjustments are recorded as a component of accumulated other comprehensive loss, which is included in shareholders’ equity.</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989B9"/>
        </w:rPr>
        <w:t>Shareholders’ Equity</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282A32"/>
        </w:rPr>
        <w:t>In July 2016, the Board of Directors authorized the repurchase of an additional 6.0 million shares of our common stock. This authorization was in addition to the October 2015 authorization to repurchase 6.0 million shares of our common stock and the December 2012 authorization to repurchase 8.0 million shares of our common stock. Share repurchases may be made from time to time through a variety of methods, including open market purchases, block transactions, privately negotiated transactions or similar facilities. In 2016, we repurchased a total of 6.6 million shares, comprised of 5.3 million shares under the 2015 authorization and 1.3 million shares under the 2016 authorization, at a total cost of $482.2. In 2015, we repurchased a total of 6.7 million shares, comprised of 6.0 million shares under the 2012 authorization and 0.7 million shares under the 2015 authorization, at a total cost of $587.9</w:t>
      </w:r>
      <w:r>
        <w:rPr>
          <w:rFonts w:ascii="Arial" w:cs="Arial" w:eastAsia="Arial" w:hAnsi="Arial"/>
          <w:sz w:val="13"/>
          <w:szCs w:val="13"/>
          <w:color w:val="000000"/>
        </w:rPr>
        <w:t>,</w:t>
      </w:r>
      <w:r>
        <w:rPr>
          <w:rFonts w:ascii="Arial" w:cs="Arial" w:eastAsia="Arial" w:hAnsi="Arial"/>
          <w:sz w:val="12"/>
          <w:szCs w:val="12"/>
          <w:color w:val="282A32"/>
        </w:rPr>
        <w:t xml:space="preserve"> including a nominal amount of shares at a cost of $7.7 that</w:t>
      </w:r>
    </w:p>
    <w:p>
      <w:pPr>
        <w:spacing w:after="0" w:line="200" w:lineRule="exact"/>
        <w:rPr>
          <w:sz w:val="20"/>
          <w:szCs w:val="20"/>
          <w:color w:val="auto"/>
        </w:rPr>
      </w:pPr>
    </w:p>
    <w:p>
      <w:pPr>
        <w:spacing w:after="0" w:line="293"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56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settled in January 2016. The share repurchases that settled in January were not reflected in the treasury stock in our Consolidated Balance Sheets as of December 31, 2015. In 2014, we repurchased 2.0 million shares under the 2012 authorization at a cost of $143.5. As of December 31, 2016, there were 4.8 million shares remaining authorized for repurchase under the 2016 authorization and no shares remaining under either of the 2015 or 2012 authorizations.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 xml:space="preserve">During 2016, 2015 and 2014, the Board of Directors declared total cash dividends of $1.72, $1.60 and $0.98 </w:t>
      </w:r>
      <w:r>
        <w:rPr>
          <w:rFonts w:ascii="Arial" w:cs="Arial" w:eastAsia="Arial" w:hAnsi="Arial"/>
          <w:sz w:val="12"/>
          <w:szCs w:val="12"/>
          <w:color w:val="000000"/>
        </w:rPr>
        <w:t>per share, respectively, resulting in total dividend payments of $118.4, $121.0 and $77.3,</w:t>
      </w:r>
      <w:r>
        <w:rPr>
          <w:rFonts w:ascii="Arial" w:cs="Arial" w:eastAsia="Arial" w:hAnsi="Arial"/>
          <w:sz w:val="12"/>
          <w:szCs w:val="12"/>
          <w:color w:val="282A32"/>
        </w:rPr>
        <w:t xml:space="preserve"> </w:t>
      </w:r>
      <w:r>
        <w:rPr>
          <w:rFonts w:ascii="Arial" w:cs="Arial" w:eastAsia="Arial" w:hAnsi="Arial"/>
          <w:sz w:val="12"/>
          <w:szCs w:val="12"/>
          <w:color w:val="000000"/>
        </w:rPr>
        <w:t>respectively.</w:t>
      </w:r>
    </w:p>
    <w:p>
      <w:pPr>
        <w:spacing w:after="0" w:line="288"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During the third quarter of 2015, we entered into a joint venture to expand our business in the Greater China region. We contributed a majority of the net assets of our China, Hong Kong, Macau and Taiwan operations and the noncontrolling shareholder contributed cash. The joint venture is included in our Consolidated Balance Sheets as we have a controlling financial interest. The noncontrolling equity interest is included in noncontrolling interests in total shareholders’ equity in our Consolidated Balance Sheets.</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Noncontrolling interests, included in total shareholders' equity in our Consolidated Balance Sheets, represent amounts related to majority-owned subsidiaries in which we have a controlling financial interest.</w:t>
      </w:r>
    </w:p>
    <w:p>
      <w:pPr>
        <w:spacing w:after="0" w:line="141" w:lineRule="exact"/>
        <w:rPr>
          <w:sz w:val="20"/>
          <w:szCs w:val="20"/>
          <w:color w:val="auto"/>
        </w:rPr>
      </w:pPr>
    </w:p>
    <w:p>
      <w:pPr>
        <w:ind w:right="80"/>
        <w:spacing w:after="0" w:line="269" w:lineRule="auto"/>
        <w:rPr>
          <w:sz w:val="20"/>
          <w:szCs w:val="20"/>
          <w:color w:val="auto"/>
        </w:rPr>
      </w:pPr>
      <w:r>
        <w:rPr>
          <w:rFonts w:ascii="Arial" w:cs="Arial" w:eastAsia="Arial" w:hAnsi="Arial"/>
          <w:sz w:val="12"/>
          <w:szCs w:val="12"/>
          <w:color w:val="auto"/>
        </w:rPr>
        <w:t xml:space="preserve">Net earnings attributable to these noncontrolling interests were $10.1 and $6.6 for the year ended December 31, </w:t>
      </w:r>
      <w:r>
        <w:rPr>
          <w:rFonts w:ascii="Arial" w:cs="Arial" w:eastAsia="Arial" w:hAnsi="Arial"/>
          <w:sz w:val="12"/>
          <w:szCs w:val="12"/>
          <w:color w:val="282A32"/>
        </w:rPr>
        <w:t>2016</w:t>
      </w:r>
      <w:r>
        <w:rPr>
          <w:rFonts w:ascii="Arial" w:cs="Arial" w:eastAsia="Arial" w:hAnsi="Arial"/>
          <w:sz w:val="12"/>
          <w:szCs w:val="12"/>
          <w:color w:val="auto"/>
        </w:rPr>
        <w:t xml:space="preserve"> and </w:t>
      </w:r>
      <w:r>
        <w:rPr>
          <w:rFonts w:ascii="Arial" w:cs="Arial" w:eastAsia="Arial" w:hAnsi="Arial"/>
          <w:sz w:val="12"/>
          <w:szCs w:val="12"/>
          <w:color w:val="282A32"/>
        </w:rPr>
        <w:t>2015</w:t>
      </w:r>
      <w:r>
        <w:rPr>
          <w:rFonts w:ascii="Arial" w:cs="Arial" w:eastAsia="Arial" w:hAnsi="Arial"/>
          <w:sz w:val="12"/>
          <w:szCs w:val="12"/>
          <w:color w:val="auto"/>
        </w:rPr>
        <w:t>, respectively, which were recorded as expenses in interest and other expenses in our Consolidated Statements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2989B9"/>
        </w:rPr>
        <w:t>Cash and Cash Equivalents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We consider all highly liquid investments with an original maturity of three months or less when purchased to be cash equivalents.</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2989B9"/>
        </w:rPr>
        <w:t>Payroll Tax Credit</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 January 2013, the French government passed legislation, Credit d’Impôt pour la Compétitivité et l’Emploi (“CICE”), that provides payroll tax credits based on a percentage of wages paid to employees receiving less than two-and-a-half times the French minimum wage. The payroll tax credit was equal to 4% of eligible wages in 2013, 6% of eligible wages from 2014 to 2016, and 7% starting in 2017. The CICE payroll tax credit is accounted for as a reduction of our cost of services in the period earned.</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The payroll tax credit is creditable against our current French income tax payable, with any remaining amount being paid after three years. Given the amount of our current income taxes payable, we would generally receive the vast majority of these payroll tax credits after the three-year period. In March 2016 and July 2015, we entered into an agreement to sell a portion of the credits earned in 2015 and 2014, respectively, for net proceeds of $143.1 (€129.9) and $132.8 (€120.1), respectively. We derecognized these receivables upon the sale as the terms of the agreement are such that the transaction qualifies for sale treatment according to the accounting guidance on the transfer and servicing of assets. The discount on the sale of these receivables was recorded as a reduction of the payroll tax credits earned in the respective years in cost of services.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2989B9"/>
        </w:rPr>
        <w:t>Recently Issued Accounting Standards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In May 2014, the FASB issued new accounting guidance on revenue from contracts with customers. The core principle of this amendment is that an entity should recognize revenue to depict the transfer of promised goods or services to customers in an amount that reflects the consideration to which the entity expects to be entitled in exchange for those goods or services. As amended, the new guidance is effective for us in 2018 and can be adopted either retrospectively to each prior reporting period presented or as a cumulative-effect adjustment as of the date of adoption, with early adoption permitted, but not before 2017. We are currently working through an adoption plan and completed a preliminary analysis of how we currently recognize revenue compared to the accounting treatment required under the new guidance.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57</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12"/>
          <w:szCs w:val="12"/>
          <w:color w:val="282A32"/>
        </w:rPr>
        <w:t>complete our adoption plan in the first half of 2017. This plan includes a review of client contracts and revenue transactions to determine the impact of the accounting treatment under the new guidance, evaluation of the adoption method, and completing a rollout plan for the new guidance. Based on our preliminary analysis, we currently do not believe the adoption of this guidance will have a material impact on our Consolidated Financial Statements. We will continue to evaluate the impact of this guidance on our Consolidated Financial Statements and our preliminary assessments are subject to change. We plan to adopt the new guidance beginning January 1, 2018.</w:t>
      </w:r>
    </w:p>
    <w:p>
      <w:pPr>
        <w:spacing w:after="0" w:line="133"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282A32"/>
        </w:rPr>
        <w:t>In September 2015, the FASB issued new accounting guidance on business combinations. The new guidance eliminates the requirement to restate prior period financial statements for measurement period adjustments following a business combination. It requires that the cumulative impact of a measurement period adjustment (including the impact on prior periods) be recognized in the reporting period in which the adjustment is identified. The prior period impact of the adjustment should be either presented separately on the face of the income statement or disclosed in the notes. We adopted this guidance effective January 1, 2016. There was no impact of this adoption on our Consolidated Financial Statements.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 January 2016, the FASB issued new accounting guidance on financial instruments. The new guidance changes the accounting for equity investments, financial liability under the fair value option and the presentation and disclosure requirements for financial instruments. The guidance is effective for us in 2018. We are currently assessing the impact of the adoption of this guidance on our Consolidated Financial Statements.</w:t>
      </w:r>
    </w:p>
    <w:p>
      <w:pPr>
        <w:spacing w:after="0" w:line="131" w:lineRule="exact"/>
        <w:rPr>
          <w:sz w:val="20"/>
          <w:szCs w:val="20"/>
          <w:color w:val="auto"/>
        </w:rPr>
      </w:pPr>
    </w:p>
    <w:p>
      <w:pPr>
        <w:ind w:right="160"/>
        <w:spacing w:after="0" w:line="257" w:lineRule="auto"/>
        <w:rPr>
          <w:sz w:val="20"/>
          <w:szCs w:val="20"/>
          <w:color w:val="auto"/>
        </w:rPr>
      </w:pPr>
      <w:r>
        <w:rPr>
          <w:rFonts w:ascii="Arial" w:cs="Arial" w:eastAsia="Arial" w:hAnsi="Arial"/>
          <w:sz w:val="12"/>
          <w:szCs w:val="12"/>
          <w:color w:val="auto"/>
        </w:rPr>
        <w:t>In February 2016, the FASB issued new accounting guidance on leases. The new guidance requires that a lessee recognize assets and liabilities on the balance sheet for leases with lease terms longer than 12 months. The recognition, measurement and presentation of lease expenses and cash flows by a lessee will depend on its classification as a finance or operating lease. The guidance also includes new disclosure requirements providing information on the amounts recorded in the financial statements. The new guidance is effective for us in 2019. We are currently assessing the impact of the adoption of this guidance on our Consolidated Financial Statements.</w:t>
      </w:r>
    </w:p>
    <w:p>
      <w:pPr>
        <w:spacing w:after="0" w:line="133" w:lineRule="exact"/>
        <w:rPr>
          <w:sz w:val="20"/>
          <w:szCs w:val="20"/>
          <w:color w:val="auto"/>
        </w:rPr>
      </w:pPr>
    </w:p>
    <w:p>
      <w:pPr>
        <w:ind w:right="200"/>
        <w:spacing w:after="0" w:line="260" w:lineRule="auto"/>
        <w:rPr>
          <w:sz w:val="20"/>
          <w:szCs w:val="20"/>
          <w:color w:val="auto"/>
        </w:rPr>
      </w:pPr>
      <w:r>
        <w:rPr>
          <w:rFonts w:ascii="Arial" w:cs="Arial" w:eastAsia="Arial" w:hAnsi="Arial"/>
          <w:sz w:val="12"/>
          <w:szCs w:val="12"/>
          <w:color w:val="auto"/>
        </w:rPr>
        <w:t>In March 2016, the FASB issued new accounting guidance on employee share-based payment accounting. The new guidance is intended to simplify various aspects of the accounting for employee share-based payments, including the income tax consequences, classification of awards as either equity or liabilities, and classification on the statement of cash flows. The new guidance is effective for us in 2017. We do not expect the adoption of this guidance to have a material impact on our Consolidated Financial Statements.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June 2016, the FASB issued new accounting guidance on financial instruments. The new guidance requires an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a loss has been incurred. The new guidance is effective for us in 2020. We do not expect the adoption of this guidance to have a material impact on our Consolidated Financial Statements.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In August 2016, the FASB issued new accounting guidance on the cash flow statement. The new guidance is intended to reduce diversity in practice in how certain transactions are classified in the statement of cash flows. The new guidance is effective for us in 2018. We do not expect the adoption of this guidance to have a material impact on our Consolidated Financial Statements.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In October 2016, the FASB issued new accounting guidance on tax accounting for intra-entity asset transfers. Under current GAAP, the tax effects of intra-entity asset transfers are deferred until the transferred asset is sold to a third party or otherwise recovered through use, which is an exception to the principle that generally requires comprehensive recognition of current and deferred income taxes. The new guidance eliminates the exception for all intra-entity sales of assets other than inventory. As a result, an entity would recognize the tax expense from the sale of the asset in the seller’s tax jurisdiction when the transfer occurs, and any deferred tax asset that arises in the buyer’s jurisdiction would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58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377" w:lineRule="exact"/>
        <w:rPr>
          <w:sz w:val="20"/>
          <w:szCs w:val="20"/>
          <w:color w:val="auto"/>
        </w:rPr>
      </w:pPr>
    </w:p>
    <w:p>
      <w:pPr>
        <w:ind w:right="60"/>
        <w:spacing w:after="0" w:line="269" w:lineRule="auto"/>
        <w:rPr>
          <w:sz w:val="20"/>
          <w:szCs w:val="20"/>
          <w:color w:val="auto"/>
        </w:rPr>
      </w:pPr>
      <w:r>
        <w:rPr>
          <w:rFonts w:ascii="Arial" w:cs="Arial" w:eastAsia="Arial" w:hAnsi="Arial"/>
          <w:sz w:val="12"/>
          <w:szCs w:val="12"/>
          <w:color w:val="auto"/>
        </w:rPr>
        <w:t>recognized even though the pre-tax effects of that transaction are eliminated in consolidation. The guidance is effective for us in 2018. We are currently assessing the impact of the adoption of this guidance on our Consolidated Financial Statements.</w:t>
      </w:r>
    </w:p>
    <w:p>
      <w:pPr>
        <w:spacing w:after="0" w:line="249" w:lineRule="exact"/>
        <w:rPr>
          <w:sz w:val="20"/>
          <w:szCs w:val="20"/>
          <w:color w:val="auto"/>
        </w:rPr>
      </w:pPr>
    </w:p>
    <w:p>
      <w:pPr>
        <w:jc w:val="both"/>
        <w:ind w:right="260"/>
        <w:spacing w:after="0" w:line="256" w:lineRule="auto"/>
        <w:rPr>
          <w:sz w:val="20"/>
          <w:szCs w:val="20"/>
          <w:color w:val="auto"/>
        </w:rPr>
      </w:pPr>
      <w:r>
        <w:rPr>
          <w:rFonts w:ascii="Arial" w:cs="Arial" w:eastAsia="Arial" w:hAnsi="Arial"/>
          <w:sz w:val="12"/>
          <w:szCs w:val="12"/>
          <w:color w:val="auto"/>
        </w:rPr>
        <w:t>In October 2016, the FASB issued new accounting guidance on consolidation. The new guidance amends the consolidation requirements that apply to a single decision maker’s evaluation of interests held through related parties that are under common control when it is determining whether it is the primary beneficiary of a variable interest entity (“VIE”). Under the new guidance, a reporting entity considers its indirect economic interests in a VIE held through related parties that are under common control on a proportionate basis, in a manner consistent with its consideration of its indirect economic interests held through related parties that are not under common control. The guidance is effective for us in 2017. We do not expect the adoption of this guidance to have a material impact on our Consolidated Financial Statements.</w:t>
      </w:r>
    </w:p>
    <w:p>
      <w:pPr>
        <w:spacing w:after="0" w:line="257"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January 2017, the FASB issued new guidance that revises the definition of a business. An integrated set of activities and assets (a “set”) is a business if it has, at a minimum, an input and a substantive process that together significantly contribute to the ability to create outputs. The new guidance provides a framework to evaluate when an input and a substantive process are present. To be a business without outputs, there will now need to be an organized workforce. The FASB noted that outputs are a key element of a business and included more stringent criteria for sets without outputs. The guidance is effective for us in 2018. We do not expect the adoption of this guidance to have a material impact on our Consolidated Financial Statements.</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January 2017, the FASB issued new guidance that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The guidance is effective for us in 2020; however an early adoption is permitted for any impairment tests performed after January 1, 2017. We do not expect the adoption of this guidance to have a material impact on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Subsequent Events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We have evaluated events and transactions occurring after the balance sheet date through our filing date and noted no events that are subject to recognition or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2989B9"/>
        </w:rPr>
        <w:t>Note 02. Acquisitions</w:t>
      </w:r>
    </w:p>
    <w:p>
      <w:pPr>
        <w:spacing w:after="0" w:line="134" w:lineRule="exact"/>
        <w:rPr>
          <w:sz w:val="20"/>
          <w:szCs w:val="20"/>
          <w:color w:val="auto"/>
        </w:rPr>
      </w:pPr>
    </w:p>
    <w:p>
      <w:pPr>
        <w:ind w:right="240"/>
        <w:spacing w:after="0" w:line="260" w:lineRule="auto"/>
        <w:rPr>
          <w:sz w:val="20"/>
          <w:szCs w:val="20"/>
          <w:color w:val="auto"/>
        </w:rPr>
      </w:pPr>
      <w:r>
        <w:rPr>
          <w:rFonts w:ascii="Arial" w:cs="Arial" w:eastAsia="Arial" w:hAnsi="Arial"/>
          <w:sz w:val="12"/>
          <w:szCs w:val="12"/>
          <w:color w:val="282A32"/>
        </w:rPr>
        <w:t>From time to time, we acquire and invest in companies throughout the world, including franchises. The total cash consideration paid for acquisitions, net of cash acquired, for the years ended December 31, 2016, 2015 and 2014 was $57.6, $260.5 and $32.0, respectively. Goodwill and intangible assets resulting from the 2016 acquisitions, the majority of which took place in the Netherlands and Norway, were $24.4 and $6.6, respectively, as of December 31, 2016.</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2"/>
          <w:szCs w:val="12"/>
          <w:color w:val="282A32"/>
        </w:rPr>
        <w:t>On September 3, 2015, we acquired 7S Group GmbH (“7S”), for total consideration, net of cash acquired, of $140.4 (€125.3) plus contingent consideration based on the financial results of the company and other factors, which are being finalized. In addition, we incurred approximately $3.4 of transaction costs associated with the acquisition during the year ended December 31, 2015, which have been recorded in selling and administrative expenses. Based primarily in Germany, 7S is a highly specialized provider of human resource services focusing on a number of core sectors including skilled trades, engineering and IT. Of the $153.0 (€136.5) of net acquired assets, $48.8 (€43.5) was recorded as finite-lived intangible assets, of which $44.2 (€39.4) was assigned to customer relationships and will be amortized over 10 years using the straight line method. The customer relationships were $41.4 (€38.1) and $36.0 (€34.2) as of December 31, 2015 and 2016, respectively. Total amortization expense related to this intangible asset in each of the next five years is $4.2. The fair value of $119.1 (€106.2), which was not directly attributable to any specific assets or liabilities, was assigned to goodwill as part of the Germany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59</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84" w:name="page85"/>
    <w:bookmarkEnd w:id="84"/>
    <w:p>
      <w:pPr>
        <w:ind w:right="720"/>
        <w:spacing w:after="0" w:line="269" w:lineRule="auto"/>
        <w:rPr>
          <w:sz w:val="20"/>
          <w:szCs w:val="20"/>
          <w:color w:val="auto"/>
        </w:rPr>
      </w:pPr>
      <w:r>
        <w:rPr>
          <w:rFonts w:ascii="Arial" w:cs="Arial" w:eastAsia="Arial" w:hAnsi="Arial"/>
          <w:sz w:val="12"/>
          <w:szCs w:val="12"/>
          <w:color w:val="282A32"/>
        </w:rPr>
        <w:t>Goodwill and intangible assets resulting from the remaining 2015 acquisitions, the majority of which took place in Australia, Canada and the Netherlands, were $108.7 and $28.5, respectively, as of December 31, 2015.</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2989B9"/>
        </w:rPr>
        <w:t>Note 03. Share-Based Compensation Plans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We account for share-based payments according to the accounting guidance on share-based payments. During 2016, 2015 and 2014, we recognized $27.1, $31.1 and $40.6, respectively, in share-based compensation expense related to stock options, deferred stock, restricted stock and performance share units, all of which is recorded in selling and administrative expenses. The total income tax benefit recognized related to share-based compensation during 2016, 2015 and 2014 was $7.4, $16.9 and $12.2, respectively. Consideration received from share-based awards for 2016, 2015 and 2014 was $19.7, $70.1 and $25.5, respectively. The excess income tax benefit recognized related to share-based compensation awards, which is recorded in capital in excess of par value, for 2016, 2015 and 2014 was approximately $0.8, $7.4 and $4.6, respectively. We recognize compensation expense on grants of share-based compensation awards on a straight-line basis over the vesting period of each award.</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Stock Options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All share-based compensation is granted under the 2011 Equity Incentive Plan of Manpower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2016 or 2015.</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282A32"/>
        </w:rPr>
        <w:t>A summary of stock option activity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80" w:type="dxa"/>
            <w:vAlign w:val="bottom"/>
          </w:tcPr>
          <w:p>
            <w:pPr>
              <w:jc w:val="right"/>
              <w:ind w:right="340"/>
              <w:spacing w:after="0"/>
              <w:rPr>
                <w:sz w:val="20"/>
                <w:szCs w:val="20"/>
                <w:color w:val="auto"/>
              </w:rPr>
            </w:pPr>
            <w:r>
              <w:rPr>
                <w:rFonts w:ascii="Arial" w:cs="Arial" w:eastAsia="Arial" w:hAnsi="Arial"/>
                <w:sz w:val="11"/>
                <w:szCs w:val="11"/>
                <w:color w:val="282A32"/>
              </w:rPr>
              <w:t>Wtd. Avg.</w:t>
            </w:r>
          </w:p>
        </w:tc>
        <w:tc>
          <w:tcPr>
            <w:tcW w:w="1200" w:type="dxa"/>
            <w:vAlign w:val="bottom"/>
          </w:tcPr>
          <w:p>
            <w:pPr>
              <w:spacing w:after="0"/>
              <w:rPr>
                <w:sz w:val="10"/>
                <w:szCs w:val="10"/>
                <w:color w:val="auto"/>
              </w:rPr>
            </w:pPr>
          </w:p>
        </w:tc>
      </w:tr>
      <w:tr>
        <w:trPr>
          <w:trHeight w:val="124"/>
        </w:trPr>
        <w:tc>
          <w:tcPr>
            <w:tcW w:w="42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560" w:type="dxa"/>
            <w:vAlign w:val="bottom"/>
          </w:tcPr>
          <w:p>
            <w:pPr>
              <w:jc w:val="right"/>
              <w:ind w:right="359"/>
              <w:spacing w:after="0" w:line="124" w:lineRule="exact"/>
              <w:rPr>
                <w:sz w:val="20"/>
                <w:szCs w:val="20"/>
                <w:color w:val="auto"/>
              </w:rPr>
            </w:pPr>
            <w:r>
              <w:rPr>
                <w:rFonts w:ascii="Arial" w:cs="Arial" w:eastAsia="Arial" w:hAnsi="Arial"/>
                <w:sz w:val="11"/>
                <w:szCs w:val="11"/>
                <w:color w:val="282A32"/>
              </w:rPr>
              <w:t>Wtd. Avg.</w:t>
            </w:r>
          </w:p>
        </w:tc>
        <w:tc>
          <w:tcPr>
            <w:tcW w:w="1680" w:type="dxa"/>
            <w:vAlign w:val="bottom"/>
          </w:tcPr>
          <w:p>
            <w:pPr>
              <w:jc w:val="right"/>
              <w:ind w:right="340"/>
              <w:spacing w:after="0" w:line="124" w:lineRule="exact"/>
              <w:rPr>
                <w:sz w:val="20"/>
                <w:szCs w:val="20"/>
                <w:color w:val="auto"/>
              </w:rPr>
            </w:pPr>
            <w:r>
              <w:rPr>
                <w:rFonts w:ascii="Arial" w:cs="Arial" w:eastAsia="Arial" w:hAnsi="Arial"/>
                <w:sz w:val="11"/>
                <w:szCs w:val="11"/>
                <w:color w:val="282A32"/>
              </w:rPr>
              <w:t>Remaining</w:t>
            </w:r>
          </w:p>
        </w:tc>
        <w:tc>
          <w:tcPr>
            <w:tcW w:w="1200" w:type="dxa"/>
            <w:vAlign w:val="bottom"/>
          </w:tcPr>
          <w:p>
            <w:pPr>
              <w:jc w:val="right"/>
              <w:ind w:right="40"/>
              <w:spacing w:after="0" w:line="124" w:lineRule="exact"/>
              <w:rPr>
                <w:sz w:val="20"/>
                <w:szCs w:val="20"/>
                <w:color w:val="auto"/>
              </w:rPr>
            </w:pPr>
            <w:r>
              <w:rPr>
                <w:rFonts w:ascii="Arial" w:cs="Arial" w:eastAsia="Arial" w:hAnsi="Arial"/>
                <w:sz w:val="11"/>
                <w:szCs w:val="11"/>
                <w:color w:val="282A32"/>
              </w:rPr>
              <w:t>Aggregate</w:t>
            </w:r>
          </w:p>
        </w:tc>
      </w:tr>
      <w:tr>
        <w:trPr>
          <w:trHeight w:val="124"/>
        </w:trPr>
        <w:tc>
          <w:tcPr>
            <w:tcW w:w="42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560" w:type="dxa"/>
            <w:vAlign w:val="bottom"/>
          </w:tcPr>
          <w:p>
            <w:pPr>
              <w:jc w:val="right"/>
              <w:ind w:right="359"/>
              <w:spacing w:after="0" w:line="124" w:lineRule="exact"/>
              <w:rPr>
                <w:sz w:val="20"/>
                <w:szCs w:val="20"/>
                <w:color w:val="auto"/>
              </w:rPr>
            </w:pPr>
            <w:r>
              <w:rPr>
                <w:rFonts w:ascii="Arial" w:cs="Arial" w:eastAsia="Arial" w:hAnsi="Arial"/>
                <w:sz w:val="11"/>
                <w:szCs w:val="11"/>
                <w:color w:val="282A32"/>
              </w:rPr>
              <w:t>Exercise Price</w:t>
            </w:r>
          </w:p>
        </w:tc>
        <w:tc>
          <w:tcPr>
            <w:tcW w:w="1680" w:type="dxa"/>
            <w:vAlign w:val="bottom"/>
          </w:tcPr>
          <w:p>
            <w:pPr>
              <w:jc w:val="right"/>
              <w:ind w:right="340"/>
              <w:spacing w:after="0" w:line="124" w:lineRule="exact"/>
              <w:rPr>
                <w:sz w:val="20"/>
                <w:szCs w:val="20"/>
                <w:color w:val="auto"/>
              </w:rPr>
            </w:pPr>
            <w:r>
              <w:rPr>
                <w:rFonts w:ascii="Arial" w:cs="Arial" w:eastAsia="Arial" w:hAnsi="Arial"/>
                <w:sz w:val="11"/>
                <w:szCs w:val="11"/>
                <w:color w:val="282A32"/>
              </w:rPr>
              <w:t>Contractual Term</w:t>
            </w:r>
          </w:p>
        </w:tc>
        <w:tc>
          <w:tcPr>
            <w:tcW w:w="1200" w:type="dxa"/>
            <w:vAlign w:val="bottom"/>
          </w:tcPr>
          <w:p>
            <w:pPr>
              <w:jc w:val="right"/>
              <w:ind w:right="40"/>
              <w:spacing w:after="0" w:line="124" w:lineRule="exact"/>
              <w:rPr>
                <w:sz w:val="20"/>
                <w:szCs w:val="20"/>
                <w:color w:val="auto"/>
              </w:rPr>
            </w:pPr>
            <w:r>
              <w:rPr>
                <w:rFonts w:ascii="Arial" w:cs="Arial" w:eastAsia="Arial" w:hAnsi="Arial"/>
                <w:sz w:val="11"/>
                <w:szCs w:val="11"/>
                <w:color w:val="282A32"/>
              </w:rPr>
              <w:t>Intrinsic Value</w:t>
            </w:r>
          </w:p>
        </w:tc>
      </w:tr>
      <w:tr>
        <w:trPr>
          <w:trHeight w:val="136"/>
        </w:trPr>
        <w:tc>
          <w:tcPr>
            <w:tcW w:w="428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282A32"/>
              </w:rPr>
              <w:t>Shares (000)</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color w:val="282A32"/>
              </w:rPr>
              <w:t>Per Share</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color w:val="282A32"/>
              </w:rPr>
              <w:t>(years)</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color w:val="282A32"/>
              </w:rPr>
              <w:t>(in millions)</w:t>
            </w:r>
          </w:p>
        </w:tc>
      </w:tr>
      <w:tr>
        <w:trPr>
          <w:trHeight w:val="186"/>
        </w:trPr>
        <w:tc>
          <w:tcPr>
            <w:tcW w:w="4280" w:type="dxa"/>
            <w:vAlign w:val="bottom"/>
          </w:tcPr>
          <w:p>
            <w:pPr>
              <w:ind w:left="20"/>
              <w:spacing w:after="0"/>
              <w:rPr>
                <w:sz w:val="20"/>
                <w:szCs w:val="20"/>
                <w:color w:val="auto"/>
              </w:rPr>
            </w:pPr>
            <w:r>
              <w:rPr>
                <w:rFonts w:ascii="Arial" w:cs="Arial" w:eastAsia="Arial" w:hAnsi="Arial"/>
                <w:sz w:val="12"/>
                <w:szCs w:val="12"/>
                <w:color w:val="282A32"/>
              </w:rPr>
              <w:t>Outstanding, January 1, 2014</w:t>
            </w:r>
          </w:p>
        </w:tc>
        <w:tc>
          <w:tcPr>
            <w:tcW w:w="2740" w:type="dxa"/>
            <w:vAlign w:val="bottom"/>
          </w:tcPr>
          <w:p>
            <w:pPr>
              <w:jc w:val="right"/>
              <w:ind w:right="398"/>
              <w:spacing w:after="0"/>
              <w:rPr>
                <w:sz w:val="20"/>
                <w:szCs w:val="20"/>
                <w:color w:val="auto"/>
              </w:rPr>
            </w:pPr>
            <w:r>
              <w:rPr>
                <w:rFonts w:ascii="Arial" w:cs="Arial" w:eastAsia="Arial" w:hAnsi="Arial"/>
                <w:sz w:val="12"/>
                <w:szCs w:val="12"/>
                <w:color w:val="282A32"/>
              </w:rPr>
              <w:t>2,783</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$57</w:t>
            </w: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2"/>
                <w:szCs w:val="12"/>
                <w:color w:val="282A32"/>
              </w:rPr>
              <w:t>Granted</w:t>
            </w:r>
          </w:p>
        </w:tc>
        <w:tc>
          <w:tcPr>
            <w:tcW w:w="2740" w:type="dxa"/>
            <w:vAlign w:val="bottom"/>
          </w:tcPr>
          <w:p>
            <w:pPr>
              <w:jc w:val="right"/>
              <w:ind w:right="398"/>
              <w:spacing w:after="0"/>
              <w:rPr>
                <w:sz w:val="20"/>
                <w:szCs w:val="20"/>
                <w:color w:val="auto"/>
              </w:rPr>
            </w:pPr>
            <w:r>
              <w:rPr>
                <w:rFonts w:ascii="Arial" w:cs="Arial" w:eastAsia="Arial" w:hAnsi="Arial"/>
                <w:sz w:val="12"/>
                <w:szCs w:val="12"/>
                <w:color w:val="282A32"/>
              </w:rPr>
              <w:t>204</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77</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2"/>
                <w:szCs w:val="12"/>
                <w:color w:val="282A32"/>
              </w:rPr>
              <w:t>Exercised</w:t>
            </w:r>
          </w:p>
        </w:tc>
        <w:tc>
          <w:tcPr>
            <w:tcW w:w="2740" w:type="dxa"/>
            <w:vAlign w:val="bottom"/>
          </w:tcPr>
          <w:p>
            <w:pPr>
              <w:jc w:val="right"/>
              <w:ind w:right="358"/>
              <w:spacing w:after="0"/>
              <w:rPr>
                <w:sz w:val="20"/>
                <w:szCs w:val="20"/>
                <w:color w:val="auto"/>
              </w:rPr>
            </w:pPr>
            <w:r>
              <w:rPr>
                <w:rFonts w:ascii="Arial" w:cs="Arial" w:eastAsia="Arial" w:hAnsi="Arial"/>
                <w:sz w:val="12"/>
                <w:szCs w:val="12"/>
                <w:color w:val="282A32"/>
              </w:rPr>
              <w:t>(473)</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53</w:t>
            </w:r>
          </w:p>
        </w:tc>
        <w:tc>
          <w:tcPr>
            <w:tcW w:w="168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282A32"/>
              </w:rPr>
              <w:t>$13</w:t>
            </w:r>
          </w:p>
        </w:tc>
      </w:tr>
      <w:tr>
        <w:trPr>
          <w:trHeight w:val="215"/>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Expired or cancelled</w:t>
            </w:r>
          </w:p>
        </w:tc>
        <w:tc>
          <w:tcPr>
            <w:tcW w:w="27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282A32"/>
              </w:rPr>
              <w:t>(30)</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43</w:t>
            </w:r>
          </w:p>
        </w:tc>
        <w:tc>
          <w:tcPr>
            <w:tcW w:w="1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Outstanding, December 31, 2014</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2,484</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$59</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4.7</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$28</w:t>
            </w: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Vested or expected to vest, December 31, 2014</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2,476</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$59</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4.5</w:t>
            </w:r>
          </w:p>
        </w:tc>
        <w:tc>
          <w:tcPr>
            <w:tcW w:w="1200" w:type="dxa"/>
            <w:vAlign w:val="bottom"/>
            <w:tcBorders>
              <w:bottom w:val="single" w:sz="8" w:color="auto"/>
            </w:tcBorders>
          </w:tcPr>
          <w:p>
            <w:pPr>
              <w:spacing w:after="0"/>
              <w:rPr>
                <w:sz w:val="17"/>
                <w:szCs w:val="17"/>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Exercisable, December 31, 2014</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1,957</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$59</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3.7</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$23</w:t>
            </w:r>
          </w:p>
        </w:tc>
      </w:tr>
      <w:tr>
        <w:trPr>
          <w:trHeight w:val="189"/>
        </w:trPr>
        <w:tc>
          <w:tcPr>
            <w:tcW w:w="4280" w:type="dxa"/>
            <w:vAlign w:val="bottom"/>
          </w:tcPr>
          <w:p>
            <w:pPr>
              <w:ind w:left="20"/>
              <w:spacing w:after="0"/>
              <w:rPr>
                <w:sz w:val="20"/>
                <w:szCs w:val="20"/>
                <w:color w:val="auto"/>
              </w:rPr>
            </w:pPr>
            <w:r>
              <w:rPr>
                <w:rFonts w:ascii="Arial" w:cs="Arial" w:eastAsia="Arial" w:hAnsi="Arial"/>
                <w:sz w:val="12"/>
                <w:szCs w:val="12"/>
                <w:color w:val="282A32"/>
              </w:rPr>
              <w:t>Outstanding, January 1, 2015</w:t>
            </w:r>
          </w:p>
        </w:tc>
        <w:tc>
          <w:tcPr>
            <w:tcW w:w="2740" w:type="dxa"/>
            <w:vAlign w:val="bottom"/>
          </w:tcPr>
          <w:p>
            <w:pPr>
              <w:jc w:val="right"/>
              <w:ind w:right="398"/>
              <w:spacing w:after="0"/>
              <w:rPr>
                <w:sz w:val="20"/>
                <w:szCs w:val="20"/>
                <w:color w:val="auto"/>
              </w:rPr>
            </w:pPr>
            <w:r>
              <w:rPr>
                <w:rFonts w:ascii="Arial" w:cs="Arial" w:eastAsia="Arial" w:hAnsi="Arial"/>
                <w:sz w:val="12"/>
                <w:szCs w:val="12"/>
                <w:color w:val="282A32"/>
              </w:rPr>
              <w:t>2,484</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$59</w:t>
            </w: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2"/>
                <w:szCs w:val="12"/>
                <w:color w:val="282A32"/>
              </w:rPr>
              <w:t>Granted</w:t>
            </w:r>
          </w:p>
        </w:tc>
        <w:tc>
          <w:tcPr>
            <w:tcW w:w="2740" w:type="dxa"/>
            <w:vAlign w:val="bottom"/>
          </w:tcPr>
          <w:p>
            <w:pPr>
              <w:jc w:val="right"/>
              <w:ind w:right="398"/>
              <w:spacing w:after="0"/>
              <w:rPr>
                <w:sz w:val="20"/>
                <w:szCs w:val="20"/>
                <w:color w:val="auto"/>
              </w:rPr>
            </w:pPr>
            <w:r>
              <w:rPr>
                <w:rFonts w:ascii="Arial" w:cs="Arial" w:eastAsia="Arial" w:hAnsi="Arial"/>
                <w:sz w:val="12"/>
                <w:szCs w:val="12"/>
                <w:color w:val="282A32"/>
              </w:rPr>
              <w:t>147</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77</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2"/>
                <w:szCs w:val="12"/>
                <w:color w:val="282A32"/>
              </w:rPr>
              <w:t>Exercised</w:t>
            </w:r>
          </w:p>
        </w:tc>
        <w:tc>
          <w:tcPr>
            <w:tcW w:w="2740" w:type="dxa"/>
            <w:vAlign w:val="bottom"/>
          </w:tcPr>
          <w:p>
            <w:pPr>
              <w:jc w:val="right"/>
              <w:ind w:right="358"/>
              <w:spacing w:after="0"/>
              <w:rPr>
                <w:sz w:val="20"/>
                <w:szCs w:val="20"/>
                <w:color w:val="auto"/>
              </w:rPr>
            </w:pPr>
            <w:r>
              <w:rPr>
                <w:rFonts w:ascii="Arial" w:cs="Arial" w:eastAsia="Arial" w:hAnsi="Arial"/>
                <w:sz w:val="12"/>
                <w:szCs w:val="12"/>
                <w:color w:val="282A32"/>
              </w:rPr>
              <w:t>(1,255)</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56</w:t>
            </w:r>
          </w:p>
        </w:tc>
        <w:tc>
          <w:tcPr>
            <w:tcW w:w="168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282A32"/>
              </w:rPr>
              <w:t>$39</w:t>
            </w:r>
          </w:p>
        </w:tc>
      </w:tr>
      <w:tr>
        <w:trPr>
          <w:trHeight w:val="215"/>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Expired or cancelled</w:t>
            </w:r>
          </w:p>
        </w:tc>
        <w:tc>
          <w:tcPr>
            <w:tcW w:w="27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282A32"/>
              </w:rPr>
              <w:t>(104)</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56</w:t>
            </w:r>
          </w:p>
        </w:tc>
        <w:tc>
          <w:tcPr>
            <w:tcW w:w="1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Outstanding, December 31, 2015</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1,272</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$64</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5.2</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$26</w:t>
            </w: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Vested or expected to vest, December 31, 2015</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1,267</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$64</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5.2</w:t>
            </w:r>
          </w:p>
        </w:tc>
        <w:tc>
          <w:tcPr>
            <w:tcW w:w="1200" w:type="dxa"/>
            <w:vAlign w:val="bottom"/>
            <w:tcBorders>
              <w:bottom w:val="single" w:sz="8" w:color="auto"/>
            </w:tcBorders>
          </w:tcPr>
          <w:p>
            <w:pPr>
              <w:spacing w:after="0"/>
              <w:rPr>
                <w:sz w:val="17"/>
                <w:szCs w:val="17"/>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Exercisable, December 31, 2015</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911</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$62</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4.0</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$20</w:t>
            </w:r>
          </w:p>
        </w:tc>
      </w:tr>
      <w:tr>
        <w:trPr>
          <w:trHeight w:val="189"/>
        </w:trPr>
        <w:tc>
          <w:tcPr>
            <w:tcW w:w="4280" w:type="dxa"/>
            <w:vAlign w:val="bottom"/>
          </w:tcPr>
          <w:p>
            <w:pPr>
              <w:ind w:left="20"/>
              <w:spacing w:after="0"/>
              <w:rPr>
                <w:sz w:val="20"/>
                <w:szCs w:val="20"/>
                <w:color w:val="auto"/>
              </w:rPr>
            </w:pPr>
            <w:r>
              <w:rPr>
                <w:rFonts w:ascii="Arial" w:cs="Arial" w:eastAsia="Arial" w:hAnsi="Arial"/>
                <w:sz w:val="12"/>
                <w:szCs w:val="12"/>
                <w:color w:val="282A32"/>
              </w:rPr>
              <w:t>Outstanding, January 1, 2016</w:t>
            </w:r>
          </w:p>
        </w:tc>
        <w:tc>
          <w:tcPr>
            <w:tcW w:w="2740" w:type="dxa"/>
            <w:vAlign w:val="bottom"/>
          </w:tcPr>
          <w:p>
            <w:pPr>
              <w:jc w:val="right"/>
              <w:ind w:right="398"/>
              <w:spacing w:after="0"/>
              <w:rPr>
                <w:sz w:val="20"/>
                <w:szCs w:val="20"/>
                <w:color w:val="auto"/>
              </w:rPr>
            </w:pPr>
            <w:r>
              <w:rPr>
                <w:rFonts w:ascii="Arial" w:cs="Arial" w:eastAsia="Arial" w:hAnsi="Arial"/>
                <w:sz w:val="12"/>
                <w:szCs w:val="12"/>
                <w:color w:val="282A32"/>
              </w:rPr>
              <w:t>1,272</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$64</w:t>
            </w: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2"/>
                <w:szCs w:val="12"/>
                <w:color w:val="282A32"/>
              </w:rPr>
              <w:t>Granted</w:t>
            </w:r>
          </w:p>
        </w:tc>
        <w:tc>
          <w:tcPr>
            <w:tcW w:w="2740" w:type="dxa"/>
            <w:vAlign w:val="bottom"/>
          </w:tcPr>
          <w:p>
            <w:pPr>
              <w:jc w:val="right"/>
              <w:ind w:right="398"/>
              <w:spacing w:after="0"/>
              <w:rPr>
                <w:sz w:val="20"/>
                <w:szCs w:val="20"/>
                <w:color w:val="auto"/>
              </w:rPr>
            </w:pPr>
            <w:r>
              <w:rPr>
                <w:rFonts w:ascii="Arial" w:cs="Arial" w:eastAsia="Arial" w:hAnsi="Arial"/>
                <w:sz w:val="12"/>
                <w:szCs w:val="12"/>
                <w:color w:val="282A32"/>
              </w:rPr>
              <w:t>166</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75</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2"/>
                <w:szCs w:val="12"/>
                <w:color w:val="282A32"/>
              </w:rPr>
              <w:t>Exercised</w:t>
            </w:r>
          </w:p>
        </w:tc>
        <w:tc>
          <w:tcPr>
            <w:tcW w:w="2740" w:type="dxa"/>
            <w:vAlign w:val="bottom"/>
          </w:tcPr>
          <w:p>
            <w:pPr>
              <w:jc w:val="right"/>
              <w:ind w:right="358"/>
              <w:spacing w:after="0"/>
              <w:rPr>
                <w:sz w:val="20"/>
                <w:szCs w:val="20"/>
                <w:color w:val="auto"/>
              </w:rPr>
            </w:pPr>
            <w:r>
              <w:rPr>
                <w:rFonts w:ascii="Arial" w:cs="Arial" w:eastAsia="Arial" w:hAnsi="Arial"/>
                <w:sz w:val="12"/>
                <w:szCs w:val="12"/>
                <w:color w:val="282A32"/>
              </w:rPr>
              <w:t>(279)</w:t>
            </w:r>
          </w:p>
        </w:tc>
        <w:tc>
          <w:tcPr>
            <w:tcW w:w="1560" w:type="dxa"/>
            <w:vAlign w:val="bottom"/>
          </w:tcPr>
          <w:p>
            <w:pPr>
              <w:jc w:val="right"/>
              <w:ind w:right="359"/>
              <w:spacing w:after="0"/>
              <w:rPr>
                <w:sz w:val="20"/>
                <w:szCs w:val="20"/>
                <w:color w:val="auto"/>
              </w:rPr>
            </w:pPr>
            <w:r>
              <w:rPr>
                <w:rFonts w:ascii="Arial" w:cs="Arial" w:eastAsia="Arial" w:hAnsi="Arial"/>
                <w:sz w:val="12"/>
                <w:szCs w:val="12"/>
                <w:color w:val="282A32"/>
              </w:rPr>
              <w:t>63</w:t>
            </w:r>
          </w:p>
        </w:tc>
        <w:tc>
          <w:tcPr>
            <w:tcW w:w="168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282A32"/>
              </w:rPr>
              <w:t>$5</w:t>
            </w:r>
          </w:p>
        </w:tc>
      </w:tr>
      <w:tr>
        <w:trPr>
          <w:trHeight w:val="215"/>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Expired or cancelled</w:t>
            </w:r>
          </w:p>
        </w:tc>
        <w:tc>
          <w:tcPr>
            <w:tcW w:w="27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282A32"/>
              </w:rPr>
              <w:t>(32)</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67</w:t>
            </w:r>
          </w:p>
        </w:tc>
        <w:tc>
          <w:tcPr>
            <w:tcW w:w="1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Outstanding, December 31, 2016</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1,127</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$66</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4.9</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$26</w:t>
            </w: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Vested or expected to vest, December 31, 2016</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1,122</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$66</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4.9</w:t>
            </w:r>
          </w:p>
        </w:tc>
        <w:tc>
          <w:tcPr>
            <w:tcW w:w="1200" w:type="dxa"/>
            <w:vAlign w:val="bottom"/>
            <w:tcBorders>
              <w:bottom w:val="single" w:sz="8" w:color="auto"/>
            </w:tcBorders>
          </w:tcPr>
          <w:p>
            <w:pPr>
              <w:spacing w:after="0"/>
              <w:rPr>
                <w:sz w:val="17"/>
                <w:szCs w:val="17"/>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Exercisable, December 31, 2016</w:t>
            </w:r>
          </w:p>
        </w:tc>
        <w:tc>
          <w:tcPr>
            <w:tcW w:w="274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282A32"/>
              </w:rPr>
              <w:t>756</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$62</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282A32"/>
              </w:rPr>
              <w:t>3.3</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60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282A32"/>
        </w:rPr>
        <w:t>Options outstanding and exercisable as of December 31, 2016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1"/>
                <w:szCs w:val="11"/>
                <w:color w:val="282A32"/>
              </w:rPr>
              <w:t>Options Outstanding</w:t>
            </w:r>
          </w:p>
        </w:tc>
        <w:tc>
          <w:tcPr>
            <w:tcW w:w="1960" w:type="dxa"/>
            <w:vAlign w:val="bottom"/>
          </w:tcPr>
          <w:p>
            <w:pPr>
              <w:spacing w:after="0"/>
              <w:rPr>
                <w:sz w:val="11"/>
                <w:szCs w:val="11"/>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1"/>
                <w:szCs w:val="11"/>
                <w:color w:val="282A32"/>
              </w:rPr>
              <w:t>Options Exercisable</w:t>
            </w:r>
          </w:p>
        </w:tc>
      </w:tr>
      <w:tr>
        <w:trPr>
          <w:trHeight w:val="144"/>
        </w:trPr>
        <w:tc>
          <w:tcPr>
            <w:tcW w:w="276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1"/>
                <w:szCs w:val="11"/>
                <w:color w:val="282A32"/>
              </w:rPr>
              <w:t>Weighted-</w:t>
            </w: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Borders>
              <w:top w:val="single" w:sz="8" w:color="55565A"/>
            </w:tcBorders>
          </w:tcPr>
          <w:p>
            <w:pPr>
              <w:spacing w:after="0"/>
              <w:rPr>
                <w:sz w:val="12"/>
                <w:szCs w:val="12"/>
                <w:color w:val="auto"/>
              </w:rPr>
            </w:pPr>
          </w:p>
        </w:tc>
        <w:tc>
          <w:tcPr>
            <w:tcW w:w="1920" w:type="dxa"/>
            <w:vAlign w:val="bottom"/>
            <w:tcBorders>
              <w:top w:val="single" w:sz="8" w:color="55565A"/>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r>
      <w:tr>
        <w:trPr>
          <w:trHeight w:val="124"/>
        </w:trPr>
        <w:tc>
          <w:tcPr>
            <w:tcW w:w="2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340" w:type="dxa"/>
            <w:vAlign w:val="bottom"/>
          </w:tcPr>
          <w:p>
            <w:pPr>
              <w:jc w:val="right"/>
              <w:ind w:right="21"/>
              <w:spacing w:after="0" w:line="124" w:lineRule="exact"/>
              <w:rPr>
                <w:sz w:val="20"/>
                <w:szCs w:val="20"/>
                <w:color w:val="auto"/>
              </w:rPr>
            </w:pPr>
            <w:r>
              <w:rPr>
                <w:rFonts w:ascii="Arial" w:cs="Arial" w:eastAsia="Arial" w:hAnsi="Arial"/>
                <w:sz w:val="11"/>
                <w:szCs w:val="11"/>
                <w:color w:val="282A32"/>
              </w:rPr>
              <w:t>Average</w:t>
            </w: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2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340" w:type="dxa"/>
            <w:vAlign w:val="bottom"/>
          </w:tcPr>
          <w:p>
            <w:pPr>
              <w:jc w:val="right"/>
              <w:ind w:right="21"/>
              <w:spacing w:after="0" w:line="124" w:lineRule="exact"/>
              <w:rPr>
                <w:sz w:val="20"/>
                <w:szCs w:val="20"/>
                <w:color w:val="auto"/>
              </w:rPr>
            </w:pPr>
            <w:r>
              <w:rPr>
                <w:rFonts w:ascii="Arial" w:cs="Arial" w:eastAsia="Arial" w:hAnsi="Arial"/>
                <w:sz w:val="11"/>
                <w:szCs w:val="11"/>
                <w:color w:val="282A32"/>
              </w:rPr>
              <w:t>Remaining</w:t>
            </w:r>
          </w:p>
        </w:tc>
        <w:tc>
          <w:tcPr>
            <w:tcW w:w="144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282A32"/>
              </w:rPr>
              <w:t>Weighted-</w:t>
            </w:r>
          </w:p>
        </w:tc>
        <w:tc>
          <w:tcPr>
            <w:tcW w:w="19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2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340" w:type="dxa"/>
            <w:vAlign w:val="bottom"/>
          </w:tcPr>
          <w:p>
            <w:pPr>
              <w:jc w:val="right"/>
              <w:ind w:right="21"/>
              <w:spacing w:after="0" w:line="124" w:lineRule="exact"/>
              <w:rPr>
                <w:sz w:val="20"/>
                <w:szCs w:val="20"/>
                <w:color w:val="auto"/>
              </w:rPr>
            </w:pPr>
            <w:r>
              <w:rPr>
                <w:rFonts w:ascii="Arial" w:cs="Arial" w:eastAsia="Arial" w:hAnsi="Arial"/>
                <w:sz w:val="11"/>
                <w:szCs w:val="11"/>
                <w:color w:val="282A32"/>
              </w:rPr>
              <w:t>Contractual</w:t>
            </w:r>
          </w:p>
        </w:tc>
        <w:tc>
          <w:tcPr>
            <w:tcW w:w="144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282A32"/>
              </w:rPr>
              <w:t>Average</w:t>
            </w:r>
          </w:p>
        </w:tc>
        <w:tc>
          <w:tcPr>
            <w:tcW w:w="1960" w:type="dxa"/>
            <w:vAlign w:val="bottom"/>
          </w:tcPr>
          <w:p>
            <w:pPr>
              <w:spacing w:after="0"/>
              <w:rPr>
                <w:sz w:val="10"/>
                <w:szCs w:val="10"/>
                <w:color w:val="auto"/>
              </w:rPr>
            </w:pPr>
          </w:p>
        </w:tc>
        <w:tc>
          <w:tcPr>
            <w:tcW w:w="20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282A32"/>
              </w:rPr>
              <w:t>Weighted-Average</w:t>
            </w:r>
          </w:p>
        </w:tc>
      </w:tr>
      <w:tr>
        <w:trPr>
          <w:trHeight w:val="136"/>
        </w:trPr>
        <w:tc>
          <w:tcPr>
            <w:tcW w:w="2760" w:type="dxa"/>
            <w:vAlign w:val="bottom"/>
            <w:tcBorders>
              <w:bottom w:val="single" w:sz="8" w:color="55565A"/>
            </w:tcBorders>
          </w:tcPr>
          <w:p>
            <w:pPr>
              <w:ind w:left="20"/>
              <w:spacing w:after="0"/>
              <w:rPr>
                <w:sz w:val="20"/>
                <w:szCs w:val="20"/>
                <w:color w:val="auto"/>
              </w:rPr>
            </w:pPr>
            <w:r>
              <w:rPr>
                <w:rFonts w:ascii="Arial" w:cs="Arial" w:eastAsia="Arial" w:hAnsi="Arial"/>
                <w:sz w:val="11"/>
                <w:szCs w:val="11"/>
                <w:color w:val="282A32"/>
              </w:rPr>
              <w:t>Exercise Price</w:t>
            </w:r>
          </w:p>
        </w:tc>
        <w:tc>
          <w:tcPr>
            <w:tcW w:w="1940" w:type="dxa"/>
            <w:vAlign w:val="bottom"/>
            <w:tcBorders>
              <w:bottom w:val="single" w:sz="8" w:color="55565A"/>
            </w:tcBorders>
          </w:tcPr>
          <w:p>
            <w:pPr>
              <w:jc w:val="right"/>
              <w:ind w:right="619"/>
              <w:spacing w:after="0"/>
              <w:rPr>
                <w:sz w:val="20"/>
                <w:szCs w:val="20"/>
                <w:color w:val="auto"/>
              </w:rPr>
            </w:pPr>
            <w:r>
              <w:rPr>
                <w:rFonts w:ascii="Arial" w:cs="Arial" w:eastAsia="Arial" w:hAnsi="Arial"/>
                <w:sz w:val="11"/>
                <w:szCs w:val="11"/>
                <w:color w:val="282A32"/>
              </w:rPr>
              <w:t>Shares (000)</w:t>
            </w:r>
          </w:p>
        </w:tc>
        <w:tc>
          <w:tcPr>
            <w:tcW w:w="1340" w:type="dxa"/>
            <w:vAlign w:val="bottom"/>
            <w:tcBorders>
              <w:bottom w:val="single" w:sz="8" w:color="55565A"/>
            </w:tcBorders>
          </w:tcPr>
          <w:p>
            <w:pPr>
              <w:jc w:val="right"/>
              <w:ind w:right="21"/>
              <w:spacing w:after="0"/>
              <w:rPr>
                <w:sz w:val="20"/>
                <w:szCs w:val="20"/>
                <w:color w:val="auto"/>
              </w:rPr>
            </w:pPr>
            <w:r>
              <w:rPr>
                <w:rFonts w:ascii="Arial" w:cs="Arial" w:eastAsia="Arial" w:hAnsi="Arial"/>
                <w:sz w:val="11"/>
                <w:szCs w:val="11"/>
                <w:color w:val="282A32"/>
              </w:rPr>
              <w:t>Life (years)</w:t>
            </w:r>
          </w:p>
        </w:tc>
        <w:tc>
          <w:tcPr>
            <w:tcW w:w="1440" w:type="dxa"/>
            <w:vAlign w:val="bottom"/>
            <w:tcBorders>
              <w:bottom w:val="single" w:sz="8" w:color="55565A"/>
            </w:tcBorders>
            <w:gridSpan w:val="2"/>
          </w:tcPr>
          <w:p>
            <w:pPr>
              <w:jc w:val="right"/>
              <w:ind w:right="340"/>
              <w:spacing w:after="0"/>
              <w:rPr>
                <w:sz w:val="20"/>
                <w:szCs w:val="20"/>
                <w:color w:val="auto"/>
              </w:rPr>
            </w:pPr>
            <w:r>
              <w:rPr>
                <w:rFonts w:ascii="Arial" w:cs="Arial" w:eastAsia="Arial" w:hAnsi="Arial"/>
                <w:sz w:val="11"/>
                <w:szCs w:val="11"/>
                <w:color w:val="282A32"/>
              </w:rPr>
              <w:t>Exercise Price</w:t>
            </w:r>
          </w:p>
        </w:tc>
        <w:tc>
          <w:tcPr>
            <w:tcW w:w="1960" w:type="dxa"/>
            <w:vAlign w:val="bottom"/>
            <w:tcBorders>
              <w:bottom w:val="single" w:sz="8" w:color="55565A"/>
            </w:tcBorders>
          </w:tcPr>
          <w:p>
            <w:pPr>
              <w:jc w:val="right"/>
              <w:ind w:right="879"/>
              <w:spacing w:after="0"/>
              <w:rPr>
                <w:sz w:val="20"/>
                <w:szCs w:val="20"/>
                <w:color w:val="auto"/>
              </w:rPr>
            </w:pPr>
            <w:r>
              <w:rPr>
                <w:rFonts w:ascii="Arial" w:cs="Arial" w:eastAsia="Arial" w:hAnsi="Arial"/>
                <w:sz w:val="11"/>
                <w:szCs w:val="11"/>
                <w:color w:val="282A32"/>
              </w:rPr>
              <w:t>Shares (000)</w:t>
            </w:r>
          </w:p>
        </w:tc>
        <w:tc>
          <w:tcPr>
            <w:tcW w:w="2020" w:type="dxa"/>
            <w:vAlign w:val="bottom"/>
            <w:tcBorders>
              <w:bottom w:val="single" w:sz="8" w:color="55565A"/>
            </w:tcBorders>
            <w:gridSpan w:val="2"/>
          </w:tcPr>
          <w:p>
            <w:pPr>
              <w:jc w:val="right"/>
              <w:ind w:right="100"/>
              <w:spacing w:after="0"/>
              <w:rPr>
                <w:sz w:val="20"/>
                <w:szCs w:val="20"/>
                <w:color w:val="auto"/>
              </w:rPr>
            </w:pPr>
            <w:r>
              <w:rPr>
                <w:rFonts w:ascii="Arial" w:cs="Arial" w:eastAsia="Arial" w:hAnsi="Arial"/>
                <w:sz w:val="11"/>
                <w:szCs w:val="11"/>
                <w:color w:val="282A32"/>
              </w:rPr>
              <w:t>Exercise Price</w:t>
            </w:r>
          </w:p>
        </w:tc>
      </w:tr>
      <w:tr>
        <w:trPr>
          <w:trHeight w:val="186"/>
        </w:trPr>
        <w:tc>
          <w:tcPr>
            <w:tcW w:w="2760" w:type="dxa"/>
            <w:vAlign w:val="bottom"/>
          </w:tcPr>
          <w:p>
            <w:pPr>
              <w:ind w:left="20"/>
              <w:spacing w:after="0"/>
              <w:rPr>
                <w:sz w:val="20"/>
                <w:szCs w:val="20"/>
                <w:color w:val="auto"/>
              </w:rPr>
            </w:pPr>
            <w:r>
              <w:rPr>
                <w:rFonts w:ascii="Arial" w:cs="Arial" w:eastAsia="Arial" w:hAnsi="Arial"/>
                <w:sz w:val="12"/>
                <w:szCs w:val="12"/>
                <w:color w:val="282A32"/>
              </w:rPr>
              <w:t>$27-$36</w:t>
            </w:r>
          </w:p>
        </w:tc>
        <w:tc>
          <w:tcPr>
            <w:tcW w:w="1940" w:type="dxa"/>
            <w:vAlign w:val="bottom"/>
          </w:tcPr>
          <w:p>
            <w:pPr>
              <w:jc w:val="right"/>
              <w:ind w:right="619"/>
              <w:spacing w:after="0"/>
              <w:rPr>
                <w:sz w:val="20"/>
                <w:szCs w:val="20"/>
                <w:color w:val="auto"/>
              </w:rPr>
            </w:pPr>
            <w:r>
              <w:rPr>
                <w:rFonts w:ascii="Arial" w:cs="Arial" w:eastAsia="Arial" w:hAnsi="Arial"/>
                <w:sz w:val="12"/>
                <w:szCs w:val="12"/>
                <w:color w:val="282A32"/>
              </w:rPr>
              <w:t>32</w:t>
            </w:r>
          </w:p>
        </w:tc>
        <w:tc>
          <w:tcPr>
            <w:tcW w:w="1340" w:type="dxa"/>
            <w:vAlign w:val="bottom"/>
          </w:tcPr>
          <w:p>
            <w:pPr>
              <w:jc w:val="right"/>
              <w:ind w:right="21"/>
              <w:spacing w:after="0"/>
              <w:rPr>
                <w:sz w:val="20"/>
                <w:szCs w:val="20"/>
                <w:color w:val="auto"/>
              </w:rPr>
            </w:pPr>
            <w:r>
              <w:rPr>
                <w:rFonts w:ascii="Arial" w:cs="Arial" w:eastAsia="Arial" w:hAnsi="Arial"/>
                <w:sz w:val="12"/>
                <w:szCs w:val="12"/>
                <w:color w:val="282A32"/>
              </w:rPr>
              <w:t>2.1</w:t>
            </w:r>
          </w:p>
        </w:tc>
        <w:tc>
          <w:tcPr>
            <w:tcW w:w="1200" w:type="dxa"/>
            <w:vAlign w:val="bottom"/>
          </w:tcPr>
          <w:p>
            <w:pPr>
              <w:jc w:val="right"/>
              <w:ind w:right="41"/>
              <w:spacing w:after="0"/>
              <w:rPr>
                <w:sz w:val="20"/>
                <w:szCs w:val="20"/>
                <w:color w:val="auto"/>
              </w:rPr>
            </w:pPr>
            <w:r>
              <w:rPr>
                <w:rFonts w:ascii="Arial" w:cs="Arial" w:eastAsia="Arial" w:hAnsi="Arial"/>
                <w:sz w:val="12"/>
                <w:szCs w:val="12"/>
                <w:color w:val="282A32"/>
              </w:rPr>
              <w:t>$31</w:t>
            </w:r>
          </w:p>
        </w:tc>
        <w:tc>
          <w:tcPr>
            <w:tcW w:w="240" w:type="dxa"/>
            <w:vAlign w:val="bottom"/>
          </w:tcPr>
          <w:p>
            <w:pPr>
              <w:spacing w:after="0"/>
              <w:rPr>
                <w:sz w:val="16"/>
                <w:szCs w:val="16"/>
                <w:color w:val="auto"/>
              </w:rPr>
            </w:pPr>
          </w:p>
        </w:tc>
        <w:tc>
          <w:tcPr>
            <w:tcW w:w="1960" w:type="dxa"/>
            <w:vAlign w:val="bottom"/>
          </w:tcPr>
          <w:p>
            <w:pPr>
              <w:jc w:val="right"/>
              <w:ind w:right="879"/>
              <w:spacing w:after="0"/>
              <w:rPr>
                <w:sz w:val="20"/>
                <w:szCs w:val="20"/>
                <w:color w:val="auto"/>
              </w:rPr>
            </w:pPr>
            <w:r>
              <w:rPr>
                <w:rFonts w:ascii="Arial" w:cs="Arial" w:eastAsia="Arial" w:hAnsi="Arial"/>
                <w:sz w:val="12"/>
                <w:szCs w:val="12"/>
                <w:color w:val="282A32"/>
              </w:rPr>
              <w:t>32</w:t>
            </w:r>
          </w:p>
        </w:tc>
        <w:tc>
          <w:tcPr>
            <w:tcW w:w="1920" w:type="dxa"/>
            <w:vAlign w:val="bottom"/>
          </w:tcPr>
          <w:p>
            <w:pPr>
              <w:jc w:val="right"/>
              <w:spacing w:after="0"/>
              <w:rPr>
                <w:sz w:val="20"/>
                <w:szCs w:val="20"/>
                <w:color w:val="auto"/>
              </w:rPr>
            </w:pPr>
            <w:r>
              <w:rPr>
                <w:rFonts w:ascii="Arial" w:cs="Arial" w:eastAsia="Arial" w:hAnsi="Arial"/>
                <w:sz w:val="12"/>
                <w:szCs w:val="12"/>
                <w:color w:val="282A32"/>
              </w:rPr>
              <w:t>$31</w:t>
            </w:r>
          </w:p>
        </w:tc>
        <w:tc>
          <w:tcPr>
            <w:tcW w:w="100" w:type="dxa"/>
            <w:vAlign w:val="bottom"/>
          </w:tcPr>
          <w:p>
            <w:pPr>
              <w:spacing w:after="0"/>
              <w:rPr>
                <w:sz w:val="16"/>
                <w:szCs w:val="16"/>
                <w:color w:val="auto"/>
              </w:rPr>
            </w:pPr>
          </w:p>
        </w:tc>
      </w:tr>
      <w:tr>
        <w:trPr>
          <w:trHeight w:val="207"/>
        </w:trPr>
        <w:tc>
          <w:tcPr>
            <w:tcW w:w="2760" w:type="dxa"/>
            <w:vAlign w:val="bottom"/>
          </w:tcPr>
          <w:p>
            <w:pPr>
              <w:ind w:left="20"/>
              <w:spacing w:after="0"/>
              <w:rPr>
                <w:sz w:val="20"/>
                <w:szCs w:val="20"/>
                <w:color w:val="auto"/>
              </w:rPr>
            </w:pPr>
            <w:r>
              <w:rPr>
                <w:rFonts w:ascii="Arial" w:cs="Arial" w:eastAsia="Arial" w:hAnsi="Arial"/>
                <w:sz w:val="12"/>
                <w:szCs w:val="12"/>
                <w:color w:val="282A32"/>
              </w:rPr>
              <w:t>$37-$48</w:t>
            </w:r>
          </w:p>
        </w:tc>
        <w:tc>
          <w:tcPr>
            <w:tcW w:w="1940" w:type="dxa"/>
            <w:vAlign w:val="bottom"/>
          </w:tcPr>
          <w:p>
            <w:pPr>
              <w:jc w:val="right"/>
              <w:ind w:right="619"/>
              <w:spacing w:after="0"/>
              <w:rPr>
                <w:sz w:val="20"/>
                <w:szCs w:val="20"/>
                <w:color w:val="auto"/>
              </w:rPr>
            </w:pPr>
            <w:r>
              <w:rPr>
                <w:rFonts w:ascii="Arial" w:cs="Arial" w:eastAsia="Arial" w:hAnsi="Arial"/>
                <w:sz w:val="12"/>
                <w:szCs w:val="12"/>
                <w:color w:val="282A32"/>
              </w:rPr>
              <w:t>70</w:t>
            </w:r>
          </w:p>
        </w:tc>
        <w:tc>
          <w:tcPr>
            <w:tcW w:w="1340" w:type="dxa"/>
            <w:vAlign w:val="bottom"/>
          </w:tcPr>
          <w:p>
            <w:pPr>
              <w:jc w:val="right"/>
              <w:ind w:right="21"/>
              <w:spacing w:after="0"/>
              <w:rPr>
                <w:sz w:val="20"/>
                <w:szCs w:val="20"/>
                <w:color w:val="auto"/>
              </w:rPr>
            </w:pPr>
            <w:r>
              <w:rPr>
                <w:rFonts w:ascii="Arial" w:cs="Arial" w:eastAsia="Arial" w:hAnsi="Arial"/>
                <w:sz w:val="12"/>
                <w:szCs w:val="12"/>
                <w:color w:val="282A32"/>
              </w:rPr>
              <w:t>3.9</w:t>
            </w:r>
          </w:p>
        </w:tc>
        <w:tc>
          <w:tcPr>
            <w:tcW w:w="1200" w:type="dxa"/>
            <w:vAlign w:val="bottom"/>
          </w:tcPr>
          <w:p>
            <w:pPr>
              <w:jc w:val="right"/>
              <w:ind w:right="41"/>
              <w:spacing w:after="0"/>
              <w:rPr>
                <w:sz w:val="20"/>
                <w:szCs w:val="20"/>
                <w:color w:val="auto"/>
              </w:rPr>
            </w:pPr>
            <w:r>
              <w:rPr>
                <w:rFonts w:ascii="Arial" w:cs="Arial" w:eastAsia="Arial" w:hAnsi="Arial"/>
                <w:sz w:val="12"/>
                <w:szCs w:val="12"/>
                <w:color w:val="282A32"/>
              </w:rPr>
              <w:t>45</w:t>
            </w:r>
          </w:p>
        </w:tc>
        <w:tc>
          <w:tcPr>
            <w:tcW w:w="240" w:type="dxa"/>
            <w:vAlign w:val="bottom"/>
          </w:tcPr>
          <w:p>
            <w:pPr>
              <w:spacing w:after="0"/>
              <w:rPr>
                <w:sz w:val="17"/>
                <w:szCs w:val="17"/>
                <w:color w:val="auto"/>
              </w:rPr>
            </w:pPr>
          </w:p>
        </w:tc>
        <w:tc>
          <w:tcPr>
            <w:tcW w:w="1960" w:type="dxa"/>
            <w:vAlign w:val="bottom"/>
          </w:tcPr>
          <w:p>
            <w:pPr>
              <w:jc w:val="right"/>
              <w:ind w:right="879"/>
              <w:spacing w:after="0"/>
              <w:rPr>
                <w:sz w:val="20"/>
                <w:szCs w:val="20"/>
                <w:color w:val="auto"/>
              </w:rPr>
            </w:pPr>
            <w:r>
              <w:rPr>
                <w:rFonts w:ascii="Arial" w:cs="Arial" w:eastAsia="Arial" w:hAnsi="Arial"/>
                <w:sz w:val="12"/>
                <w:szCs w:val="12"/>
                <w:color w:val="282A32"/>
              </w:rPr>
              <w:t>70</w:t>
            </w:r>
          </w:p>
        </w:tc>
        <w:tc>
          <w:tcPr>
            <w:tcW w:w="1920" w:type="dxa"/>
            <w:vAlign w:val="bottom"/>
          </w:tcPr>
          <w:p>
            <w:pPr>
              <w:jc w:val="right"/>
              <w:spacing w:after="0"/>
              <w:rPr>
                <w:sz w:val="20"/>
                <w:szCs w:val="20"/>
                <w:color w:val="auto"/>
              </w:rPr>
            </w:pPr>
            <w:r>
              <w:rPr>
                <w:rFonts w:ascii="Arial" w:cs="Arial" w:eastAsia="Arial" w:hAnsi="Arial"/>
                <w:sz w:val="12"/>
                <w:szCs w:val="12"/>
                <w:color w:val="282A32"/>
              </w:rPr>
              <w:t>45</w:t>
            </w:r>
          </w:p>
        </w:tc>
        <w:tc>
          <w:tcPr>
            <w:tcW w:w="100" w:type="dxa"/>
            <w:vAlign w:val="bottom"/>
          </w:tcPr>
          <w:p>
            <w:pPr>
              <w:spacing w:after="0"/>
              <w:rPr>
                <w:sz w:val="17"/>
                <w:szCs w:val="17"/>
                <w:color w:val="auto"/>
              </w:rPr>
            </w:pPr>
          </w:p>
        </w:tc>
      </w:tr>
      <w:tr>
        <w:trPr>
          <w:trHeight w:val="207"/>
        </w:trPr>
        <w:tc>
          <w:tcPr>
            <w:tcW w:w="2760" w:type="dxa"/>
            <w:vAlign w:val="bottom"/>
          </w:tcPr>
          <w:p>
            <w:pPr>
              <w:ind w:left="20"/>
              <w:spacing w:after="0"/>
              <w:rPr>
                <w:sz w:val="20"/>
                <w:szCs w:val="20"/>
                <w:color w:val="auto"/>
              </w:rPr>
            </w:pPr>
            <w:r>
              <w:rPr>
                <w:rFonts w:ascii="Arial" w:cs="Arial" w:eastAsia="Arial" w:hAnsi="Arial"/>
                <w:sz w:val="12"/>
                <w:szCs w:val="12"/>
                <w:color w:val="282A32"/>
              </w:rPr>
              <w:t>$49-$58</w:t>
            </w:r>
          </w:p>
        </w:tc>
        <w:tc>
          <w:tcPr>
            <w:tcW w:w="1940" w:type="dxa"/>
            <w:vAlign w:val="bottom"/>
          </w:tcPr>
          <w:p>
            <w:pPr>
              <w:jc w:val="right"/>
              <w:ind w:right="619"/>
              <w:spacing w:after="0"/>
              <w:rPr>
                <w:sz w:val="20"/>
                <w:szCs w:val="20"/>
                <w:color w:val="auto"/>
              </w:rPr>
            </w:pPr>
            <w:r>
              <w:rPr>
                <w:rFonts w:ascii="Arial" w:cs="Arial" w:eastAsia="Arial" w:hAnsi="Arial"/>
                <w:sz w:val="12"/>
                <w:szCs w:val="12"/>
                <w:color w:val="282A32"/>
              </w:rPr>
              <w:t>306</w:t>
            </w:r>
          </w:p>
        </w:tc>
        <w:tc>
          <w:tcPr>
            <w:tcW w:w="1340" w:type="dxa"/>
            <w:vAlign w:val="bottom"/>
          </w:tcPr>
          <w:p>
            <w:pPr>
              <w:jc w:val="right"/>
              <w:ind w:right="21"/>
              <w:spacing w:after="0"/>
              <w:rPr>
                <w:sz w:val="20"/>
                <w:szCs w:val="20"/>
                <w:color w:val="auto"/>
              </w:rPr>
            </w:pPr>
            <w:r>
              <w:rPr>
                <w:rFonts w:ascii="Arial" w:cs="Arial" w:eastAsia="Arial" w:hAnsi="Arial"/>
                <w:sz w:val="12"/>
                <w:szCs w:val="12"/>
                <w:color w:val="282A32"/>
              </w:rPr>
              <w:t>3.5</w:t>
            </w:r>
          </w:p>
        </w:tc>
        <w:tc>
          <w:tcPr>
            <w:tcW w:w="1200" w:type="dxa"/>
            <w:vAlign w:val="bottom"/>
          </w:tcPr>
          <w:p>
            <w:pPr>
              <w:jc w:val="right"/>
              <w:ind w:right="41"/>
              <w:spacing w:after="0"/>
              <w:rPr>
                <w:sz w:val="20"/>
                <w:szCs w:val="20"/>
                <w:color w:val="auto"/>
              </w:rPr>
            </w:pPr>
            <w:r>
              <w:rPr>
                <w:rFonts w:ascii="Arial" w:cs="Arial" w:eastAsia="Arial" w:hAnsi="Arial"/>
                <w:sz w:val="12"/>
                <w:szCs w:val="12"/>
                <w:color w:val="282A32"/>
              </w:rPr>
              <w:t>54</w:t>
            </w:r>
          </w:p>
        </w:tc>
        <w:tc>
          <w:tcPr>
            <w:tcW w:w="240" w:type="dxa"/>
            <w:vAlign w:val="bottom"/>
          </w:tcPr>
          <w:p>
            <w:pPr>
              <w:spacing w:after="0"/>
              <w:rPr>
                <w:sz w:val="17"/>
                <w:szCs w:val="17"/>
                <w:color w:val="auto"/>
              </w:rPr>
            </w:pPr>
          </w:p>
        </w:tc>
        <w:tc>
          <w:tcPr>
            <w:tcW w:w="1960" w:type="dxa"/>
            <w:vAlign w:val="bottom"/>
          </w:tcPr>
          <w:p>
            <w:pPr>
              <w:jc w:val="right"/>
              <w:ind w:right="879"/>
              <w:spacing w:after="0"/>
              <w:rPr>
                <w:sz w:val="20"/>
                <w:szCs w:val="20"/>
                <w:color w:val="auto"/>
              </w:rPr>
            </w:pPr>
            <w:r>
              <w:rPr>
                <w:rFonts w:ascii="Arial" w:cs="Arial" w:eastAsia="Arial" w:hAnsi="Arial"/>
                <w:sz w:val="12"/>
                <w:szCs w:val="12"/>
                <w:color w:val="282A32"/>
              </w:rPr>
              <w:t>270</w:t>
            </w:r>
          </w:p>
        </w:tc>
        <w:tc>
          <w:tcPr>
            <w:tcW w:w="1920" w:type="dxa"/>
            <w:vAlign w:val="bottom"/>
          </w:tcPr>
          <w:p>
            <w:pPr>
              <w:jc w:val="right"/>
              <w:spacing w:after="0"/>
              <w:rPr>
                <w:sz w:val="20"/>
                <w:szCs w:val="20"/>
                <w:color w:val="auto"/>
              </w:rPr>
            </w:pPr>
            <w:r>
              <w:rPr>
                <w:rFonts w:ascii="Arial" w:cs="Arial" w:eastAsia="Arial" w:hAnsi="Arial"/>
                <w:sz w:val="12"/>
                <w:szCs w:val="12"/>
                <w:color w:val="282A32"/>
              </w:rPr>
              <w:t>54</w:t>
            </w:r>
          </w:p>
        </w:tc>
        <w:tc>
          <w:tcPr>
            <w:tcW w:w="100" w:type="dxa"/>
            <w:vAlign w:val="bottom"/>
          </w:tcPr>
          <w:p>
            <w:pPr>
              <w:spacing w:after="0"/>
              <w:rPr>
                <w:sz w:val="17"/>
                <w:szCs w:val="17"/>
                <w:color w:val="auto"/>
              </w:rPr>
            </w:pPr>
          </w:p>
        </w:tc>
      </w:tr>
      <w:tr>
        <w:trPr>
          <w:trHeight w:val="215"/>
        </w:trPr>
        <w:tc>
          <w:tcPr>
            <w:tcW w:w="2760" w:type="dxa"/>
            <w:vAlign w:val="bottom"/>
            <w:tcBorders>
              <w:bottom w:val="single" w:sz="8" w:color="55565A"/>
            </w:tcBorders>
          </w:tcPr>
          <w:p>
            <w:pPr>
              <w:ind w:left="20"/>
              <w:spacing w:after="0"/>
              <w:rPr>
                <w:sz w:val="20"/>
                <w:szCs w:val="20"/>
                <w:color w:val="auto"/>
              </w:rPr>
            </w:pPr>
            <w:r>
              <w:rPr>
                <w:rFonts w:ascii="Arial" w:cs="Arial" w:eastAsia="Arial" w:hAnsi="Arial"/>
                <w:sz w:val="12"/>
                <w:szCs w:val="12"/>
                <w:color w:val="282A32"/>
              </w:rPr>
              <w:t>$59-$93</w:t>
            </w:r>
          </w:p>
        </w:tc>
        <w:tc>
          <w:tcPr>
            <w:tcW w:w="1940" w:type="dxa"/>
            <w:vAlign w:val="bottom"/>
            <w:tcBorders>
              <w:bottom w:val="single" w:sz="8" w:color="55565A"/>
            </w:tcBorders>
          </w:tcPr>
          <w:p>
            <w:pPr>
              <w:jc w:val="right"/>
              <w:ind w:right="619"/>
              <w:spacing w:after="0"/>
              <w:rPr>
                <w:sz w:val="20"/>
                <w:szCs w:val="20"/>
                <w:color w:val="auto"/>
              </w:rPr>
            </w:pPr>
            <w:r>
              <w:rPr>
                <w:rFonts w:ascii="Arial" w:cs="Arial" w:eastAsia="Arial" w:hAnsi="Arial"/>
                <w:sz w:val="12"/>
                <w:szCs w:val="12"/>
                <w:color w:val="282A32"/>
              </w:rPr>
              <w:t>719</w:t>
            </w:r>
          </w:p>
        </w:tc>
        <w:tc>
          <w:tcPr>
            <w:tcW w:w="1340" w:type="dxa"/>
            <w:vAlign w:val="bottom"/>
            <w:tcBorders>
              <w:bottom w:val="single" w:sz="8" w:color="55565A"/>
            </w:tcBorders>
          </w:tcPr>
          <w:p>
            <w:pPr>
              <w:jc w:val="right"/>
              <w:ind w:right="21"/>
              <w:spacing w:after="0"/>
              <w:rPr>
                <w:sz w:val="20"/>
                <w:szCs w:val="20"/>
                <w:color w:val="auto"/>
              </w:rPr>
            </w:pPr>
            <w:r>
              <w:rPr>
                <w:rFonts w:ascii="Arial" w:cs="Arial" w:eastAsia="Arial" w:hAnsi="Arial"/>
                <w:sz w:val="12"/>
                <w:szCs w:val="12"/>
                <w:color w:val="282A32"/>
              </w:rPr>
              <w:t>5.7</w:t>
            </w:r>
          </w:p>
        </w:tc>
        <w:tc>
          <w:tcPr>
            <w:tcW w:w="1200" w:type="dxa"/>
            <w:vAlign w:val="bottom"/>
            <w:tcBorders>
              <w:bottom w:val="single" w:sz="8" w:color="55565A"/>
            </w:tcBorders>
          </w:tcPr>
          <w:p>
            <w:pPr>
              <w:jc w:val="right"/>
              <w:ind w:right="41"/>
              <w:spacing w:after="0"/>
              <w:rPr>
                <w:sz w:val="20"/>
                <w:szCs w:val="20"/>
                <w:color w:val="auto"/>
              </w:rPr>
            </w:pPr>
            <w:r>
              <w:rPr>
                <w:rFonts w:ascii="Arial" w:cs="Arial" w:eastAsia="Arial" w:hAnsi="Arial"/>
                <w:sz w:val="12"/>
                <w:szCs w:val="12"/>
                <w:color w:val="282A32"/>
              </w:rPr>
              <w:t>75</w:t>
            </w:r>
          </w:p>
        </w:tc>
        <w:tc>
          <w:tcPr>
            <w:tcW w:w="240" w:type="dxa"/>
            <w:vAlign w:val="bottom"/>
            <w:tcBorders>
              <w:bottom w:val="single" w:sz="8" w:color="55565A"/>
            </w:tcBorders>
          </w:tcPr>
          <w:p>
            <w:pPr>
              <w:spacing w:after="0"/>
              <w:rPr>
                <w:sz w:val="18"/>
                <w:szCs w:val="18"/>
                <w:color w:val="auto"/>
              </w:rPr>
            </w:pPr>
          </w:p>
        </w:tc>
        <w:tc>
          <w:tcPr>
            <w:tcW w:w="1960" w:type="dxa"/>
            <w:vAlign w:val="bottom"/>
            <w:tcBorders>
              <w:bottom w:val="single" w:sz="8" w:color="55565A"/>
            </w:tcBorders>
          </w:tcPr>
          <w:p>
            <w:pPr>
              <w:jc w:val="right"/>
              <w:ind w:right="879"/>
              <w:spacing w:after="0"/>
              <w:rPr>
                <w:sz w:val="20"/>
                <w:szCs w:val="20"/>
                <w:color w:val="auto"/>
              </w:rPr>
            </w:pPr>
            <w:r>
              <w:rPr>
                <w:rFonts w:ascii="Arial" w:cs="Arial" w:eastAsia="Arial" w:hAnsi="Arial"/>
                <w:sz w:val="12"/>
                <w:szCs w:val="12"/>
                <w:color w:val="282A32"/>
              </w:rPr>
              <w:t>384</w:t>
            </w:r>
          </w:p>
        </w:tc>
        <w:tc>
          <w:tcPr>
            <w:tcW w:w="1920" w:type="dxa"/>
            <w:vAlign w:val="bottom"/>
            <w:tcBorders>
              <w:bottom w:val="single" w:sz="8" w:color="55565A"/>
            </w:tcBorders>
          </w:tcPr>
          <w:p>
            <w:pPr>
              <w:jc w:val="right"/>
              <w:spacing w:after="0"/>
              <w:rPr>
                <w:sz w:val="20"/>
                <w:szCs w:val="20"/>
                <w:color w:val="auto"/>
              </w:rPr>
            </w:pPr>
            <w:r>
              <w:rPr>
                <w:rFonts w:ascii="Arial" w:cs="Arial" w:eastAsia="Arial" w:hAnsi="Arial"/>
                <w:sz w:val="12"/>
                <w:szCs w:val="12"/>
                <w:color w:val="282A32"/>
              </w:rPr>
              <w:t>74</w:t>
            </w:r>
          </w:p>
        </w:tc>
        <w:tc>
          <w:tcPr>
            <w:tcW w:w="100" w:type="dxa"/>
            <w:vAlign w:val="bottom"/>
            <w:tcBorders>
              <w:bottom w:val="single" w:sz="8" w:color="55565A"/>
            </w:tcBorders>
          </w:tcPr>
          <w:p>
            <w:pPr>
              <w:spacing w:after="0"/>
              <w:rPr>
                <w:sz w:val="18"/>
                <w:szCs w:val="18"/>
                <w:color w:val="auto"/>
              </w:rPr>
            </w:pPr>
          </w:p>
        </w:tc>
      </w:tr>
      <w:tr>
        <w:trPr>
          <w:trHeight w:val="197"/>
        </w:trPr>
        <w:tc>
          <w:tcPr>
            <w:tcW w:w="2760" w:type="dxa"/>
            <w:vAlign w:val="bottom"/>
            <w:tcBorders>
              <w:bottom w:val="single" w:sz="8" w:color="55565A"/>
            </w:tcBorders>
          </w:tcPr>
          <w:p>
            <w:pPr>
              <w:spacing w:after="0"/>
              <w:rPr>
                <w:sz w:val="17"/>
                <w:szCs w:val="17"/>
                <w:color w:val="auto"/>
              </w:rPr>
            </w:pPr>
          </w:p>
        </w:tc>
        <w:tc>
          <w:tcPr>
            <w:tcW w:w="1940" w:type="dxa"/>
            <w:vAlign w:val="bottom"/>
            <w:tcBorders>
              <w:bottom w:val="single" w:sz="8" w:color="55565A"/>
            </w:tcBorders>
          </w:tcPr>
          <w:p>
            <w:pPr>
              <w:jc w:val="right"/>
              <w:ind w:right="619"/>
              <w:spacing w:after="0"/>
              <w:rPr>
                <w:sz w:val="20"/>
                <w:szCs w:val="20"/>
                <w:color w:val="auto"/>
              </w:rPr>
            </w:pPr>
            <w:r>
              <w:rPr>
                <w:rFonts w:ascii="Arial" w:cs="Arial" w:eastAsia="Arial" w:hAnsi="Arial"/>
                <w:sz w:val="12"/>
                <w:szCs w:val="12"/>
                <w:color w:val="282A32"/>
              </w:rPr>
              <w:t>1,127</w:t>
            </w:r>
          </w:p>
        </w:tc>
        <w:tc>
          <w:tcPr>
            <w:tcW w:w="1340" w:type="dxa"/>
            <w:vAlign w:val="bottom"/>
            <w:tcBorders>
              <w:bottom w:val="single" w:sz="8" w:color="55565A"/>
            </w:tcBorders>
          </w:tcPr>
          <w:p>
            <w:pPr>
              <w:jc w:val="right"/>
              <w:ind w:right="21"/>
              <w:spacing w:after="0"/>
              <w:rPr>
                <w:sz w:val="20"/>
                <w:szCs w:val="20"/>
                <w:color w:val="auto"/>
              </w:rPr>
            </w:pPr>
            <w:r>
              <w:rPr>
                <w:rFonts w:ascii="Arial" w:cs="Arial" w:eastAsia="Arial" w:hAnsi="Arial"/>
                <w:sz w:val="12"/>
                <w:szCs w:val="12"/>
                <w:color w:val="282A32"/>
              </w:rPr>
              <w:t>4.9</w:t>
            </w:r>
          </w:p>
        </w:tc>
        <w:tc>
          <w:tcPr>
            <w:tcW w:w="1200" w:type="dxa"/>
            <w:vAlign w:val="bottom"/>
            <w:tcBorders>
              <w:bottom w:val="single" w:sz="8" w:color="55565A"/>
            </w:tcBorders>
          </w:tcPr>
          <w:p>
            <w:pPr>
              <w:jc w:val="right"/>
              <w:ind w:right="41"/>
              <w:spacing w:after="0"/>
              <w:rPr>
                <w:sz w:val="20"/>
                <w:szCs w:val="20"/>
                <w:color w:val="auto"/>
              </w:rPr>
            </w:pPr>
            <w:r>
              <w:rPr>
                <w:rFonts w:ascii="Arial" w:cs="Arial" w:eastAsia="Arial" w:hAnsi="Arial"/>
                <w:sz w:val="12"/>
                <w:szCs w:val="12"/>
                <w:color w:val="282A32"/>
              </w:rPr>
              <w:t>$66</w:t>
            </w:r>
          </w:p>
        </w:tc>
        <w:tc>
          <w:tcPr>
            <w:tcW w:w="240" w:type="dxa"/>
            <w:vAlign w:val="bottom"/>
            <w:tcBorders>
              <w:bottom w:val="single" w:sz="8" w:color="55565A"/>
            </w:tcBorders>
          </w:tcPr>
          <w:p>
            <w:pPr>
              <w:spacing w:after="0"/>
              <w:rPr>
                <w:sz w:val="17"/>
                <w:szCs w:val="17"/>
                <w:color w:val="auto"/>
              </w:rPr>
            </w:pPr>
          </w:p>
        </w:tc>
        <w:tc>
          <w:tcPr>
            <w:tcW w:w="1960" w:type="dxa"/>
            <w:vAlign w:val="bottom"/>
            <w:tcBorders>
              <w:bottom w:val="single" w:sz="8" w:color="55565A"/>
            </w:tcBorders>
          </w:tcPr>
          <w:p>
            <w:pPr>
              <w:jc w:val="right"/>
              <w:ind w:right="879"/>
              <w:spacing w:after="0"/>
              <w:rPr>
                <w:sz w:val="20"/>
                <w:szCs w:val="20"/>
                <w:color w:val="auto"/>
              </w:rPr>
            </w:pPr>
            <w:r>
              <w:rPr>
                <w:rFonts w:ascii="Arial" w:cs="Arial" w:eastAsia="Arial" w:hAnsi="Arial"/>
                <w:sz w:val="12"/>
                <w:szCs w:val="12"/>
                <w:color w:val="282A32"/>
              </w:rPr>
              <w:t>756</w:t>
            </w:r>
          </w:p>
        </w:tc>
        <w:tc>
          <w:tcPr>
            <w:tcW w:w="1920" w:type="dxa"/>
            <w:vAlign w:val="bottom"/>
            <w:tcBorders>
              <w:bottom w:val="single" w:sz="8" w:color="55565A"/>
            </w:tcBorders>
          </w:tcPr>
          <w:p>
            <w:pPr>
              <w:jc w:val="right"/>
              <w:spacing w:after="0"/>
              <w:rPr>
                <w:sz w:val="20"/>
                <w:szCs w:val="20"/>
                <w:color w:val="auto"/>
              </w:rPr>
            </w:pPr>
            <w:r>
              <w:rPr>
                <w:rFonts w:ascii="Arial" w:cs="Arial" w:eastAsia="Arial" w:hAnsi="Arial"/>
                <w:sz w:val="12"/>
                <w:szCs w:val="12"/>
                <w:color w:val="282A32"/>
              </w:rPr>
              <w:t>$62</w:t>
            </w:r>
          </w:p>
        </w:tc>
        <w:tc>
          <w:tcPr>
            <w:tcW w:w="100" w:type="dxa"/>
            <w:vAlign w:val="bottom"/>
            <w:tcBorders>
              <w:bottom w:val="single" w:sz="8" w:color="55565A"/>
            </w:tcBorders>
          </w:tcPr>
          <w:p>
            <w:pPr>
              <w:spacing w:after="0"/>
              <w:rPr>
                <w:sz w:val="17"/>
                <w:szCs w:val="17"/>
                <w:color w:val="auto"/>
              </w:rPr>
            </w:pPr>
          </w:p>
        </w:tc>
      </w:tr>
    </w:tbl>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have recognized expense of $3.0, $3.2 and $6.8 related to stock options for the years ended December 31, 2016, 2015 and 2014, respectively. The total fair value of options vested during the same periods was $2.5, $3.2 and $11.1, respectively. As of December 31, 2016, total unrecognized compensation cost was approximately $3.0, net of estimated forfeitures, which we expect to recognize over a weighted-average period of approximately 1.3 years.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282A32"/>
        </w:rPr>
        <w:t>We estimated the fair value of each stock option on the date of grant using the Black-Scholes option pricing model and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69215</wp:posOffset>
            </wp:positionV>
            <wp:extent cx="926465" cy="584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26465" cy="58483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Year Ended December 31</w:t>
            </w:r>
          </w:p>
        </w:tc>
        <w:tc>
          <w:tcPr>
            <w:tcW w:w="1600" w:type="dxa"/>
            <w:vAlign w:val="bottom"/>
            <w:tcBorders>
              <w:bottom w:val="single" w:sz="8" w:color="auto"/>
            </w:tcBorders>
            <w:shd w:val="clear" w:color="auto" w:fill="E1F4FD"/>
          </w:tcPr>
          <w:p>
            <w:pPr>
              <w:jc w:val="right"/>
              <w:ind w:right="79"/>
              <w:spacing w:after="0"/>
              <w:rPr>
                <w:sz w:val="20"/>
                <w:szCs w:val="20"/>
                <w:color w:val="auto"/>
              </w:rPr>
            </w:pPr>
            <w:r>
              <w:rPr>
                <w:rFonts w:ascii="Arial" w:cs="Arial" w:eastAsia="Arial" w:hAnsi="Arial"/>
                <w:sz w:val="11"/>
                <w:szCs w:val="11"/>
                <w:color w:val="4F8ABE"/>
              </w:rPr>
              <w:t>2016</w:t>
            </w:r>
          </w:p>
        </w:tc>
        <w:tc>
          <w:tcPr>
            <w:tcW w:w="218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color w:val="282A32"/>
              </w:rPr>
              <w:t>2015</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color w:val="282A32"/>
              </w:rPr>
              <w:t>2014</w:t>
            </w:r>
          </w:p>
        </w:tc>
      </w:tr>
      <w:tr>
        <w:trPr>
          <w:trHeight w:val="166"/>
        </w:trPr>
        <w:tc>
          <w:tcPr>
            <w:tcW w:w="6500" w:type="dxa"/>
            <w:vAlign w:val="bottom"/>
          </w:tcPr>
          <w:p>
            <w:pPr>
              <w:ind w:left="20"/>
              <w:spacing w:after="0"/>
              <w:rPr>
                <w:sz w:val="20"/>
                <w:szCs w:val="20"/>
                <w:color w:val="auto"/>
              </w:rPr>
            </w:pPr>
            <w:r>
              <w:rPr>
                <w:rFonts w:ascii="Arial" w:cs="Arial" w:eastAsia="Arial" w:hAnsi="Arial"/>
                <w:sz w:val="12"/>
                <w:szCs w:val="12"/>
                <w:color w:val="282A32"/>
              </w:rPr>
              <w:t>Average risk-free interest rate</w:t>
            </w:r>
          </w:p>
        </w:tc>
        <w:tc>
          <w:tcPr>
            <w:tcW w:w="1600" w:type="dxa"/>
            <w:vAlign w:val="bottom"/>
          </w:tcPr>
          <w:p>
            <w:pPr>
              <w:jc w:val="right"/>
              <w:spacing w:after="0"/>
              <w:rPr>
                <w:sz w:val="20"/>
                <w:szCs w:val="20"/>
                <w:color w:val="auto"/>
              </w:rPr>
            </w:pPr>
            <w:r>
              <w:rPr>
                <w:rFonts w:ascii="Arial" w:cs="Arial" w:eastAsia="Arial" w:hAnsi="Arial"/>
                <w:sz w:val="12"/>
                <w:szCs w:val="12"/>
                <w:color w:val="4F8ABE"/>
              </w:rPr>
              <w:t>1.4%</w:t>
            </w:r>
          </w:p>
        </w:tc>
        <w:tc>
          <w:tcPr>
            <w:tcW w:w="2180" w:type="dxa"/>
            <w:vAlign w:val="bottom"/>
          </w:tcPr>
          <w:p>
            <w:pPr>
              <w:jc w:val="right"/>
              <w:ind w:right="559"/>
              <w:spacing w:after="0"/>
              <w:rPr>
                <w:sz w:val="20"/>
                <w:szCs w:val="20"/>
                <w:color w:val="auto"/>
              </w:rPr>
            </w:pPr>
            <w:r>
              <w:rPr>
                <w:rFonts w:ascii="Arial" w:cs="Arial" w:eastAsia="Arial" w:hAnsi="Arial"/>
                <w:sz w:val="12"/>
                <w:szCs w:val="12"/>
                <w:color w:val="282A32"/>
              </w:rPr>
              <w:t>1.6%</w:t>
            </w:r>
          </w:p>
        </w:tc>
        <w:tc>
          <w:tcPr>
            <w:tcW w:w="1000" w:type="dxa"/>
            <w:vAlign w:val="bottom"/>
          </w:tcPr>
          <w:p>
            <w:pPr>
              <w:jc w:val="right"/>
              <w:spacing w:after="0"/>
              <w:rPr>
                <w:sz w:val="20"/>
                <w:szCs w:val="20"/>
                <w:color w:val="auto"/>
              </w:rPr>
            </w:pPr>
            <w:r>
              <w:rPr>
                <w:rFonts w:ascii="Arial" w:cs="Arial" w:eastAsia="Arial" w:hAnsi="Arial"/>
                <w:sz w:val="12"/>
                <w:szCs w:val="12"/>
                <w:color w:val="282A32"/>
              </w:rPr>
              <w:t>1.8%</w:t>
            </w:r>
          </w:p>
        </w:tc>
      </w:tr>
      <w:tr>
        <w:trPr>
          <w:trHeight w:val="186"/>
        </w:trPr>
        <w:tc>
          <w:tcPr>
            <w:tcW w:w="6500" w:type="dxa"/>
            <w:vAlign w:val="bottom"/>
          </w:tcPr>
          <w:p>
            <w:pPr>
              <w:ind w:left="20"/>
              <w:spacing w:after="0"/>
              <w:rPr>
                <w:sz w:val="20"/>
                <w:szCs w:val="20"/>
                <w:color w:val="auto"/>
              </w:rPr>
            </w:pPr>
            <w:r>
              <w:rPr>
                <w:rFonts w:ascii="Arial" w:cs="Arial" w:eastAsia="Arial" w:hAnsi="Arial"/>
                <w:sz w:val="12"/>
                <w:szCs w:val="12"/>
                <w:color w:val="282A32"/>
              </w:rPr>
              <w:t>Expected dividend yield</w:t>
            </w:r>
          </w:p>
        </w:tc>
        <w:tc>
          <w:tcPr>
            <w:tcW w:w="1600" w:type="dxa"/>
            <w:vAlign w:val="bottom"/>
          </w:tcPr>
          <w:p>
            <w:pPr>
              <w:jc w:val="right"/>
              <w:spacing w:after="0"/>
              <w:rPr>
                <w:sz w:val="20"/>
                <w:szCs w:val="20"/>
                <w:color w:val="auto"/>
              </w:rPr>
            </w:pPr>
            <w:r>
              <w:rPr>
                <w:rFonts w:ascii="Arial" w:cs="Arial" w:eastAsia="Arial" w:hAnsi="Arial"/>
                <w:sz w:val="12"/>
                <w:szCs w:val="12"/>
                <w:color w:val="4F8ABE"/>
              </w:rPr>
              <w:t>2.1%</w:t>
            </w:r>
          </w:p>
        </w:tc>
        <w:tc>
          <w:tcPr>
            <w:tcW w:w="2180" w:type="dxa"/>
            <w:vAlign w:val="bottom"/>
          </w:tcPr>
          <w:p>
            <w:pPr>
              <w:jc w:val="right"/>
              <w:ind w:right="559"/>
              <w:spacing w:after="0"/>
              <w:rPr>
                <w:sz w:val="20"/>
                <w:szCs w:val="20"/>
                <w:color w:val="auto"/>
              </w:rPr>
            </w:pPr>
            <w:r>
              <w:rPr>
                <w:rFonts w:ascii="Arial" w:cs="Arial" w:eastAsia="Arial" w:hAnsi="Arial"/>
                <w:sz w:val="12"/>
                <w:szCs w:val="12"/>
                <w:color w:val="282A32"/>
              </w:rPr>
              <w:t>1.5%</w:t>
            </w:r>
          </w:p>
        </w:tc>
        <w:tc>
          <w:tcPr>
            <w:tcW w:w="1000" w:type="dxa"/>
            <w:vAlign w:val="bottom"/>
          </w:tcPr>
          <w:p>
            <w:pPr>
              <w:jc w:val="right"/>
              <w:spacing w:after="0"/>
              <w:rPr>
                <w:sz w:val="20"/>
                <w:szCs w:val="20"/>
                <w:color w:val="auto"/>
              </w:rPr>
            </w:pPr>
            <w:r>
              <w:rPr>
                <w:rFonts w:ascii="Arial" w:cs="Arial" w:eastAsia="Arial" w:hAnsi="Arial"/>
                <w:sz w:val="12"/>
                <w:szCs w:val="12"/>
                <w:color w:val="282A32"/>
              </w:rPr>
              <w:t>1.2%</w:t>
            </w:r>
          </w:p>
        </w:tc>
      </w:tr>
      <w:tr>
        <w:trPr>
          <w:trHeight w:val="186"/>
        </w:trPr>
        <w:tc>
          <w:tcPr>
            <w:tcW w:w="6500" w:type="dxa"/>
            <w:vAlign w:val="bottom"/>
          </w:tcPr>
          <w:p>
            <w:pPr>
              <w:ind w:left="20"/>
              <w:spacing w:after="0"/>
              <w:rPr>
                <w:sz w:val="20"/>
                <w:szCs w:val="20"/>
                <w:color w:val="auto"/>
              </w:rPr>
            </w:pPr>
            <w:r>
              <w:rPr>
                <w:rFonts w:ascii="Arial" w:cs="Arial" w:eastAsia="Arial" w:hAnsi="Arial"/>
                <w:sz w:val="12"/>
                <w:szCs w:val="12"/>
                <w:color w:val="282A32"/>
              </w:rPr>
              <w:t>Expected volatility</w:t>
            </w:r>
          </w:p>
        </w:tc>
        <w:tc>
          <w:tcPr>
            <w:tcW w:w="1600" w:type="dxa"/>
            <w:vAlign w:val="bottom"/>
          </w:tcPr>
          <w:p>
            <w:pPr>
              <w:jc w:val="right"/>
              <w:spacing w:after="0"/>
              <w:rPr>
                <w:sz w:val="20"/>
                <w:szCs w:val="20"/>
                <w:color w:val="auto"/>
              </w:rPr>
            </w:pPr>
            <w:r>
              <w:rPr>
                <w:rFonts w:ascii="Arial" w:cs="Arial" w:eastAsia="Arial" w:hAnsi="Arial"/>
                <w:sz w:val="12"/>
                <w:szCs w:val="12"/>
                <w:color w:val="4F8ABE"/>
              </w:rPr>
              <w:t>33.0%</w:t>
            </w:r>
          </w:p>
        </w:tc>
        <w:tc>
          <w:tcPr>
            <w:tcW w:w="2180" w:type="dxa"/>
            <w:vAlign w:val="bottom"/>
          </w:tcPr>
          <w:p>
            <w:pPr>
              <w:jc w:val="right"/>
              <w:ind w:right="559"/>
              <w:spacing w:after="0"/>
              <w:rPr>
                <w:sz w:val="20"/>
                <w:szCs w:val="20"/>
                <w:color w:val="auto"/>
              </w:rPr>
            </w:pPr>
            <w:r>
              <w:rPr>
                <w:rFonts w:ascii="Arial" w:cs="Arial" w:eastAsia="Arial" w:hAnsi="Arial"/>
                <w:sz w:val="12"/>
                <w:szCs w:val="12"/>
                <w:color w:val="282A32"/>
              </w:rPr>
              <w:t>32.0%</w:t>
            </w:r>
          </w:p>
        </w:tc>
        <w:tc>
          <w:tcPr>
            <w:tcW w:w="1000" w:type="dxa"/>
            <w:vAlign w:val="bottom"/>
          </w:tcPr>
          <w:p>
            <w:pPr>
              <w:jc w:val="right"/>
              <w:spacing w:after="0"/>
              <w:rPr>
                <w:sz w:val="20"/>
                <w:szCs w:val="20"/>
                <w:color w:val="auto"/>
              </w:rPr>
            </w:pPr>
            <w:r>
              <w:rPr>
                <w:rFonts w:ascii="Arial" w:cs="Arial" w:eastAsia="Arial" w:hAnsi="Arial"/>
                <w:sz w:val="12"/>
                <w:szCs w:val="12"/>
                <w:color w:val="282A32"/>
              </w:rPr>
              <w:t>37.0%</w:t>
            </w:r>
          </w:p>
        </w:tc>
      </w:tr>
      <w:tr>
        <w:trPr>
          <w:trHeight w:val="194"/>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Expected term (years)</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4F8ABE"/>
              </w:rPr>
              <w:t>6.0</w:t>
            </w:r>
          </w:p>
        </w:tc>
        <w:tc>
          <w:tcPr>
            <w:tcW w:w="218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282A32"/>
              </w:rPr>
              <w:t>6.0</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282A32"/>
              </w:rPr>
              <w:t>5.9</w:t>
            </w:r>
          </w:p>
        </w:tc>
      </w:tr>
      <w:tr>
        <w:trPr>
          <w:trHeight w:val="91"/>
        </w:trPr>
        <w:tc>
          <w:tcPr>
            <w:tcW w:w="6500" w:type="dxa"/>
            <w:vAlign w:val="bottom"/>
          </w:tcPr>
          <w:p>
            <w:pPr>
              <w:spacing w:after="0"/>
              <w:rPr>
                <w:sz w:val="7"/>
                <w:szCs w:val="7"/>
                <w:color w:val="auto"/>
              </w:rPr>
            </w:pPr>
          </w:p>
        </w:tc>
        <w:tc>
          <w:tcPr>
            <w:tcW w:w="1600" w:type="dxa"/>
            <w:vAlign w:val="bottom"/>
            <w:shd w:val="clear" w:color="auto" w:fill="2989B9"/>
          </w:tcPr>
          <w:p>
            <w:pPr>
              <w:spacing w:after="0"/>
              <w:rPr>
                <w:sz w:val="7"/>
                <w:szCs w:val="7"/>
                <w:color w:val="auto"/>
              </w:rPr>
            </w:pPr>
          </w:p>
        </w:tc>
        <w:tc>
          <w:tcPr>
            <w:tcW w:w="218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-544830</wp:posOffset>
            </wp:positionV>
            <wp:extent cx="85090" cy="479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090" cy="479425"/>
                    </a:xfrm>
                    <a:prstGeom prst="rect">
                      <a:avLst/>
                    </a:prstGeom>
                    <a:noFill/>
                  </pic:spPr>
                </pic:pic>
              </a:graphicData>
            </a:graphic>
          </wp:anchor>
        </w:drawing>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The average risk-free interest rate is based on the five-year United States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$19.68, $21.66 and $25.64 in 2016, 2015 and 2014,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2989B9"/>
        </w:rPr>
        <w:t>Deferred Stock</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As of December 31, 2016, 2015 and 2014, there were 39,805, 36,091 and 33,985, respectively, shares of deferred stock awarded under this arrangement, all of which are vested.</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2011 Plan. As of December 31, 2016, 2015 and 2014, there were 8,388, 7,920 and 5,199, respectively, shares of deferred stock and 9,966, 13,860 and 10,248, respectively, shares of restricted stock granted under this arrangement, all of which are vested, except for 1,752 shares of restricted stock granted in 2015 that were cancelled. We recognized expense of $1.1, $0.8 and $0.7 related to deferred stock in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61</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86" w:name="page87"/>
    <w:bookmarkEnd w:id="86"/>
    <w:p>
      <w:pPr>
        <w:spacing w:after="0"/>
        <w:rPr>
          <w:sz w:val="20"/>
          <w:szCs w:val="20"/>
          <w:color w:val="auto"/>
        </w:rPr>
      </w:pPr>
      <w:r>
        <w:rPr>
          <w:rFonts w:ascii="Arial" w:cs="Arial" w:eastAsia="Arial" w:hAnsi="Arial"/>
          <w:sz w:val="12"/>
          <w:szCs w:val="12"/>
          <w:color w:val="2989B9"/>
        </w:rPr>
        <w:t>Restricted Stock</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We grant restricted stock and restricted stock unit awards to certain employees and to non-employee directors who may elect to receive restricted stock rather than deferred stock as described above.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82A32"/>
        </w:rPr>
        <w:t>Restrictions lapse over periods ranging up to six years, and in some cases upon retirement. We value restricted stock awards at the closing market value of our common stock on the date of grant.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A summary of restricted stock activity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40" w:type="dxa"/>
            <w:vAlign w:val="bottom"/>
          </w:tcPr>
          <w:p>
            <w:pPr>
              <w:jc w:val="right"/>
              <w:ind w:right="241"/>
              <w:spacing w:after="0"/>
              <w:rPr>
                <w:sz w:val="20"/>
                <w:szCs w:val="20"/>
                <w:color w:val="auto"/>
              </w:rPr>
            </w:pPr>
            <w:r>
              <w:rPr>
                <w:rFonts w:ascii="Arial" w:cs="Arial" w:eastAsia="Arial" w:hAnsi="Arial"/>
                <w:sz w:val="11"/>
                <w:szCs w:val="11"/>
                <w:color w:val="282A32"/>
              </w:rPr>
              <w:t>Wtd. Avg.</w:t>
            </w:r>
          </w:p>
        </w:tc>
        <w:tc>
          <w:tcPr>
            <w:tcW w:w="1080" w:type="dxa"/>
            <w:vAlign w:val="bottom"/>
          </w:tcPr>
          <w:p>
            <w:pPr>
              <w:spacing w:after="0"/>
              <w:rPr>
                <w:sz w:val="10"/>
                <w:szCs w:val="10"/>
                <w:color w:val="auto"/>
              </w:rPr>
            </w:pPr>
          </w:p>
        </w:tc>
      </w:tr>
      <w:tr>
        <w:trPr>
          <w:trHeight w:val="124"/>
        </w:trPr>
        <w:tc>
          <w:tcPr>
            <w:tcW w:w="41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40" w:type="dxa"/>
            <w:vAlign w:val="bottom"/>
          </w:tcPr>
          <w:p>
            <w:pPr>
              <w:jc w:val="right"/>
              <w:ind w:right="241"/>
              <w:spacing w:after="0" w:line="124" w:lineRule="exact"/>
              <w:rPr>
                <w:sz w:val="20"/>
                <w:szCs w:val="20"/>
                <w:color w:val="auto"/>
              </w:rPr>
            </w:pPr>
            <w:r>
              <w:rPr>
                <w:rFonts w:ascii="Arial" w:cs="Arial" w:eastAsia="Arial" w:hAnsi="Arial"/>
                <w:sz w:val="11"/>
                <w:szCs w:val="11"/>
                <w:color w:val="282A32"/>
              </w:rPr>
              <w:t>Remaining</w:t>
            </w:r>
          </w:p>
        </w:tc>
        <w:tc>
          <w:tcPr>
            <w:tcW w:w="1080" w:type="dxa"/>
            <w:vAlign w:val="bottom"/>
          </w:tcPr>
          <w:p>
            <w:pPr>
              <w:jc w:val="right"/>
              <w:ind w:right="43"/>
              <w:spacing w:after="0" w:line="124" w:lineRule="exact"/>
              <w:rPr>
                <w:sz w:val="20"/>
                <w:szCs w:val="20"/>
                <w:color w:val="auto"/>
              </w:rPr>
            </w:pPr>
            <w:r>
              <w:rPr>
                <w:rFonts w:ascii="Arial" w:cs="Arial" w:eastAsia="Arial" w:hAnsi="Arial"/>
                <w:sz w:val="11"/>
                <w:szCs w:val="11"/>
                <w:color w:val="282A32"/>
              </w:rPr>
              <w:t>Aggregate</w:t>
            </w:r>
          </w:p>
        </w:tc>
      </w:tr>
      <w:tr>
        <w:trPr>
          <w:trHeight w:val="124"/>
        </w:trPr>
        <w:tc>
          <w:tcPr>
            <w:tcW w:w="41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80" w:type="dxa"/>
            <w:vAlign w:val="bottom"/>
          </w:tcPr>
          <w:p>
            <w:pPr>
              <w:jc w:val="right"/>
              <w:ind w:right="359"/>
              <w:spacing w:after="0" w:line="124" w:lineRule="exact"/>
              <w:rPr>
                <w:sz w:val="20"/>
                <w:szCs w:val="20"/>
                <w:color w:val="auto"/>
              </w:rPr>
            </w:pPr>
            <w:r>
              <w:rPr>
                <w:rFonts w:ascii="Arial" w:cs="Arial" w:eastAsia="Arial" w:hAnsi="Arial"/>
                <w:sz w:val="11"/>
                <w:szCs w:val="11"/>
                <w:color w:val="282A32"/>
              </w:rPr>
              <w:t>Wtd. Avg.</w:t>
            </w:r>
          </w:p>
        </w:tc>
        <w:tc>
          <w:tcPr>
            <w:tcW w:w="1340" w:type="dxa"/>
            <w:vAlign w:val="bottom"/>
          </w:tcPr>
          <w:p>
            <w:pPr>
              <w:jc w:val="right"/>
              <w:ind w:right="241"/>
              <w:spacing w:after="0" w:line="124" w:lineRule="exact"/>
              <w:rPr>
                <w:sz w:val="20"/>
                <w:szCs w:val="20"/>
                <w:color w:val="auto"/>
              </w:rPr>
            </w:pPr>
            <w:r>
              <w:rPr>
                <w:rFonts w:ascii="Arial" w:cs="Arial" w:eastAsia="Arial" w:hAnsi="Arial"/>
                <w:sz w:val="11"/>
                <w:szCs w:val="11"/>
                <w:color w:val="282A32"/>
              </w:rPr>
              <w:t>Contractual</w:t>
            </w:r>
          </w:p>
        </w:tc>
        <w:tc>
          <w:tcPr>
            <w:tcW w:w="1080" w:type="dxa"/>
            <w:vAlign w:val="bottom"/>
          </w:tcPr>
          <w:p>
            <w:pPr>
              <w:jc w:val="right"/>
              <w:ind w:right="43"/>
              <w:spacing w:after="0" w:line="124" w:lineRule="exact"/>
              <w:rPr>
                <w:sz w:val="20"/>
                <w:szCs w:val="20"/>
                <w:color w:val="auto"/>
              </w:rPr>
            </w:pPr>
            <w:r>
              <w:rPr>
                <w:rFonts w:ascii="Arial" w:cs="Arial" w:eastAsia="Arial" w:hAnsi="Arial"/>
                <w:sz w:val="11"/>
                <w:szCs w:val="11"/>
                <w:color w:val="282A32"/>
              </w:rPr>
              <w:t>Intrinsic Value</w:t>
            </w:r>
          </w:p>
        </w:tc>
      </w:tr>
      <w:tr>
        <w:trPr>
          <w:trHeight w:val="136"/>
        </w:trPr>
        <w:tc>
          <w:tcPr>
            <w:tcW w:w="416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color w:val="282A32"/>
              </w:rPr>
              <w:t>Shares (000)</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color w:val="282A32"/>
              </w:rPr>
              <w:t>Price Per Share</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color w:val="282A32"/>
              </w:rPr>
              <w:t>Term (years)</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282A32"/>
              </w:rPr>
              <w:t>(in millions)</w:t>
            </w:r>
          </w:p>
        </w:tc>
      </w:tr>
      <w:tr>
        <w:trPr>
          <w:trHeight w:val="186"/>
        </w:trPr>
        <w:tc>
          <w:tcPr>
            <w:tcW w:w="4160" w:type="dxa"/>
            <w:vAlign w:val="bottom"/>
          </w:tcPr>
          <w:p>
            <w:pPr>
              <w:ind w:left="20"/>
              <w:spacing w:after="0"/>
              <w:rPr>
                <w:sz w:val="20"/>
                <w:szCs w:val="20"/>
                <w:color w:val="auto"/>
              </w:rPr>
            </w:pPr>
            <w:r>
              <w:rPr>
                <w:rFonts w:ascii="Arial" w:cs="Arial" w:eastAsia="Arial" w:hAnsi="Arial"/>
                <w:sz w:val="12"/>
                <w:szCs w:val="12"/>
                <w:color w:val="282A32"/>
              </w:rPr>
              <w:t>Unvested, January 1, 2014</w:t>
            </w:r>
          </w:p>
        </w:tc>
        <w:tc>
          <w:tcPr>
            <w:tcW w:w="3400" w:type="dxa"/>
            <w:vAlign w:val="bottom"/>
          </w:tcPr>
          <w:p>
            <w:pPr>
              <w:jc w:val="right"/>
              <w:ind w:right="258"/>
              <w:spacing w:after="0"/>
              <w:rPr>
                <w:sz w:val="20"/>
                <w:szCs w:val="20"/>
                <w:color w:val="auto"/>
              </w:rPr>
            </w:pPr>
            <w:r>
              <w:rPr>
                <w:rFonts w:ascii="Arial" w:cs="Arial" w:eastAsia="Arial" w:hAnsi="Arial"/>
                <w:sz w:val="12"/>
                <w:szCs w:val="12"/>
                <w:color w:val="282A32"/>
              </w:rPr>
              <w:t>627</w:t>
            </w:r>
          </w:p>
        </w:tc>
        <w:tc>
          <w:tcPr>
            <w:tcW w:w="1480" w:type="dxa"/>
            <w:vAlign w:val="bottom"/>
          </w:tcPr>
          <w:p>
            <w:pPr>
              <w:jc w:val="right"/>
              <w:ind w:right="359"/>
              <w:spacing w:after="0"/>
              <w:rPr>
                <w:sz w:val="20"/>
                <w:szCs w:val="20"/>
                <w:color w:val="auto"/>
              </w:rPr>
            </w:pPr>
            <w:r>
              <w:rPr>
                <w:rFonts w:ascii="Arial" w:cs="Arial" w:eastAsia="Arial" w:hAnsi="Arial"/>
                <w:sz w:val="12"/>
                <w:szCs w:val="12"/>
                <w:color w:val="282A32"/>
              </w:rPr>
              <w:t>$54</w:t>
            </w:r>
          </w:p>
        </w:tc>
        <w:tc>
          <w:tcPr>
            <w:tcW w:w="1340" w:type="dxa"/>
            <w:vAlign w:val="bottom"/>
          </w:tcPr>
          <w:p>
            <w:pPr>
              <w:jc w:val="right"/>
              <w:ind w:right="241"/>
              <w:spacing w:after="0"/>
              <w:rPr>
                <w:sz w:val="20"/>
                <w:szCs w:val="20"/>
                <w:color w:val="auto"/>
              </w:rPr>
            </w:pPr>
            <w:r>
              <w:rPr>
                <w:rFonts w:ascii="Arial" w:cs="Arial" w:eastAsia="Arial" w:hAnsi="Arial"/>
                <w:sz w:val="12"/>
                <w:szCs w:val="12"/>
                <w:color w:val="282A32"/>
              </w:rPr>
              <w:t>1.3</w:t>
            </w:r>
          </w:p>
        </w:tc>
        <w:tc>
          <w:tcPr>
            <w:tcW w:w="1080" w:type="dxa"/>
            <w:vAlign w:val="bottom"/>
          </w:tcPr>
          <w:p>
            <w:pPr>
              <w:spacing w:after="0"/>
              <w:rPr>
                <w:sz w:val="16"/>
                <w:szCs w:val="16"/>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2"/>
                <w:szCs w:val="12"/>
                <w:color w:val="282A32"/>
              </w:rPr>
              <w:t>Granted</w:t>
            </w:r>
          </w:p>
        </w:tc>
        <w:tc>
          <w:tcPr>
            <w:tcW w:w="3400" w:type="dxa"/>
            <w:vAlign w:val="bottom"/>
          </w:tcPr>
          <w:p>
            <w:pPr>
              <w:jc w:val="right"/>
              <w:ind w:right="258"/>
              <w:spacing w:after="0"/>
              <w:rPr>
                <w:sz w:val="20"/>
                <w:szCs w:val="20"/>
                <w:color w:val="auto"/>
              </w:rPr>
            </w:pPr>
            <w:r>
              <w:rPr>
                <w:rFonts w:ascii="Arial" w:cs="Arial" w:eastAsia="Arial" w:hAnsi="Arial"/>
                <w:sz w:val="12"/>
                <w:szCs w:val="12"/>
                <w:color w:val="282A32"/>
              </w:rPr>
              <w:t>169</w:t>
            </w:r>
          </w:p>
        </w:tc>
        <w:tc>
          <w:tcPr>
            <w:tcW w:w="1480" w:type="dxa"/>
            <w:vAlign w:val="bottom"/>
          </w:tcPr>
          <w:p>
            <w:pPr>
              <w:jc w:val="right"/>
              <w:ind w:right="359"/>
              <w:spacing w:after="0"/>
              <w:rPr>
                <w:sz w:val="20"/>
                <w:szCs w:val="20"/>
                <w:color w:val="auto"/>
              </w:rPr>
            </w:pPr>
            <w:r>
              <w:rPr>
                <w:rFonts w:ascii="Arial" w:cs="Arial" w:eastAsia="Arial" w:hAnsi="Arial"/>
                <w:sz w:val="12"/>
                <w:szCs w:val="12"/>
                <w:color w:val="282A32"/>
              </w:rPr>
              <w:t>77</w:t>
            </w: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2"/>
                <w:szCs w:val="12"/>
                <w:color w:val="282A32"/>
              </w:rPr>
              <w:t>Vested</w:t>
            </w:r>
          </w:p>
        </w:tc>
        <w:tc>
          <w:tcPr>
            <w:tcW w:w="3400" w:type="dxa"/>
            <w:vAlign w:val="bottom"/>
          </w:tcPr>
          <w:p>
            <w:pPr>
              <w:jc w:val="right"/>
              <w:ind w:right="218"/>
              <w:spacing w:after="0"/>
              <w:rPr>
                <w:sz w:val="20"/>
                <w:szCs w:val="20"/>
                <w:color w:val="auto"/>
              </w:rPr>
            </w:pPr>
            <w:r>
              <w:rPr>
                <w:rFonts w:ascii="Arial" w:cs="Arial" w:eastAsia="Arial" w:hAnsi="Arial"/>
                <w:sz w:val="12"/>
                <w:szCs w:val="12"/>
                <w:color w:val="282A32"/>
              </w:rPr>
              <w:t>(283)</w:t>
            </w:r>
          </w:p>
        </w:tc>
        <w:tc>
          <w:tcPr>
            <w:tcW w:w="1480" w:type="dxa"/>
            <w:vAlign w:val="bottom"/>
          </w:tcPr>
          <w:p>
            <w:pPr>
              <w:jc w:val="right"/>
              <w:ind w:right="359"/>
              <w:spacing w:after="0"/>
              <w:rPr>
                <w:sz w:val="20"/>
                <w:szCs w:val="20"/>
                <w:color w:val="auto"/>
              </w:rPr>
            </w:pPr>
            <w:r>
              <w:rPr>
                <w:rFonts w:ascii="Arial" w:cs="Arial" w:eastAsia="Arial" w:hAnsi="Arial"/>
                <w:sz w:val="12"/>
                <w:szCs w:val="12"/>
                <w:color w:val="282A32"/>
              </w:rPr>
              <w:t>63</w:t>
            </w: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Forfeited</w:t>
            </w:r>
          </w:p>
        </w:tc>
        <w:tc>
          <w:tcPr>
            <w:tcW w:w="34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282A32"/>
              </w:rPr>
              <w:t>(50)</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53</w:t>
            </w: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Unvested, December 31, 2014</w:t>
            </w:r>
          </w:p>
        </w:tc>
        <w:tc>
          <w:tcPr>
            <w:tcW w:w="34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282A32"/>
              </w:rPr>
              <w:t>463</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$57</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color w:val="282A32"/>
              </w:rPr>
              <w:t>1.2</w:t>
            </w:r>
          </w:p>
        </w:tc>
        <w:tc>
          <w:tcPr>
            <w:tcW w:w="1080" w:type="dxa"/>
            <w:vAlign w:val="bottom"/>
            <w:tcBorders>
              <w:bottom w:val="single" w:sz="8" w:color="auto"/>
            </w:tcBorders>
          </w:tcPr>
          <w:p>
            <w:pPr>
              <w:spacing w:after="0"/>
              <w:rPr>
                <w:sz w:val="17"/>
                <w:szCs w:val="17"/>
                <w:color w:val="auto"/>
              </w:rPr>
            </w:pPr>
          </w:p>
        </w:tc>
      </w:tr>
      <w:tr>
        <w:trPr>
          <w:trHeight w:val="189"/>
        </w:trPr>
        <w:tc>
          <w:tcPr>
            <w:tcW w:w="4160" w:type="dxa"/>
            <w:vAlign w:val="bottom"/>
          </w:tcPr>
          <w:p>
            <w:pPr>
              <w:ind w:left="20"/>
              <w:spacing w:after="0"/>
              <w:rPr>
                <w:sz w:val="20"/>
                <w:szCs w:val="20"/>
                <w:color w:val="auto"/>
              </w:rPr>
            </w:pPr>
            <w:r>
              <w:rPr>
                <w:rFonts w:ascii="Arial" w:cs="Arial" w:eastAsia="Arial" w:hAnsi="Arial"/>
                <w:sz w:val="12"/>
                <w:szCs w:val="12"/>
                <w:color w:val="282A32"/>
              </w:rPr>
              <w:t>Granted</w:t>
            </w:r>
          </w:p>
        </w:tc>
        <w:tc>
          <w:tcPr>
            <w:tcW w:w="3400" w:type="dxa"/>
            <w:vAlign w:val="bottom"/>
          </w:tcPr>
          <w:p>
            <w:pPr>
              <w:jc w:val="right"/>
              <w:ind w:right="258"/>
              <w:spacing w:after="0"/>
              <w:rPr>
                <w:sz w:val="20"/>
                <w:szCs w:val="20"/>
                <w:color w:val="auto"/>
              </w:rPr>
            </w:pPr>
            <w:r>
              <w:rPr>
                <w:rFonts w:ascii="Arial" w:cs="Arial" w:eastAsia="Arial" w:hAnsi="Arial"/>
                <w:sz w:val="12"/>
                <w:szCs w:val="12"/>
                <w:color w:val="282A32"/>
              </w:rPr>
              <w:t>179</w:t>
            </w:r>
          </w:p>
        </w:tc>
        <w:tc>
          <w:tcPr>
            <w:tcW w:w="1480" w:type="dxa"/>
            <w:vAlign w:val="bottom"/>
          </w:tcPr>
          <w:p>
            <w:pPr>
              <w:jc w:val="right"/>
              <w:ind w:right="359"/>
              <w:spacing w:after="0"/>
              <w:rPr>
                <w:sz w:val="20"/>
                <w:szCs w:val="20"/>
                <w:color w:val="auto"/>
              </w:rPr>
            </w:pPr>
            <w:r>
              <w:rPr>
                <w:rFonts w:ascii="Arial" w:cs="Arial" w:eastAsia="Arial" w:hAnsi="Arial"/>
                <w:sz w:val="12"/>
                <w:szCs w:val="12"/>
                <w:color w:val="282A32"/>
              </w:rPr>
              <w:t>$76</w:t>
            </w: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2"/>
                <w:szCs w:val="12"/>
                <w:color w:val="282A32"/>
              </w:rPr>
              <w:t>Vested</w:t>
            </w:r>
          </w:p>
        </w:tc>
        <w:tc>
          <w:tcPr>
            <w:tcW w:w="3400" w:type="dxa"/>
            <w:vAlign w:val="bottom"/>
          </w:tcPr>
          <w:p>
            <w:pPr>
              <w:jc w:val="right"/>
              <w:ind w:right="218"/>
              <w:spacing w:after="0"/>
              <w:rPr>
                <w:sz w:val="20"/>
                <w:szCs w:val="20"/>
                <w:color w:val="auto"/>
              </w:rPr>
            </w:pPr>
            <w:r>
              <w:rPr>
                <w:rFonts w:ascii="Arial" w:cs="Arial" w:eastAsia="Arial" w:hAnsi="Arial"/>
                <w:sz w:val="12"/>
                <w:szCs w:val="12"/>
                <w:color w:val="282A32"/>
              </w:rPr>
              <w:t>(217)</w:t>
            </w:r>
          </w:p>
        </w:tc>
        <w:tc>
          <w:tcPr>
            <w:tcW w:w="1480" w:type="dxa"/>
            <w:vAlign w:val="bottom"/>
          </w:tcPr>
          <w:p>
            <w:pPr>
              <w:jc w:val="right"/>
              <w:ind w:right="359"/>
              <w:spacing w:after="0"/>
              <w:rPr>
                <w:sz w:val="20"/>
                <w:szCs w:val="20"/>
                <w:color w:val="auto"/>
              </w:rPr>
            </w:pPr>
            <w:r>
              <w:rPr>
                <w:rFonts w:ascii="Arial" w:cs="Arial" w:eastAsia="Arial" w:hAnsi="Arial"/>
                <w:sz w:val="12"/>
                <w:szCs w:val="12"/>
                <w:color w:val="282A32"/>
              </w:rPr>
              <w:t>59</w:t>
            </w: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Forfeited</w:t>
            </w:r>
          </w:p>
        </w:tc>
        <w:tc>
          <w:tcPr>
            <w:tcW w:w="34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282A32"/>
              </w:rPr>
              <w:t>(20)</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60</w:t>
            </w: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Unvested, December 31, 2015</w:t>
            </w:r>
          </w:p>
        </w:tc>
        <w:tc>
          <w:tcPr>
            <w:tcW w:w="34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282A32"/>
              </w:rPr>
              <w:t>405</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$64</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color w:val="282A32"/>
              </w:rPr>
              <w:t>1.3</w:t>
            </w:r>
          </w:p>
        </w:tc>
        <w:tc>
          <w:tcPr>
            <w:tcW w:w="1080" w:type="dxa"/>
            <w:vAlign w:val="bottom"/>
            <w:tcBorders>
              <w:bottom w:val="single" w:sz="8" w:color="auto"/>
            </w:tcBorders>
          </w:tcPr>
          <w:p>
            <w:pPr>
              <w:spacing w:after="0"/>
              <w:rPr>
                <w:sz w:val="17"/>
                <w:szCs w:val="17"/>
                <w:color w:val="auto"/>
              </w:rPr>
            </w:pPr>
          </w:p>
        </w:tc>
      </w:tr>
      <w:tr>
        <w:trPr>
          <w:trHeight w:val="189"/>
        </w:trPr>
        <w:tc>
          <w:tcPr>
            <w:tcW w:w="4160" w:type="dxa"/>
            <w:vAlign w:val="bottom"/>
          </w:tcPr>
          <w:p>
            <w:pPr>
              <w:ind w:left="20"/>
              <w:spacing w:after="0"/>
              <w:rPr>
                <w:sz w:val="20"/>
                <w:szCs w:val="20"/>
                <w:color w:val="auto"/>
              </w:rPr>
            </w:pPr>
            <w:r>
              <w:rPr>
                <w:rFonts w:ascii="Arial" w:cs="Arial" w:eastAsia="Arial" w:hAnsi="Arial"/>
                <w:sz w:val="12"/>
                <w:szCs w:val="12"/>
                <w:color w:val="282A32"/>
              </w:rPr>
              <w:t>Granted</w:t>
            </w:r>
          </w:p>
        </w:tc>
        <w:tc>
          <w:tcPr>
            <w:tcW w:w="3400" w:type="dxa"/>
            <w:vAlign w:val="bottom"/>
          </w:tcPr>
          <w:p>
            <w:pPr>
              <w:jc w:val="right"/>
              <w:ind w:right="258"/>
              <w:spacing w:after="0"/>
              <w:rPr>
                <w:sz w:val="20"/>
                <w:szCs w:val="20"/>
                <w:color w:val="auto"/>
              </w:rPr>
            </w:pPr>
            <w:r>
              <w:rPr>
                <w:rFonts w:ascii="Arial" w:cs="Arial" w:eastAsia="Arial" w:hAnsi="Arial"/>
                <w:sz w:val="12"/>
                <w:szCs w:val="12"/>
                <w:color w:val="282A32"/>
              </w:rPr>
              <w:t>232</w:t>
            </w:r>
          </w:p>
        </w:tc>
        <w:tc>
          <w:tcPr>
            <w:tcW w:w="1480" w:type="dxa"/>
            <w:vAlign w:val="bottom"/>
          </w:tcPr>
          <w:p>
            <w:pPr>
              <w:jc w:val="right"/>
              <w:ind w:right="359"/>
              <w:spacing w:after="0"/>
              <w:rPr>
                <w:sz w:val="20"/>
                <w:szCs w:val="20"/>
                <w:color w:val="auto"/>
              </w:rPr>
            </w:pPr>
            <w:r>
              <w:rPr>
                <w:rFonts w:ascii="Arial" w:cs="Arial" w:eastAsia="Arial" w:hAnsi="Arial"/>
                <w:sz w:val="12"/>
                <w:szCs w:val="12"/>
                <w:color w:val="282A32"/>
              </w:rPr>
              <w:t>$75</w:t>
            </w: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2"/>
                <w:szCs w:val="12"/>
                <w:color w:val="282A32"/>
              </w:rPr>
              <w:t>Vested</w:t>
            </w:r>
          </w:p>
        </w:tc>
        <w:tc>
          <w:tcPr>
            <w:tcW w:w="3400" w:type="dxa"/>
            <w:vAlign w:val="bottom"/>
          </w:tcPr>
          <w:p>
            <w:pPr>
              <w:jc w:val="right"/>
              <w:ind w:right="218"/>
              <w:spacing w:after="0"/>
              <w:rPr>
                <w:sz w:val="20"/>
                <w:szCs w:val="20"/>
                <w:color w:val="auto"/>
              </w:rPr>
            </w:pPr>
            <w:r>
              <w:rPr>
                <w:rFonts w:ascii="Arial" w:cs="Arial" w:eastAsia="Arial" w:hAnsi="Arial"/>
                <w:sz w:val="12"/>
                <w:szCs w:val="12"/>
                <w:color w:val="282A32"/>
              </w:rPr>
              <w:t>(172)</w:t>
            </w:r>
          </w:p>
        </w:tc>
        <w:tc>
          <w:tcPr>
            <w:tcW w:w="1480" w:type="dxa"/>
            <w:vAlign w:val="bottom"/>
          </w:tcPr>
          <w:p>
            <w:pPr>
              <w:jc w:val="right"/>
              <w:ind w:right="359"/>
              <w:spacing w:after="0"/>
              <w:rPr>
                <w:sz w:val="20"/>
                <w:szCs w:val="20"/>
                <w:color w:val="auto"/>
              </w:rPr>
            </w:pPr>
            <w:r>
              <w:rPr>
                <w:rFonts w:ascii="Arial" w:cs="Arial" w:eastAsia="Arial" w:hAnsi="Arial"/>
                <w:sz w:val="12"/>
                <w:szCs w:val="12"/>
                <w:color w:val="282A32"/>
              </w:rPr>
              <w:t>62</w:t>
            </w: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Forfeited</w:t>
            </w:r>
          </w:p>
        </w:tc>
        <w:tc>
          <w:tcPr>
            <w:tcW w:w="34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282A32"/>
              </w:rPr>
              <w:t>(14)</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76</w:t>
            </w: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Unvested, December 31, 2016</w:t>
            </w:r>
          </w:p>
        </w:tc>
        <w:tc>
          <w:tcPr>
            <w:tcW w:w="34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282A32"/>
              </w:rPr>
              <w:t>451</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282A32"/>
              </w:rPr>
              <w:t>$70</w:t>
            </w: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color w:val="282A32"/>
              </w:rPr>
              <w:t>1.4</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282A32"/>
              </w:rPr>
              <w:t>$40</w:t>
            </w:r>
          </w:p>
        </w:tc>
      </w:tr>
    </w:tbl>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During 2016, 2015 and 2014, we recognized $13.8, $9.9 and $12.9, respectively, of expense related to restricted stock awards. As of December 31, 2016, there was approximately $13.1 of total unrecognized compensation cost related to unvested restricted stock, which we expect to recognize over a weighted-average period of approximately 2.0 years.</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989B9"/>
        </w:rPr>
        <w:t>Performance Share Units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In the event the performance criteria exceeds the Target Award level, an additional number of shares, up to the Outstanding Award level, may be granted. In the event the performance criteria falls below the Target Award level, a reduced number of shares, as low as the Threshold Award level, may be granted. If the performance criteria falls below the Threshold Award level, no shares will be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62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performance share units detail by grant year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80" w:type="dxa"/>
            <w:vAlign w:val="bottom"/>
            <w:tcBorders>
              <w:bottom w:val="single" w:sz="8" w:color="55565A"/>
            </w:tcBorders>
          </w:tcPr>
          <w:p>
            <w:pPr>
              <w:spacing w:after="0"/>
              <w:rPr>
                <w:sz w:val="11"/>
                <w:szCs w:val="11"/>
                <w:color w:val="auto"/>
              </w:rPr>
            </w:pPr>
          </w:p>
        </w:tc>
        <w:tc>
          <w:tcPr>
            <w:tcW w:w="2800" w:type="dxa"/>
            <w:vAlign w:val="bottom"/>
            <w:tcBorders>
              <w:bottom w:val="single" w:sz="8" w:color="55565A"/>
            </w:tcBorders>
          </w:tcPr>
          <w:p>
            <w:pPr>
              <w:jc w:val="right"/>
              <w:ind w:right="59"/>
              <w:spacing w:after="0"/>
              <w:rPr>
                <w:sz w:val="20"/>
                <w:szCs w:val="20"/>
                <w:color w:val="auto"/>
              </w:rPr>
            </w:pPr>
            <w:r>
              <w:rPr>
                <w:rFonts w:ascii="Arial" w:cs="Arial" w:eastAsia="Arial" w:hAnsi="Arial"/>
                <w:sz w:val="11"/>
                <w:szCs w:val="11"/>
                <w:color w:val="282A32"/>
              </w:rPr>
              <w:t>2013</w:t>
            </w:r>
          </w:p>
        </w:tc>
        <w:tc>
          <w:tcPr>
            <w:tcW w:w="1660" w:type="dxa"/>
            <w:vAlign w:val="bottom"/>
            <w:tcBorders>
              <w:bottom w:val="single" w:sz="8" w:color="55565A"/>
            </w:tcBorders>
          </w:tcPr>
          <w:p>
            <w:pPr>
              <w:jc w:val="right"/>
              <w:ind w:right="239"/>
              <w:spacing w:after="0"/>
              <w:rPr>
                <w:sz w:val="20"/>
                <w:szCs w:val="20"/>
                <w:color w:val="auto"/>
              </w:rPr>
            </w:pPr>
            <w:r>
              <w:rPr>
                <w:rFonts w:ascii="Arial" w:cs="Arial" w:eastAsia="Arial" w:hAnsi="Arial"/>
                <w:sz w:val="11"/>
                <w:szCs w:val="11"/>
                <w:color w:val="282A32"/>
              </w:rPr>
              <w:t>2014</w:t>
            </w:r>
          </w:p>
        </w:tc>
        <w:tc>
          <w:tcPr>
            <w:tcW w:w="1400" w:type="dxa"/>
            <w:vAlign w:val="bottom"/>
            <w:tcBorders>
              <w:bottom w:val="single" w:sz="8" w:color="55565A"/>
            </w:tcBorders>
          </w:tcPr>
          <w:p>
            <w:pPr>
              <w:jc w:val="right"/>
              <w:ind w:right="39"/>
              <w:spacing w:after="0"/>
              <w:rPr>
                <w:sz w:val="20"/>
                <w:szCs w:val="20"/>
                <w:color w:val="auto"/>
              </w:rPr>
            </w:pPr>
            <w:r>
              <w:rPr>
                <w:rFonts w:ascii="Arial" w:cs="Arial" w:eastAsia="Arial" w:hAnsi="Arial"/>
                <w:sz w:val="11"/>
                <w:szCs w:val="11"/>
                <w:color w:val="282A32"/>
              </w:rPr>
              <w:t>2015</w:t>
            </w:r>
          </w:p>
        </w:tc>
        <w:tc>
          <w:tcPr>
            <w:tcW w:w="1620" w:type="dxa"/>
            <w:vAlign w:val="bottom"/>
            <w:tcBorders>
              <w:bottom w:val="single" w:sz="8" w:color="55565A"/>
            </w:tcBorders>
          </w:tcPr>
          <w:p>
            <w:pPr>
              <w:jc w:val="right"/>
              <w:ind w:right="39"/>
              <w:spacing w:after="0"/>
              <w:rPr>
                <w:sz w:val="20"/>
                <w:szCs w:val="20"/>
                <w:color w:val="auto"/>
              </w:rPr>
            </w:pPr>
            <w:r>
              <w:rPr>
                <w:rFonts w:ascii="Arial" w:cs="Arial" w:eastAsia="Arial" w:hAnsi="Arial"/>
                <w:sz w:val="11"/>
                <w:szCs w:val="11"/>
                <w:color w:val="282A32"/>
              </w:rPr>
              <w:t>2016</w:t>
            </w:r>
          </w:p>
        </w:tc>
      </w:tr>
      <w:tr>
        <w:trPr>
          <w:trHeight w:val="162"/>
        </w:trPr>
        <w:tc>
          <w:tcPr>
            <w:tcW w:w="3980" w:type="dxa"/>
            <w:vAlign w:val="bottom"/>
          </w:tcPr>
          <w:p>
            <w:pPr>
              <w:ind w:left="20"/>
              <w:spacing w:after="0"/>
              <w:rPr>
                <w:sz w:val="20"/>
                <w:szCs w:val="20"/>
                <w:color w:val="auto"/>
              </w:rPr>
            </w:pPr>
            <w:r>
              <w:rPr>
                <w:rFonts w:ascii="Arial" w:cs="Arial" w:eastAsia="Arial" w:hAnsi="Arial"/>
                <w:sz w:val="12"/>
                <w:szCs w:val="12"/>
                <w:color w:val="282A32"/>
              </w:rPr>
              <w:t>Grant Date(s)</w:t>
            </w:r>
          </w:p>
        </w:tc>
        <w:tc>
          <w:tcPr>
            <w:tcW w:w="2800" w:type="dxa"/>
            <w:vAlign w:val="bottom"/>
          </w:tcPr>
          <w:p>
            <w:pPr>
              <w:jc w:val="right"/>
              <w:ind w:right="59"/>
              <w:spacing w:after="0"/>
              <w:rPr>
                <w:sz w:val="20"/>
                <w:szCs w:val="20"/>
                <w:color w:val="auto"/>
              </w:rPr>
            </w:pPr>
            <w:r>
              <w:rPr>
                <w:rFonts w:ascii="Arial" w:cs="Arial" w:eastAsia="Arial" w:hAnsi="Arial"/>
                <w:sz w:val="12"/>
                <w:szCs w:val="12"/>
                <w:color w:val="282A32"/>
              </w:rPr>
              <w:t>February 14, 2013</w:t>
            </w:r>
          </w:p>
        </w:tc>
        <w:tc>
          <w:tcPr>
            <w:tcW w:w="1660" w:type="dxa"/>
            <w:vAlign w:val="bottom"/>
          </w:tcPr>
          <w:p>
            <w:pPr>
              <w:jc w:val="right"/>
              <w:ind w:right="239"/>
              <w:spacing w:after="0"/>
              <w:rPr>
                <w:sz w:val="20"/>
                <w:szCs w:val="20"/>
                <w:color w:val="auto"/>
              </w:rPr>
            </w:pPr>
            <w:r>
              <w:rPr>
                <w:rFonts w:ascii="Arial" w:cs="Arial" w:eastAsia="Arial" w:hAnsi="Arial"/>
                <w:sz w:val="12"/>
                <w:szCs w:val="12"/>
                <w:color w:val="282A32"/>
              </w:rPr>
              <w:t>February 11,</w:t>
            </w:r>
          </w:p>
        </w:tc>
        <w:tc>
          <w:tcPr>
            <w:tcW w:w="1400" w:type="dxa"/>
            <w:vAlign w:val="bottom"/>
          </w:tcPr>
          <w:p>
            <w:pPr>
              <w:jc w:val="right"/>
              <w:ind w:right="39"/>
              <w:spacing w:after="0"/>
              <w:rPr>
                <w:sz w:val="20"/>
                <w:szCs w:val="20"/>
                <w:color w:val="auto"/>
              </w:rPr>
            </w:pPr>
            <w:r>
              <w:rPr>
                <w:rFonts w:ascii="Arial" w:cs="Arial" w:eastAsia="Arial" w:hAnsi="Arial"/>
                <w:sz w:val="12"/>
                <w:szCs w:val="12"/>
                <w:color w:val="282A32"/>
              </w:rPr>
              <w:t>February 11, 2015</w:t>
            </w:r>
          </w:p>
        </w:tc>
        <w:tc>
          <w:tcPr>
            <w:tcW w:w="1620" w:type="dxa"/>
            <w:vAlign w:val="bottom"/>
          </w:tcPr>
          <w:p>
            <w:pPr>
              <w:jc w:val="right"/>
              <w:ind w:right="39"/>
              <w:spacing w:after="0"/>
              <w:rPr>
                <w:sz w:val="20"/>
                <w:szCs w:val="20"/>
                <w:color w:val="auto"/>
              </w:rPr>
            </w:pPr>
            <w:r>
              <w:rPr>
                <w:rFonts w:ascii="Arial" w:cs="Arial" w:eastAsia="Arial" w:hAnsi="Arial"/>
                <w:sz w:val="12"/>
                <w:szCs w:val="12"/>
                <w:color w:val="282A32"/>
              </w:rPr>
              <w:t>February 16, 2016</w:t>
            </w:r>
          </w:p>
        </w:tc>
      </w:tr>
      <w:tr>
        <w:trPr>
          <w:trHeight w:val="148"/>
        </w:trPr>
        <w:tc>
          <w:tcPr>
            <w:tcW w:w="3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60" w:type="dxa"/>
            <w:vAlign w:val="bottom"/>
          </w:tcPr>
          <w:p>
            <w:pPr>
              <w:jc w:val="right"/>
              <w:ind w:right="239"/>
              <w:spacing w:after="0"/>
              <w:rPr>
                <w:sz w:val="20"/>
                <w:szCs w:val="20"/>
                <w:color w:val="auto"/>
              </w:rPr>
            </w:pPr>
            <w:r>
              <w:rPr>
                <w:rFonts w:ascii="Arial" w:cs="Arial" w:eastAsia="Arial" w:hAnsi="Arial"/>
                <w:sz w:val="12"/>
                <w:szCs w:val="12"/>
                <w:color w:val="282A32"/>
              </w:rPr>
              <w:t>2014 and May 1, 2014</w:t>
            </w:r>
          </w:p>
        </w:tc>
        <w:tc>
          <w:tcPr>
            <w:tcW w:w="14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352"/>
        </w:trPr>
        <w:tc>
          <w:tcPr>
            <w:tcW w:w="3980" w:type="dxa"/>
            <w:vAlign w:val="bottom"/>
          </w:tcPr>
          <w:p>
            <w:pPr>
              <w:ind w:left="20"/>
              <w:spacing w:after="0"/>
              <w:rPr>
                <w:sz w:val="20"/>
                <w:szCs w:val="20"/>
                <w:color w:val="auto"/>
              </w:rPr>
            </w:pPr>
            <w:r>
              <w:rPr>
                <w:rFonts w:ascii="Arial" w:cs="Arial" w:eastAsia="Arial" w:hAnsi="Arial"/>
                <w:sz w:val="12"/>
                <w:szCs w:val="12"/>
                <w:color w:val="282A32"/>
              </w:rPr>
              <w:t>Performance Period (years)</w:t>
            </w:r>
          </w:p>
        </w:tc>
        <w:tc>
          <w:tcPr>
            <w:tcW w:w="2800" w:type="dxa"/>
            <w:vAlign w:val="bottom"/>
          </w:tcPr>
          <w:p>
            <w:pPr>
              <w:jc w:val="right"/>
              <w:ind w:right="59"/>
              <w:spacing w:after="0"/>
              <w:rPr>
                <w:sz w:val="20"/>
                <w:szCs w:val="20"/>
                <w:color w:val="auto"/>
              </w:rPr>
            </w:pPr>
            <w:r>
              <w:rPr>
                <w:rFonts w:ascii="Arial" w:cs="Arial" w:eastAsia="Arial" w:hAnsi="Arial"/>
                <w:sz w:val="12"/>
                <w:szCs w:val="12"/>
                <w:color w:val="282A32"/>
              </w:rPr>
              <w:t>2013</w:t>
            </w:r>
          </w:p>
        </w:tc>
        <w:tc>
          <w:tcPr>
            <w:tcW w:w="1660" w:type="dxa"/>
            <w:vAlign w:val="bottom"/>
          </w:tcPr>
          <w:p>
            <w:pPr>
              <w:jc w:val="right"/>
              <w:ind w:right="239"/>
              <w:spacing w:after="0"/>
              <w:rPr>
                <w:sz w:val="20"/>
                <w:szCs w:val="20"/>
                <w:color w:val="auto"/>
              </w:rPr>
            </w:pPr>
            <w:r>
              <w:rPr>
                <w:rFonts w:ascii="Arial" w:cs="Arial" w:eastAsia="Arial" w:hAnsi="Arial"/>
                <w:sz w:val="12"/>
                <w:szCs w:val="12"/>
                <w:color w:val="282A32"/>
              </w:rPr>
              <w:t>2014-2016</w:t>
            </w:r>
          </w:p>
        </w:tc>
        <w:tc>
          <w:tcPr>
            <w:tcW w:w="1400" w:type="dxa"/>
            <w:vAlign w:val="bottom"/>
          </w:tcPr>
          <w:p>
            <w:pPr>
              <w:jc w:val="right"/>
              <w:ind w:right="39"/>
              <w:spacing w:after="0"/>
              <w:rPr>
                <w:sz w:val="20"/>
                <w:szCs w:val="20"/>
                <w:color w:val="auto"/>
              </w:rPr>
            </w:pPr>
            <w:r>
              <w:rPr>
                <w:rFonts w:ascii="Arial" w:cs="Arial" w:eastAsia="Arial" w:hAnsi="Arial"/>
                <w:sz w:val="12"/>
                <w:szCs w:val="12"/>
                <w:color w:val="282A32"/>
              </w:rPr>
              <w:t>2015-2017</w:t>
            </w:r>
          </w:p>
        </w:tc>
        <w:tc>
          <w:tcPr>
            <w:tcW w:w="1620" w:type="dxa"/>
            <w:vAlign w:val="bottom"/>
          </w:tcPr>
          <w:p>
            <w:pPr>
              <w:jc w:val="right"/>
              <w:ind w:right="39"/>
              <w:spacing w:after="0"/>
              <w:rPr>
                <w:sz w:val="20"/>
                <w:szCs w:val="20"/>
                <w:color w:val="auto"/>
              </w:rPr>
            </w:pPr>
            <w:r>
              <w:rPr>
                <w:rFonts w:ascii="Arial" w:cs="Arial" w:eastAsia="Arial" w:hAnsi="Arial"/>
                <w:sz w:val="12"/>
                <w:szCs w:val="12"/>
                <w:color w:val="282A32"/>
              </w:rPr>
              <w:t>2016-2018</w:t>
            </w:r>
          </w:p>
        </w:tc>
      </w:tr>
      <w:tr>
        <w:trPr>
          <w:trHeight w:val="179"/>
        </w:trPr>
        <w:tc>
          <w:tcPr>
            <w:tcW w:w="3980" w:type="dxa"/>
            <w:vAlign w:val="bottom"/>
          </w:tcPr>
          <w:p>
            <w:pPr>
              <w:ind w:left="20"/>
              <w:spacing w:after="0"/>
              <w:rPr>
                <w:sz w:val="20"/>
                <w:szCs w:val="20"/>
                <w:color w:val="auto"/>
              </w:rPr>
            </w:pPr>
            <w:r>
              <w:rPr>
                <w:rFonts w:ascii="Arial" w:cs="Arial" w:eastAsia="Arial" w:hAnsi="Arial"/>
                <w:sz w:val="12"/>
                <w:szCs w:val="12"/>
                <w:color w:val="282A32"/>
              </w:rPr>
              <w:t>Vesting Date(s)</w:t>
            </w:r>
          </w:p>
        </w:tc>
        <w:tc>
          <w:tcPr>
            <w:tcW w:w="2800" w:type="dxa"/>
            <w:vAlign w:val="bottom"/>
          </w:tcPr>
          <w:p>
            <w:pPr>
              <w:jc w:val="right"/>
              <w:ind w:right="59"/>
              <w:spacing w:after="0"/>
              <w:rPr>
                <w:sz w:val="20"/>
                <w:szCs w:val="20"/>
                <w:color w:val="auto"/>
              </w:rPr>
            </w:pPr>
            <w:r>
              <w:rPr>
                <w:rFonts w:ascii="Arial" w:cs="Arial" w:eastAsia="Arial" w:hAnsi="Arial"/>
                <w:sz w:val="12"/>
                <w:szCs w:val="12"/>
                <w:color w:val="282A32"/>
              </w:rPr>
              <w:t>50% on December 31,</w:t>
            </w:r>
          </w:p>
        </w:tc>
        <w:tc>
          <w:tcPr>
            <w:tcW w:w="1660" w:type="dxa"/>
            <w:vAlign w:val="bottom"/>
          </w:tcPr>
          <w:p>
            <w:pPr>
              <w:jc w:val="right"/>
              <w:ind w:right="239"/>
              <w:spacing w:after="0"/>
              <w:rPr>
                <w:sz w:val="20"/>
                <w:szCs w:val="20"/>
                <w:color w:val="auto"/>
              </w:rPr>
            </w:pPr>
            <w:r>
              <w:rPr>
                <w:rFonts w:ascii="Arial" w:cs="Arial" w:eastAsia="Arial" w:hAnsi="Arial"/>
                <w:sz w:val="12"/>
                <w:szCs w:val="12"/>
                <w:color w:val="282A32"/>
              </w:rPr>
              <w:t>100% in</w:t>
            </w:r>
          </w:p>
        </w:tc>
        <w:tc>
          <w:tcPr>
            <w:tcW w:w="1400" w:type="dxa"/>
            <w:vAlign w:val="bottom"/>
          </w:tcPr>
          <w:p>
            <w:pPr>
              <w:jc w:val="right"/>
              <w:ind w:right="39"/>
              <w:spacing w:after="0"/>
              <w:rPr>
                <w:sz w:val="20"/>
                <w:szCs w:val="20"/>
                <w:color w:val="auto"/>
              </w:rPr>
            </w:pPr>
            <w:r>
              <w:rPr>
                <w:rFonts w:ascii="Arial" w:cs="Arial" w:eastAsia="Arial" w:hAnsi="Arial"/>
                <w:sz w:val="12"/>
                <w:szCs w:val="12"/>
                <w:color w:val="282A32"/>
              </w:rPr>
              <w:t>100% in</w:t>
            </w:r>
          </w:p>
        </w:tc>
        <w:tc>
          <w:tcPr>
            <w:tcW w:w="1620" w:type="dxa"/>
            <w:vAlign w:val="bottom"/>
          </w:tcPr>
          <w:p>
            <w:pPr>
              <w:jc w:val="right"/>
              <w:ind w:right="39"/>
              <w:spacing w:after="0" w:line="179" w:lineRule="exact"/>
              <w:rPr>
                <w:sz w:val="20"/>
                <w:szCs w:val="20"/>
                <w:color w:val="auto"/>
              </w:rPr>
            </w:pPr>
            <w:r>
              <w:rPr>
                <w:rFonts w:ascii="Arial" w:cs="Arial" w:eastAsia="Arial" w:hAnsi="Arial"/>
                <w:sz w:val="12"/>
                <w:szCs w:val="12"/>
                <w:color w:val="282A32"/>
              </w:rPr>
              <w:t>100% in February, 2019</w:t>
            </w:r>
            <w:r>
              <w:rPr>
                <w:rFonts w:ascii="Arial" w:cs="Arial" w:eastAsia="Arial" w:hAnsi="Arial"/>
                <w:sz w:val="16"/>
                <w:szCs w:val="16"/>
                <w:color w:val="282A32"/>
                <w:vertAlign w:val="superscript"/>
              </w:rPr>
              <w:t>(a)</w:t>
            </w:r>
          </w:p>
        </w:tc>
      </w:tr>
      <w:tr>
        <w:trPr>
          <w:trHeight w:val="211"/>
        </w:trPr>
        <w:tc>
          <w:tcPr>
            <w:tcW w:w="3980" w:type="dxa"/>
            <w:vAlign w:val="bottom"/>
          </w:tcPr>
          <w:p>
            <w:pPr>
              <w:spacing w:after="0"/>
              <w:rPr>
                <w:sz w:val="18"/>
                <w:szCs w:val="18"/>
                <w:color w:val="auto"/>
              </w:rPr>
            </w:pPr>
          </w:p>
        </w:tc>
        <w:tc>
          <w:tcPr>
            <w:tcW w:w="2800" w:type="dxa"/>
            <w:vAlign w:val="bottom"/>
          </w:tcPr>
          <w:p>
            <w:pPr>
              <w:jc w:val="right"/>
              <w:ind w:right="59"/>
              <w:spacing w:after="0"/>
              <w:rPr>
                <w:sz w:val="20"/>
                <w:szCs w:val="20"/>
                <w:color w:val="auto"/>
              </w:rPr>
            </w:pPr>
            <w:r>
              <w:rPr>
                <w:rFonts w:ascii="Arial" w:cs="Arial" w:eastAsia="Arial" w:hAnsi="Arial"/>
                <w:sz w:val="12"/>
                <w:szCs w:val="12"/>
                <w:color w:val="282A32"/>
              </w:rPr>
              <w:t>2014 and 2015</w:t>
            </w:r>
          </w:p>
        </w:tc>
        <w:tc>
          <w:tcPr>
            <w:tcW w:w="1660" w:type="dxa"/>
            <w:vAlign w:val="bottom"/>
          </w:tcPr>
          <w:p>
            <w:pPr>
              <w:jc w:val="right"/>
              <w:ind w:right="239"/>
              <w:spacing w:after="0"/>
              <w:rPr>
                <w:sz w:val="20"/>
                <w:szCs w:val="20"/>
                <w:color w:val="auto"/>
              </w:rPr>
            </w:pPr>
            <w:r>
              <w:rPr>
                <w:rFonts w:ascii="Arial" w:cs="Arial" w:eastAsia="Arial" w:hAnsi="Arial"/>
                <w:sz w:val="12"/>
                <w:szCs w:val="12"/>
                <w:color w:val="282A32"/>
              </w:rPr>
              <w:t>February, 2017</w:t>
            </w:r>
            <w:r>
              <w:rPr>
                <w:rFonts w:ascii="Arial" w:cs="Arial" w:eastAsia="Arial" w:hAnsi="Arial"/>
                <w:sz w:val="16"/>
                <w:szCs w:val="16"/>
                <w:color w:val="282A32"/>
                <w:vertAlign w:val="superscript"/>
              </w:rPr>
              <w:t>(a)</w:t>
            </w:r>
          </w:p>
        </w:tc>
        <w:tc>
          <w:tcPr>
            <w:tcW w:w="1400" w:type="dxa"/>
            <w:vAlign w:val="bottom"/>
          </w:tcPr>
          <w:p>
            <w:pPr>
              <w:jc w:val="right"/>
              <w:ind w:right="39"/>
              <w:spacing w:after="0"/>
              <w:rPr>
                <w:sz w:val="20"/>
                <w:szCs w:val="20"/>
                <w:color w:val="auto"/>
              </w:rPr>
            </w:pPr>
            <w:r>
              <w:rPr>
                <w:rFonts w:ascii="Arial" w:cs="Arial" w:eastAsia="Arial" w:hAnsi="Arial"/>
                <w:sz w:val="12"/>
                <w:szCs w:val="12"/>
                <w:color w:val="282A32"/>
              </w:rPr>
              <w:t>February, 2018</w:t>
            </w:r>
            <w:r>
              <w:rPr>
                <w:rFonts w:ascii="Arial" w:cs="Arial" w:eastAsia="Arial" w:hAnsi="Arial"/>
                <w:sz w:val="16"/>
                <w:szCs w:val="16"/>
                <w:color w:val="282A32"/>
                <w:vertAlign w:val="superscript"/>
              </w:rPr>
              <w:t>(a)</w:t>
            </w:r>
          </w:p>
        </w:tc>
        <w:tc>
          <w:tcPr>
            <w:tcW w:w="1620" w:type="dxa"/>
            <w:vAlign w:val="bottom"/>
          </w:tcPr>
          <w:p>
            <w:pPr>
              <w:spacing w:after="0"/>
              <w:rPr>
                <w:sz w:val="18"/>
                <w:szCs w:val="18"/>
                <w:color w:val="auto"/>
              </w:rPr>
            </w:pPr>
          </w:p>
        </w:tc>
      </w:tr>
      <w:tr>
        <w:trPr>
          <w:trHeight w:val="308"/>
        </w:trPr>
        <w:tc>
          <w:tcPr>
            <w:tcW w:w="39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82"/>
        </w:trPr>
        <w:tc>
          <w:tcPr>
            <w:tcW w:w="3980" w:type="dxa"/>
            <w:vAlign w:val="bottom"/>
          </w:tcPr>
          <w:p>
            <w:pPr>
              <w:ind w:left="20"/>
              <w:spacing w:after="0"/>
              <w:rPr>
                <w:sz w:val="20"/>
                <w:szCs w:val="20"/>
                <w:color w:val="auto"/>
              </w:rPr>
            </w:pPr>
            <w:r>
              <w:rPr>
                <w:rFonts w:ascii="Arial" w:cs="Arial" w:eastAsia="Arial" w:hAnsi="Arial"/>
                <w:sz w:val="12"/>
                <w:szCs w:val="12"/>
                <w:color w:val="282A32"/>
              </w:rPr>
              <w:t>Payout Levels (in units):</w:t>
            </w:r>
          </w:p>
        </w:tc>
        <w:tc>
          <w:tcPr>
            <w:tcW w:w="2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6"/>
        </w:trPr>
        <w:tc>
          <w:tcPr>
            <w:tcW w:w="3980" w:type="dxa"/>
            <w:vAlign w:val="bottom"/>
          </w:tcPr>
          <w:p>
            <w:pPr>
              <w:ind w:left="160"/>
              <w:spacing w:after="0"/>
              <w:rPr>
                <w:sz w:val="20"/>
                <w:szCs w:val="20"/>
                <w:color w:val="auto"/>
              </w:rPr>
            </w:pPr>
            <w:r>
              <w:rPr>
                <w:rFonts w:ascii="Arial" w:cs="Arial" w:eastAsia="Arial" w:hAnsi="Arial"/>
                <w:sz w:val="12"/>
                <w:szCs w:val="12"/>
                <w:color w:val="282A32"/>
              </w:rPr>
              <w:t>Threshold Award</w:t>
            </w:r>
          </w:p>
        </w:tc>
        <w:tc>
          <w:tcPr>
            <w:tcW w:w="2800" w:type="dxa"/>
            <w:vAlign w:val="bottom"/>
          </w:tcPr>
          <w:p>
            <w:pPr>
              <w:jc w:val="right"/>
              <w:ind w:right="59"/>
              <w:spacing w:after="0"/>
              <w:rPr>
                <w:sz w:val="20"/>
                <w:szCs w:val="20"/>
                <w:color w:val="auto"/>
              </w:rPr>
            </w:pPr>
            <w:r>
              <w:rPr>
                <w:rFonts w:ascii="Arial" w:cs="Arial" w:eastAsia="Arial" w:hAnsi="Arial"/>
                <w:sz w:val="12"/>
                <w:szCs w:val="12"/>
                <w:color w:val="282A32"/>
              </w:rPr>
              <w:t>76,120</w:t>
            </w:r>
          </w:p>
        </w:tc>
        <w:tc>
          <w:tcPr>
            <w:tcW w:w="1660" w:type="dxa"/>
            <w:vAlign w:val="bottom"/>
          </w:tcPr>
          <w:p>
            <w:pPr>
              <w:jc w:val="right"/>
              <w:ind w:right="239"/>
              <w:spacing w:after="0"/>
              <w:rPr>
                <w:sz w:val="20"/>
                <w:szCs w:val="20"/>
                <w:color w:val="auto"/>
              </w:rPr>
            </w:pPr>
            <w:r>
              <w:rPr>
                <w:rFonts w:ascii="Arial" w:cs="Arial" w:eastAsia="Arial" w:hAnsi="Arial"/>
                <w:sz w:val="12"/>
                <w:szCs w:val="12"/>
                <w:color w:val="282A32"/>
              </w:rPr>
              <w:t>94,608</w:t>
            </w:r>
          </w:p>
        </w:tc>
        <w:tc>
          <w:tcPr>
            <w:tcW w:w="1400" w:type="dxa"/>
            <w:vAlign w:val="bottom"/>
          </w:tcPr>
          <w:p>
            <w:pPr>
              <w:jc w:val="right"/>
              <w:ind w:right="39"/>
              <w:spacing w:after="0"/>
              <w:rPr>
                <w:sz w:val="20"/>
                <w:szCs w:val="20"/>
                <w:color w:val="auto"/>
              </w:rPr>
            </w:pPr>
            <w:r>
              <w:rPr>
                <w:rFonts w:ascii="Arial" w:cs="Arial" w:eastAsia="Arial" w:hAnsi="Arial"/>
                <w:sz w:val="12"/>
                <w:szCs w:val="12"/>
                <w:color w:val="282A32"/>
              </w:rPr>
              <w:t>82,298</w:t>
            </w:r>
          </w:p>
        </w:tc>
        <w:tc>
          <w:tcPr>
            <w:tcW w:w="1620" w:type="dxa"/>
            <w:vAlign w:val="bottom"/>
          </w:tcPr>
          <w:p>
            <w:pPr>
              <w:jc w:val="right"/>
              <w:ind w:right="39"/>
              <w:spacing w:after="0"/>
              <w:rPr>
                <w:sz w:val="20"/>
                <w:szCs w:val="20"/>
                <w:color w:val="auto"/>
              </w:rPr>
            </w:pPr>
            <w:r>
              <w:rPr>
                <w:rFonts w:ascii="Arial" w:cs="Arial" w:eastAsia="Arial" w:hAnsi="Arial"/>
                <w:sz w:val="12"/>
                <w:szCs w:val="12"/>
                <w:color w:val="282A32"/>
              </w:rPr>
              <w:t>65,141</w:t>
            </w:r>
          </w:p>
        </w:tc>
      </w:tr>
      <w:tr>
        <w:trPr>
          <w:trHeight w:val="186"/>
        </w:trPr>
        <w:tc>
          <w:tcPr>
            <w:tcW w:w="3980" w:type="dxa"/>
            <w:vAlign w:val="bottom"/>
          </w:tcPr>
          <w:p>
            <w:pPr>
              <w:ind w:left="160"/>
              <w:spacing w:after="0"/>
              <w:rPr>
                <w:sz w:val="20"/>
                <w:szCs w:val="20"/>
                <w:color w:val="auto"/>
              </w:rPr>
            </w:pPr>
            <w:r>
              <w:rPr>
                <w:rFonts w:ascii="Arial" w:cs="Arial" w:eastAsia="Arial" w:hAnsi="Arial"/>
                <w:sz w:val="12"/>
                <w:szCs w:val="12"/>
                <w:color w:val="282A32"/>
              </w:rPr>
              <w:t>Target Award</w:t>
            </w:r>
          </w:p>
        </w:tc>
        <w:tc>
          <w:tcPr>
            <w:tcW w:w="2800" w:type="dxa"/>
            <w:vAlign w:val="bottom"/>
          </w:tcPr>
          <w:p>
            <w:pPr>
              <w:jc w:val="right"/>
              <w:ind w:right="59"/>
              <w:spacing w:after="0"/>
              <w:rPr>
                <w:sz w:val="20"/>
                <w:szCs w:val="20"/>
                <w:color w:val="auto"/>
              </w:rPr>
            </w:pPr>
            <w:r>
              <w:rPr>
                <w:rFonts w:ascii="Arial" w:cs="Arial" w:eastAsia="Arial" w:hAnsi="Arial"/>
                <w:sz w:val="12"/>
                <w:szCs w:val="12"/>
                <w:color w:val="282A32"/>
              </w:rPr>
              <w:t>152,240</w:t>
            </w:r>
          </w:p>
        </w:tc>
        <w:tc>
          <w:tcPr>
            <w:tcW w:w="1660" w:type="dxa"/>
            <w:vAlign w:val="bottom"/>
          </w:tcPr>
          <w:p>
            <w:pPr>
              <w:jc w:val="right"/>
              <w:ind w:right="239"/>
              <w:spacing w:after="0"/>
              <w:rPr>
                <w:sz w:val="20"/>
                <w:szCs w:val="20"/>
                <w:color w:val="auto"/>
              </w:rPr>
            </w:pPr>
            <w:r>
              <w:rPr>
                <w:rFonts w:ascii="Arial" w:cs="Arial" w:eastAsia="Arial" w:hAnsi="Arial"/>
                <w:sz w:val="12"/>
                <w:szCs w:val="12"/>
                <w:color w:val="282A32"/>
              </w:rPr>
              <w:t>189,215</w:t>
            </w:r>
          </w:p>
        </w:tc>
        <w:tc>
          <w:tcPr>
            <w:tcW w:w="1400" w:type="dxa"/>
            <w:vAlign w:val="bottom"/>
          </w:tcPr>
          <w:p>
            <w:pPr>
              <w:jc w:val="right"/>
              <w:ind w:right="39"/>
              <w:spacing w:after="0"/>
              <w:rPr>
                <w:sz w:val="20"/>
                <w:szCs w:val="20"/>
                <w:color w:val="auto"/>
              </w:rPr>
            </w:pPr>
            <w:r>
              <w:rPr>
                <w:rFonts w:ascii="Arial" w:cs="Arial" w:eastAsia="Arial" w:hAnsi="Arial"/>
                <w:sz w:val="12"/>
                <w:szCs w:val="12"/>
                <w:color w:val="282A32"/>
              </w:rPr>
              <w:t>164,595</w:t>
            </w:r>
          </w:p>
        </w:tc>
        <w:tc>
          <w:tcPr>
            <w:tcW w:w="1620" w:type="dxa"/>
            <w:vAlign w:val="bottom"/>
          </w:tcPr>
          <w:p>
            <w:pPr>
              <w:jc w:val="right"/>
              <w:ind w:right="39"/>
              <w:spacing w:after="0"/>
              <w:rPr>
                <w:sz w:val="20"/>
                <w:szCs w:val="20"/>
                <w:color w:val="auto"/>
              </w:rPr>
            </w:pPr>
            <w:r>
              <w:rPr>
                <w:rFonts w:ascii="Arial" w:cs="Arial" w:eastAsia="Arial" w:hAnsi="Arial"/>
                <w:sz w:val="12"/>
                <w:szCs w:val="12"/>
                <w:color w:val="282A32"/>
              </w:rPr>
              <w:t>130,282</w:t>
            </w:r>
          </w:p>
        </w:tc>
      </w:tr>
      <w:tr>
        <w:trPr>
          <w:trHeight w:val="194"/>
        </w:trPr>
        <w:tc>
          <w:tcPr>
            <w:tcW w:w="39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282A32"/>
              </w:rPr>
              <w:t>Outstanding Award</w:t>
            </w:r>
          </w:p>
        </w:tc>
        <w:tc>
          <w:tcPr>
            <w:tcW w:w="2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282A32"/>
              </w:rPr>
              <w:t>304,480</w:t>
            </w: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282A32"/>
              </w:rPr>
              <w:t>378,430</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329,190</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260,564</w:t>
            </w:r>
          </w:p>
        </w:tc>
      </w:tr>
      <w:tr>
        <w:trPr>
          <w:trHeight w:val="169"/>
        </w:trPr>
        <w:tc>
          <w:tcPr>
            <w:tcW w:w="3980" w:type="dxa"/>
            <w:vAlign w:val="bottom"/>
          </w:tcPr>
          <w:p>
            <w:pPr>
              <w:ind w:left="20"/>
              <w:spacing w:after="0"/>
              <w:rPr>
                <w:sz w:val="20"/>
                <w:szCs w:val="20"/>
                <w:color w:val="auto"/>
              </w:rPr>
            </w:pPr>
            <w:r>
              <w:rPr>
                <w:rFonts w:ascii="Arial" w:cs="Arial" w:eastAsia="Arial" w:hAnsi="Arial"/>
                <w:sz w:val="12"/>
                <w:szCs w:val="12"/>
                <w:color w:val="282A32"/>
              </w:rPr>
              <w:t>Units Forfeited in 2016 (at Target Award level)</w:t>
            </w:r>
          </w:p>
        </w:tc>
        <w:tc>
          <w:tcPr>
            <w:tcW w:w="2800" w:type="dxa"/>
            <w:vAlign w:val="bottom"/>
          </w:tcPr>
          <w:p>
            <w:pPr>
              <w:jc w:val="right"/>
              <w:ind w:right="59"/>
              <w:spacing w:after="0"/>
              <w:rPr>
                <w:sz w:val="20"/>
                <w:szCs w:val="20"/>
                <w:color w:val="auto"/>
              </w:rPr>
            </w:pPr>
            <w:r>
              <w:rPr>
                <w:rFonts w:ascii="Arial" w:cs="Arial" w:eastAsia="Arial" w:hAnsi="Arial"/>
                <w:sz w:val="12"/>
                <w:szCs w:val="12"/>
                <w:color w:val="282A32"/>
              </w:rPr>
              <w:t>—</w:t>
            </w:r>
          </w:p>
        </w:tc>
        <w:tc>
          <w:tcPr>
            <w:tcW w:w="1660" w:type="dxa"/>
            <w:vAlign w:val="bottom"/>
          </w:tcPr>
          <w:p>
            <w:pPr>
              <w:jc w:val="right"/>
              <w:ind w:right="239"/>
              <w:spacing w:after="0"/>
              <w:rPr>
                <w:sz w:val="20"/>
                <w:szCs w:val="20"/>
                <w:color w:val="auto"/>
              </w:rPr>
            </w:pPr>
            <w:r>
              <w:rPr>
                <w:rFonts w:ascii="Arial" w:cs="Arial" w:eastAsia="Arial" w:hAnsi="Arial"/>
                <w:sz w:val="12"/>
                <w:szCs w:val="12"/>
                <w:color w:val="282A32"/>
              </w:rPr>
              <w:t>10,928</w:t>
            </w:r>
          </w:p>
        </w:tc>
        <w:tc>
          <w:tcPr>
            <w:tcW w:w="1400" w:type="dxa"/>
            <w:vAlign w:val="bottom"/>
          </w:tcPr>
          <w:p>
            <w:pPr>
              <w:jc w:val="right"/>
              <w:ind w:right="39"/>
              <w:spacing w:after="0"/>
              <w:rPr>
                <w:sz w:val="20"/>
                <w:szCs w:val="20"/>
                <w:color w:val="auto"/>
              </w:rPr>
            </w:pPr>
            <w:r>
              <w:rPr>
                <w:rFonts w:ascii="Arial" w:cs="Arial" w:eastAsia="Arial" w:hAnsi="Arial"/>
                <w:sz w:val="12"/>
                <w:szCs w:val="12"/>
                <w:color w:val="282A32"/>
              </w:rPr>
              <w:t>7,796</w:t>
            </w:r>
          </w:p>
        </w:tc>
        <w:tc>
          <w:tcPr>
            <w:tcW w:w="1620" w:type="dxa"/>
            <w:vAlign w:val="bottom"/>
          </w:tcPr>
          <w:p>
            <w:pPr>
              <w:jc w:val="right"/>
              <w:ind w:right="39"/>
              <w:spacing w:after="0"/>
              <w:rPr>
                <w:sz w:val="20"/>
                <w:szCs w:val="20"/>
                <w:color w:val="auto"/>
              </w:rPr>
            </w:pPr>
            <w:r>
              <w:rPr>
                <w:rFonts w:ascii="Arial" w:cs="Arial" w:eastAsia="Arial" w:hAnsi="Arial"/>
                <w:sz w:val="12"/>
                <w:szCs w:val="12"/>
                <w:color w:val="282A32"/>
              </w:rPr>
              <w:t>—</w:t>
            </w:r>
          </w:p>
        </w:tc>
      </w:tr>
      <w:tr>
        <w:trPr>
          <w:trHeight w:val="194"/>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Shares Issued in 2016</w:t>
            </w:r>
          </w:p>
        </w:tc>
        <w:tc>
          <w:tcPr>
            <w:tcW w:w="2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282A32"/>
              </w:rPr>
              <w:t>56,059</w:t>
            </w: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282A32"/>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w:t>
            </w:r>
          </w:p>
        </w:tc>
      </w:tr>
    </w:tbl>
    <w:p>
      <w:pPr>
        <w:spacing w:after="0" w:line="128" w:lineRule="exact"/>
        <w:rPr>
          <w:sz w:val="20"/>
          <w:szCs w:val="20"/>
          <w:color w:val="auto"/>
        </w:rPr>
      </w:pPr>
    </w:p>
    <w:p>
      <w:pPr>
        <w:ind w:firstLine="3"/>
        <w:spacing w:after="0" w:line="245" w:lineRule="auto"/>
        <w:tabs>
          <w:tab w:leader="none" w:pos="166" w:val="left"/>
        </w:tabs>
        <w:numPr>
          <w:ilvl w:val="0"/>
          <w:numId w:val="55"/>
        </w:numPr>
        <w:rPr>
          <w:rFonts w:ascii="Arial" w:cs="Arial" w:eastAsia="Arial" w:hAnsi="Arial"/>
          <w:sz w:val="11"/>
          <w:szCs w:val="11"/>
          <w:color w:val="282A32"/>
        </w:rPr>
      </w:pPr>
      <w:r>
        <w:rPr>
          <w:rFonts w:ascii="Arial" w:cs="Arial" w:eastAsia="Arial" w:hAnsi="Arial"/>
          <w:sz w:val="11"/>
          <w:szCs w:val="11"/>
          <w:color w:val="282A32"/>
        </w:rPr>
        <w:t>2014, 2015 and 2016 awards are scheduled to vest in February 2017, 2018, and 2019, respectively, when the Executive Compensation and Human Resources Committee of the Board of Directors determines the achievement of the performance criteria.</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282A32"/>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$9.1, $17.1 and $20.1 in 2016, 2015 and 2014, respectively, related to the performance share units.</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color w:val="2989B9"/>
        </w:rPr>
        <w:t>Other Stock Plans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Under the 1990 Employee Stock Purchase Plan, designated employees meeting certain service requirements may purchase shares of our common stock through payroll deductions. These shares may be purchased at their fair market value on a monthly basis. The current plan is non-compensatory according to the accounting guidance on share-based payments.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 We recognized an expense of $0.1 for shares purchased under the plan in each of 2016, 2015 and 2014.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2989B9"/>
        </w:rPr>
        <w:t>Note 04. Net 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282A32"/>
        </w:rPr>
        <w:t>The calculation of net earnings per share - basic and net earnings per share - diluted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282A32"/>
              </w:rPr>
              <w:t>Year Ended December 31</w:t>
            </w:r>
          </w:p>
        </w:tc>
        <w:tc>
          <w:tcPr>
            <w:tcW w:w="140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74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color w:val="282A32"/>
              </w:rPr>
              <w:t>2015</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282A32"/>
              </w:rPr>
              <w:t>2014</w:t>
            </w:r>
          </w:p>
        </w:tc>
        <w:tc>
          <w:tcPr>
            <w:tcW w:w="0" w:type="dxa"/>
            <w:vAlign w:val="bottom"/>
          </w:tcPr>
          <w:p>
            <w:pPr>
              <w:spacing w:after="0"/>
              <w:rPr>
                <w:sz w:val="1"/>
                <w:szCs w:val="1"/>
                <w:color w:val="auto"/>
              </w:rPr>
            </w:pPr>
          </w:p>
        </w:tc>
      </w:tr>
      <w:tr>
        <w:trPr>
          <w:trHeight w:val="19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 available to common shareholders:</w:t>
            </w:r>
          </w:p>
        </w:tc>
        <w:tc>
          <w:tcPr>
            <w:tcW w:w="140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$443.7</w:t>
            </w:r>
          </w:p>
        </w:tc>
        <w:tc>
          <w:tcPr>
            <w:tcW w:w="174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color w:val="282A32"/>
              </w:rPr>
              <w:t>$419.2</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$427.6</w:t>
            </w:r>
          </w:p>
        </w:tc>
        <w:tc>
          <w:tcPr>
            <w:tcW w:w="0" w:type="dxa"/>
            <w:vAlign w:val="bottom"/>
          </w:tcPr>
          <w:p>
            <w:pPr>
              <w:spacing w:after="0"/>
              <w:rPr>
                <w:sz w:val="1"/>
                <w:szCs w:val="1"/>
                <w:color w:val="auto"/>
              </w:rPr>
            </w:pPr>
          </w:p>
        </w:tc>
      </w:tr>
      <w:tr>
        <w:trPr>
          <w:trHeight w:val="407"/>
        </w:trPr>
        <w:tc>
          <w:tcPr>
            <w:tcW w:w="7340" w:type="dxa"/>
            <w:vAlign w:val="bottom"/>
          </w:tcPr>
          <w:p>
            <w:pPr>
              <w:ind w:left="20"/>
              <w:spacing w:after="0"/>
              <w:rPr>
                <w:sz w:val="20"/>
                <w:szCs w:val="20"/>
                <w:color w:val="auto"/>
              </w:rPr>
            </w:pPr>
            <w:r>
              <w:rPr>
                <w:rFonts w:ascii="Arial" w:cs="Arial" w:eastAsia="Arial" w:hAnsi="Arial"/>
                <w:sz w:val="12"/>
                <w:szCs w:val="12"/>
                <w:color w:val="auto"/>
              </w:rPr>
              <w:t>Weighted-average common shares outstanding (in millions):</w:t>
            </w:r>
          </w:p>
        </w:tc>
        <w:tc>
          <w:tcPr>
            <w:tcW w:w="1400" w:type="dxa"/>
            <w:vAlign w:val="bottom"/>
            <w:shd w:val="clear" w:color="auto" w:fill="E1F4FD"/>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40" w:type="dxa"/>
            <w:vAlign w:val="bottom"/>
          </w:tcPr>
          <w:p>
            <w:pPr>
              <w:ind w:left="60"/>
              <w:spacing w:after="0"/>
              <w:rPr>
                <w:sz w:val="20"/>
                <w:szCs w:val="20"/>
                <w:color w:val="auto"/>
              </w:rPr>
            </w:pPr>
            <w:r>
              <w:rPr>
                <w:rFonts w:ascii="Arial" w:cs="Arial" w:eastAsia="Arial" w:hAnsi="Arial"/>
                <w:sz w:val="12"/>
                <w:szCs w:val="12"/>
                <w:color w:val="auto"/>
              </w:rPr>
              <w:t>Weighted-average common shares outstanding - basic</w:t>
            </w:r>
          </w:p>
        </w:tc>
        <w:tc>
          <w:tcPr>
            <w:tcW w:w="140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70.1</w:t>
            </w:r>
          </w:p>
        </w:tc>
        <w:tc>
          <w:tcPr>
            <w:tcW w:w="1740" w:type="dxa"/>
            <w:vAlign w:val="bottom"/>
          </w:tcPr>
          <w:p>
            <w:pPr>
              <w:jc w:val="right"/>
              <w:ind w:right="441"/>
              <w:spacing w:after="0"/>
              <w:rPr>
                <w:sz w:val="20"/>
                <w:szCs w:val="20"/>
                <w:color w:val="auto"/>
              </w:rPr>
            </w:pPr>
            <w:r>
              <w:rPr>
                <w:rFonts w:ascii="Arial" w:cs="Arial" w:eastAsia="Arial" w:hAnsi="Arial"/>
                <w:sz w:val="12"/>
                <w:szCs w:val="12"/>
                <w:color w:val="282A32"/>
              </w:rPr>
              <w:t>76.8</w:t>
            </w:r>
          </w:p>
        </w:tc>
        <w:tc>
          <w:tcPr>
            <w:tcW w:w="980" w:type="dxa"/>
            <w:vAlign w:val="bottom"/>
          </w:tcPr>
          <w:p>
            <w:pPr>
              <w:jc w:val="right"/>
              <w:ind w:right="39"/>
              <w:spacing w:after="0"/>
              <w:rPr>
                <w:sz w:val="20"/>
                <w:szCs w:val="20"/>
                <w:color w:val="auto"/>
              </w:rPr>
            </w:pPr>
            <w:r>
              <w:rPr>
                <w:rFonts w:ascii="Arial" w:cs="Arial" w:eastAsia="Arial" w:hAnsi="Arial"/>
                <w:sz w:val="12"/>
                <w:szCs w:val="12"/>
                <w:color w:val="282A32"/>
              </w:rPr>
              <w:t>79.5</w:t>
            </w:r>
          </w:p>
        </w:tc>
        <w:tc>
          <w:tcPr>
            <w:tcW w:w="0" w:type="dxa"/>
            <w:vAlign w:val="bottom"/>
          </w:tcPr>
          <w:p>
            <w:pPr>
              <w:spacing w:after="0"/>
              <w:rPr>
                <w:sz w:val="1"/>
                <w:szCs w:val="1"/>
                <w:color w:val="auto"/>
              </w:rPr>
            </w:pPr>
          </w:p>
        </w:tc>
      </w:tr>
      <w:tr>
        <w:trPr>
          <w:trHeight w:val="186"/>
        </w:trPr>
        <w:tc>
          <w:tcPr>
            <w:tcW w:w="7340" w:type="dxa"/>
            <w:vAlign w:val="bottom"/>
          </w:tcPr>
          <w:p>
            <w:pPr>
              <w:ind w:left="240"/>
              <w:spacing w:after="0"/>
              <w:rPr>
                <w:sz w:val="20"/>
                <w:szCs w:val="20"/>
                <w:color w:val="auto"/>
              </w:rPr>
            </w:pPr>
            <w:r>
              <w:rPr>
                <w:rFonts w:ascii="Arial" w:cs="Arial" w:eastAsia="Arial" w:hAnsi="Arial"/>
                <w:sz w:val="12"/>
                <w:szCs w:val="12"/>
                <w:color w:val="282A32"/>
              </w:rPr>
              <w:t>Effect of dilutive securities - stock options</w:t>
            </w:r>
          </w:p>
        </w:tc>
        <w:tc>
          <w:tcPr>
            <w:tcW w:w="140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0.2</w:t>
            </w:r>
          </w:p>
        </w:tc>
        <w:tc>
          <w:tcPr>
            <w:tcW w:w="1740" w:type="dxa"/>
            <w:vAlign w:val="bottom"/>
          </w:tcPr>
          <w:p>
            <w:pPr>
              <w:jc w:val="right"/>
              <w:ind w:right="441"/>
              <w:spacing w:after="0"/>
              <w:rPr>
                <w:sz w:val="20"/>
                <w:szCs w:val="20"/>
                <w:color w:val="auto"/>
              </w:rPr>
            </w:pPr>
            <w:r>
              <w:rPr>
                <w:rFonts w:ascii="Arial" w:cs="Arial" w:eastAsia="Arial" w:hAnsi="Arial"/>
                <w:sz w:val="12"/>
                <w:szCs w:val="12"/>
                <w:color w:val="282A32"/>
              </w:rPr>
              <w:t>0.5</w:t>
            </w:r>
          </w:p>
        </w:tc>
        <w:tc>
          <w:tcPr>
            <w:tcW w:w="980" w:type="dxa"/>
            <w:vAlign w:val="bottom"/>
          </w:tcPr>
          <w:p>
            <w:pPr>
              <w:jc w:val="right"/>
              <w:ind w:right="39"/>
              <w:spacing w:after="0"/>
              <w:rPr>
                <w:sz w:val="20"/>
                <w:szCs w:val="20"/>
                <w:color w:val="auto"/>
              </w:rPr>
            </w:pPr>
            <w:r>
              <w:rPr>
                <w:rFonts w:ascii="Arial" w:cs="Arial" w:eastAsia="Arial" w:hAnsi="Arial"/>
                <w:sz w:val="12"/>
                <w:szCs w:val="12"/>
                <w:color w:val="282A32"/>
              </w:rPr>
              <w:t>0.6</w:t>
            </w:r>
          </w:p>
        </w:tc>
        <w:tc>
          <w:tcPr>
            <w:tcW w:w="0" w:type="dxa"/>
            <w:vAlign w:val="bottom"/>
          </w:tcPr>
          <w:p>
            <w:pPr>
              <w:spacing w:after="0"/>
              <w:rPr>
                <w:sz w:val="1"/>
                <w:szCs w:val="1"/>
                <w:color w:val="auto"/>
              </w:rPr>
            </w:pPr>
          </w:p>
        </w:tc>
      </w:tr>
      <w:tr>
        <w:trPr>
          <w:trHeight w:val="194"/>
        </w:trPr>
        <w:tc>
          <w:tcPr>
            <w:tcW w:w="73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282A32"/>
              </w:rPr>
              <w:t>Effect of other share-based awards</w:t>
            </w:r>
          </w:p>
        </w:tc>
        <w:tc>
          <w:tcPr>
            <w:tcW w:w="140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0.5</w:t>
            </w:r>
          </w:p>
        </w:tc>
        <w:tc>
          <w:tcPr>
            <w:tcW w:w="174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color w:val="282A32"/>
              </w:rPr>
              <w:t>0.4</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0.6</w:t>
            </w:r>
          </w:p>
        </w:tc>
        <w:tc>
          <w:tcPr>
            <w:tcW w:w="0" w:type="dxa"/>
            <w:vAlign w:val="bottom"/>
          </w:tcPr>
          <w:p>
            <w:pPr>
              <w:spacing w:after="0"/>
              <w:rPr>
                <w:sz w:val="1"/>
                <w:szCs w:val="1"/>
                <w:color w:val="auto"/>
              </w:rPr>
            </w:pPr>
          </w:p>
        </w:tc>
      </w:tr>
      <w:tr>
        <w:trPr>
          <w:trHeight w:val="177"/>
        </w:trPr>
        <w:tc>
          <w:tcPr>
            <w:tcW w:w="73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Weighted-average common shares outstanding - diluted</w:t>
            </w:r>
          </w:p>
        </w:tc>
        <w:tc>
          <w:tcPr>
            <w:tcW w:w="140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70.8</w:t>
            </w:r>
          </w:p>
        </w:tc>
        <w:tc>
          <w:tcPr>
            <w:tcW w:w="174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color w:val="282A32"/>
              </w:rPr>
              <w:t>77.7</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80.7</w:t>
            </w:r>
          </w:p>
        </w:tc>
        <w:tc>
          <w:tcPr>
            <w:tcW w:w="0" w:type="dxa"/>
            <w:vAlign w:val="bottom"/>
          </w:tcPr>
          <w:p>
            <w:pPr>
              <w:spacing w:after="0"/>
              <w:rPr>
                <w:sz w:val="1"/>
                <w:szCs w:val="1"/>
                <w:color w:val="auto"/>
              </w:rPr>
            </w:pPr>
          </w:p>
        </w:tc>
      </w:tr>
      <w:tr>
        <w:trPr>
          <w:trHeight w:val="446"/>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 per share - basic</w:t>
            </w:r>
          </w:p>
        </w:tc>
        <w:tc>
          <w:tcPr>
            <w:tcW w:w="140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$6.33</w:t>
            </w:r>
          </w:p>
        </w:tc>
        <w:tc>
          <w:tcPr>
            <w:tcW w:w="174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color w:val="282A32"/>
              </w:rPr>
              <w:t>$5.46</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$5.38</w:t>
            </w:r>
          </w:p>
        </w:tc>
        <w:tc>
          <w:tcPr>
            <w:tcW w:w="0" w:type="dxa"/>
            <w:vAlign w:val="bottom"/>
          </w:tcPr>
          <w:p>
            <w:pPr>
              <w:spacing w:after="0"/>
              <w:rPr>
                <w:sz w:val="1"/>
                <w:szCs w:val="1"/>
                <w:color w:val="auto"/>
              </w:rPr>
            </w:pPr>
          </w:p>
        </w:tc>
      </w:tr>
      <w:tr>
        <w:trPr>
          <w:trHeight w:val="19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Net earnings per share - diluted</w:t>
            </w:r>
          </w:p>
        </w:tc>
        <w:tc>
          <w:tcPr>
            <w:tcW w:w="140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$6.27</w:t>
            </w:r>
          </w:p>
        </w:tc>
        <w:tc>
          <w:tcPr>
            <w:tcW w:w="174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color w:val="282A32"/>
              </w:rPr>
              <w:t>$5.40</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282A32"/>
              </w:rPr>
              <w:t>$5.30</w:t>
            </w:r>
          </w:p>
        </w:tc>
        <w:tc>
          <w:tcPr>
            <w:tcW w:w="0" w:type="dxa"/>
            <w:vAlign w:val="bottom"/>
          </w:tcPr>
          <w:p>
            <w:pPr>
              <w:spacing w:after="0"/>
              <w:rPr>
                <w:sz w:val="1"/>
                <w:szCs w:val="1"/>
                <w:color w:val="auto"/>
              </w:rPr>
            </w:pPr>
          </w:p>
        </w:tc>
      </w:tr>
      <w:tr>
        <w:trPr>
          <w:trHeight w:val="91"/>
        </w:trPr>
        <w:tc>
          <w:tcPr>
            <w:tcW w:w="7340" w:type="dxa"/>
            <w:vAlign w:val="bottom"/>
            <w:vMerge w:val="restart"/>
          </w:tcPr>
          <w:p>
            <w:pPr>
              <w:ind w:left="40"/>
              <w:spacing w:after="0"/>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63</w:t>
            </w:r>
          </w:p>
        </w:tc>
        <w:tc>
          <w:tcPr>
            <w:tcW w:w="1400" w:type="dxa"/>
            <w:vAlign w:val="bottom"/>
            <w:shd w:val="clear" w:color="auto" w:fill="2989B9"/>
          </w:tcPr>
          <w:p>
            <w:pPr>
              <w:spacing w:after="0"/>
              <w:rPr>
                <w:sz w:val="7"/>
                <w:szCs w:val="7"/>
                <w:color w:val="auto"/>
              </w:rPr>
            </w:pPr>
          </w:p>
        </w:tc>
        <w:tc>
          <w:tcPr>
            <w:tcW w:w="2720" w:type="dxa"/>
            <w:vAlign w:val="bottom"/>
            <w:gridSpan w:val="2"/>
            <w:vMerge w:val="restart"/>
          </w:tcPr>
          <w:p>
            <w:pPr>
              <w:jc w:val="right"/>
              <w:spacing w:after="0"/>
              <w:rPr>
                <w:sz w:val="20"/>
                <w:szCs w:val="20"/>
                <w:color w:val="auto"/>
              </w:rPr>
            </w:pPr>
            <w:r>
              <w:rPr>
                <w:rFonts w:ascii="Arial" w:cs="Arial" w:eastAsia="Arial" w:hAnsi="Arial"/>
                <w:sz w:val="9"/>
                <w:szCs w:val="9"/>
                <w:color w:val="auto"/>
              </w:rPr>
              <w:t>Notes to Consolidated Financial Statements</w:t>
            </w:r>
          </w:p>
        </w:tc>
        <w:tc>
          <w:tcPr>
            <w:tcW w:w="0" w:type="dxa"/>
            <w:vAlign w:val="bottom"/>
          </w:tcPr>
          <w:p>
            <w:pPr>
              <w:spacing w:after="0"/>
              <w:rPr>
                <w:sz w:val="1"/>
                <w:szCs w:val="1"/>
                <w:color w:val="auto"/>
              </w:rPr>
            </w:pPr>
          </w:p>
        </w:tc>
      </w:tr>
      <w:tr>
        <w:trPr>
          <w:trHeight w:val="492"/>
        </w:trPr>
        <w:tc>
          <w:tcPr>
            <w:tcW w:w="7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3" w:right="219" w:bottom="1440" w:gutter="0" w:footer="0" w:header="0"/>
        </w:sectPr>
      </w:pPr>
    </w:p>
    <w:bookmarkStart w:id="88" w:name="page89"/>
    <w:bookmarkEnd w:id="88"/>
    <w:p>
      <w:pPr>
        <w:jc w:val="both"/>
        <w:spacing w:after="0" w:line="269" w:lineRule="auto"/>
        <w:rPr>
          <w:sz w:val="20"/>
          <w:szCs w:val="20"/>
          <w:color w:val="auto"/>
        </w:rPr>
      </w:pPr>
      <w:r>
        <w:rPr>
          <w:rFonts w:ascii="Arial" w:cs="Arial" w:eastAsia="Arial" w:hAnsi="Arial"/>
          <w:sz w:val="12"/>
          <w:szCs w:val="12"/>
          <w:color w:val="282A32"/>
        </w:rPr>
        <w:t>There were certain share-based awards excluded from the calculation of net earnings per share - diluted for the year ended December 31, 2016, 2015 and 2014, respectively, as the exercise prices for these awards were greater than the average market price of the common shares during the period. The number, exercise prices and weighted-average remaining life of these antidilutive awards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40" w:type="dxa"/>
            <w:vAlign w:val="bottom"/>
            <w:tcBorders>
              <w:bottom w:val="single" w:sz="8" w:color="55565A"/>
            </w:tcBorders>
          </w:tcPr>
          <w:p>
            <w:pPr>
              <w:spacing w:after="0"/>
              <w:rPr>
                <w:sz w:val="17"/>
                <w:szCs w:val="17"/>
                <w:color w:val="auto"/>
              </w:rPr>
            </w:pPr>
          </w:p>
        </w:tc>
        <w:tc>
          <w:tcPr>
            <w:tcW w:w="1400" w:type="dxa"/>
            <w:vAlign w:val="bottom"/>
            <w:tcBorders>
              <w:bottom w:val="single" w:sz="8" w:color="auto"/>
            </w:tcBorders>
            <w:shd w:val="clear" w:color="auto" w:fill="E1F4FD"/>
          </w:tcPr>
          <w:p>
            <w:pPr>
              <w:jc w:val="right"/>
              <w:ind w:right="60"/>
              <w:spacing w:after="0"/>
              <w:rPr>
                <w:sz w:val="20"/>
                <w:szCs w:val="20"/>
                <w:color w:val="auto"/>
              </w:rPr>
            </w:pPr>
            <w:r>
              <w:rPr>
                <w:rFonts w:ascii="Arial" w:cs="Arial" w:eastAsia="Arial" w:hAnsi="Arial"/>
                <w:sz w:val="11"/>
                <w:szCs w:val="11"/>
                <w:color w:val="4F8ABE"/>
              </w:rPr>
              <w:t>2016</w:t>
            </w:r>
          </w:p>
        </w:tc>
        <w:tc>
          <w:tcPr>
            <w:tcW w:w="168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color w:val="282A32"/>
              </w:rPr>
              <w:t>2015</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color w:val="282A32"/>
              </w:rPr>
              <w:t>2014</w:t>
            </w:r>
          </w:p>
        </w:tc>
      </w:tr>
      <w:tr>
        <w:trPr>
          <w:trHeight w:val="166"/>
        </w:trPr>
        <w:tc>
          <w:tcPr>
            <w:tcW w:w="7340" w:type="dxa"/>
            <w:vAlign w:val="bottom"/>
          </w:tcPr>
          <w:p>
            <w:pPr>
              <w:ind w:left="20"/>
              <w:spacing w:after="0"/>
              <w:rPr>
                <w:sz w:val="20"/>
                <w:szCs w:val="20"/>
                <w:color w:val="auto"/>
              </w:rPr>
            </w:pPr>
            <w:r>
              <w:rPr>
                <w:rFonts w:ascii="Arial" w:cs="Arial" w:eastAsia="Arial" w:hAnsi="Arial"/>
                <w:sz w:val="12"/>
                <w:szCs w:val="12"/>
                <w:color w:val="282A32"/>
              </w:rPr>
              <w:t>Shares (in thousands)</w:t>
            </w:r>
          </w:p>
        </w:tc>
        <w:tc>
          <w:tcPr>
            <w:tcW w:w="14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4F8ABE"/>
              </w:rPr>
              <w:t>20</w:t>
            </w:r>
          </w:p>
        </w:tc>
        <w:tc>
          <w:tcPr>
            <w:tcW w:w="1680" w:type="dxa"/>
            <w:vAlign w:val="bottom"/>
          </w:tcPr>
          <w:p>
            <w:pPr>
              <w:jc w:val="right"/>
              <w:ind w:right="380"/>
              <w:spacing w:after="0"/>
              <w:rPr>
                <w:sz w:val="20"/>
                <w:szCs w:val="20"/>
                <w:color w:val="auto"/>
              </w:rPr>
            </w:pPr>
            <w:r>
              <w:rPr>
                <w:rFonts w:ascii="Arial" w:cs="Arial" w:eastAsia="Arial" w:hAnsi="Arial"/>
                <w:sz w:val="12"/>
                <w:szCs w:val="12"/>
                <w:color w:val="282A32"/>
              </w:rPr>
              <w:t>20</w:t>
            </w:r>
          </w:p>
        </w:tc>
        <w:tc>
          <w:tcPr>
            <w:tcW w:w="1040" w:type="dxa"/>
            <w:vAlign w:val="bottom"/>
          </w:tcPr>
          <w:p>
            <w:pPr>
              <w:jc w:val="right"/>
              <w:ind w:right="40"/>
              <w:spacing w:after="0"/>
              <w:rPr>
                <w:sz w:val="20"/>
                <w:szCs w:val="20"/>
                <w:color w:val="auto"/>
              </w:rPr>
            </w:pPr>
            <w:r>
              <w:rPr>
                <w:rFonts w:ascii="Arial" w:cs="Arial" w:eastAsia="Arial" w:hAnsi="Arial"/>
                <w:sz w:val="12"/>
                <w:szCs w:val="12"/>
                <w:color w:val="282A32"/>
              </w:rPr>
              <w:t>692</w:t>
            </w:r>
          </w:p>
        </w:tc>
      </w:tr>
      <w:tr>
        <w:trPr>
          <w:trHeight w:val="207"/>
        </w:trPr>
        <w:tc>
          <w:tcPr>
            <w:tcW w:w="7340" w:type="dxa"/>
            <w:vAlign w:val="bottom"/>
          </w:tcPr>
          <w:p>
            <w:pPr>
              <w:ind w:left="20"/>
              <w:spacing w:after="0"/>
              <w:rPr>
                <w:sz w:val="20"/>
                <w:szCs w:val="20"/>
                <w:color w:val="auto"/>
              </w:rPr>
            </w:pPr>
            <w:r>
              <w:rPr>
                <w:rFonts w:ascii="Arial" w:cs="Arial" w:eastAsia="Arial" w:hAnsi="Arial"/>
                <w:sz w:val="12"/>
                <w:szCs w:val="12"/>
                <w:color w:val="282A32"/>
              </w:rPr>
              <w:t>Exercise price ranges</w:t>
            </w:r>
          </w:p>
        </w:tc>
        <w:tc>
          <w:tcPr>
            <w:tcW w:w="14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4F8ABE"/>
              </w:rPr>
              <w:t>$93</w:t>
            </w:r>
          </w:p>
        </w:tc>
        <w:tc>
          <w:tcPr>
            <w:tcW w:w="1680" w:type="dxa"/>
            <w:vAlign w:val="bottom"/>
          </w:tcPr>
          <w:p>
            <w:pPr>
              <w:jc w:val="right"/>
              <w:ind w:right="380"/>
              <w:spacing w:after="0"/>
              <w:rPr>
                <w:sz w:val="20"/>
                <w:szCs w:val="20"/>
                <w:color w:val="auto"/>
              </w:rPr>
            </w:pPr>
            <w:r>
              <w:rPr>
                <w:rFonts w:ascii="Arial" w:cs="Arial" w:eastAsia="Arial" w:hAnsi="Arial"/>
                <w:sz w:val="12"/>
                <w:szCs w:val="12"/>
                <w:color w:val="282A32"/>
              </w:rPr>
              <w:t>93</w:t>
            </w:r>
          </w:p>
        </w:tc>
        <w:tc>
          <w:tcPr>
            <w:tcW w:w="1040" w:type="dxa"/>
            <w:vAlign w:val="bottom"/>
          </w:tcPr>
          <w:p>
            <w:pPr>
              <w:jc w:val="right"/>
              <w:ind w:right="40"/>
              <w:spacing w:after="0"/>
              <w:rPr>
                <w:sz w:val="20"/>
                <w:szCs w:val="20"/>
                <w:color w:val="auto"/>
              </w:rPr>
            </w:pPr>
            <w:r>
              <w:rPr>
                <w:rFonts w:ascii="Arial" w:cs="Arial" w:eastAsia="Arial" w:hAnsi="Arial"/>
                <w:sz w:val="12"/>
                <w:szCs w:val="12"/>
                <w:color w:val="282A32"/>
              </w:rPr>
              <w:t>$76-$93</w:t>
            </w:r>
          </w:p>
        </w:tc>
      </w:tr>
      <w:tr>
        <w:trPr>
          <w:trHeight w:val="19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282A32"/>
              </w:rPr>
              <w:t>Weighted-average remaining life</w:t>
            </w:r>
          </w:p>
        </w:tc>
        <w:tc>
          <w:tcPr>
            <w:tcW w:w="1400" w:type="dxa"/>
            <w:vAlign w:val="bottom"/>
            <w:tcBorders>
              <w:bottom w:val="single" w:sz="8" w:color="auto"/>
            </w:tcBorders>
            <w:shd w:val="clear" w:color="auto" w:fill="E1F4FD"/>
          </w:tcPr>
          <w:p>
            <w:pPr>
              <w:jc w:val="right"/>
              <w:ind w:right="60"/>
              <w:spacing w:after="0"/>
              <w:rPr>
                <w:sz w:val="20"/>
                <w:szCs w:val="20"/>
                <w:color w:val="auto"/>
              </w:rPr>
            </w:pPr>
            <w:r>
              <w:rPr>
                <w:rFonts w:ascii="Arial" w:cs="Arial" w:eastAsia="Arial" w:hAnsi="Arial"/>
                <w:sz w:val="12"/>
                <w:szCs w:val="12"/>
                <w:color w:val="4F8ABE"/>
              </w:rPr>
              <w:t>0.4 years</w:t>
            </w:r>
          </w:p>
        </w:tc>
        <w:tc>
          <w:tcPr>
            <w:tcW w:w="1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282A32"/>
              </w:rPr>
              <w:t>1.4 years</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282A32"/>
              </w:rPr>
              <w:t>4.1 years</w:t>
            </w:r>
          </w:p>
        </w:tc>
      </w:tr>
      <w:tr>
        <w:trPr>
          <w:trHeight w:val="91"/>
        </w:trPr>
        <w:tc>
          <w:tcPr>
            <w:tcW w:w="7340" w:type="dxa"/>
            <w:vAlign w:val="bottom"/>
          </w:tcPr>
          <w:p>
            <w:pPr>
              <w:spacing w:after="0"/>
              <w:rPr>
                <w:sz w:val="7"/>
                <w:szCs w:val="7"/>
                <w:color w:val="auto"/>
              </w:rPr>
            </w:pPr>
          </w:p>
        </w:tc>
        <w:tc>
          <w:tcPr>
            <w:tcW w:w="1400" w:type="dxa"/>
            <w:vAlign w:val="bottom"/>
            <w:shd w:val="clear" w:color="auto" w:fill="2989B9"/>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2989B9"/>
        </w:rPr>
        <w:t>Note 05.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282A32"/>
        </w:rPr>
        <w:t>The provision for income taxes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720" w:type="dxa"/>
            <w:vAlign w:val="bottom"/>
            <w:tcBorders>
              <w:bottom w:val="single" w:sz="8" w:color="auto"/>
            </w:tcBorders>
            <w:shd w:val="clear" w:color="auto" w:fill="E1F4FD"/>
          </w:tcPr>
          <w:p>
            <w:pPr>
              <w:spacing w:after="0"/>
              <w:rPr>
                <w:sz w:val="13"/>
                <w:szCs w:val="13"/>
                <w:color w:val="auto"/>
              </w:rPr>
            </w:pPr>
          </w:p>
        </w:tc>
        <w:tc>
          <w:tcPr>
            <w:tcW w:w="6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color w:val="auto"/>
              </w:rPr>
              <w:t>2015</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2014</w:t>
            </w:r>
          </w:p>
        </w:tc>
      </w:tr>
      <w:tr>
        <w:trPr>
          <w:trHeight w:val="217"/>
        </w:trPr>
        <w:tc>
          <w:tcPr>
            <w:tcW w:w="7340" w:type="dxa"/>
            <w:vAlign w:val="bottom"/>
          </w:tcPr>
          <w:p>
            <w:pPr>
              <w:ind w:left="20"/>
              <w:spacing w:after="0"/>
              <w:rPr>
                <w:sz w:val="20"/>
                <w:szCs w:val="20"/>
                <w:color w:val="auto"/>
              </w:rPr>
            </w:pPr>
            <w:r>
              <w:rPr>
                <w:rFonts w:ascii="Arial" w:cs="Arial" w:eastAsia="Arial" w:hAnsi="Arial"/>
                <w:sz w:val="12"/>
                <w:szCs w:val="12"/>
                <w:color w:val="4F8ABE"/>
              </w:rPr>
              <w:t>Current</w:t>
            </w:r>
          </w:p>
        </w:tc>
        <w:tc>
          <w:tcPr>
            <w:tcW w:w="720" w:type="dxa"/>
            <w:vAlign w:val="bottom"/>
            <w:shd w:val="clear" w:color="auto" w:fill="E1F4FD"/>
          </w:tcPr>
          <w:p>
            <w:pPr>
              <w:spacing w:after="0"/>
              <w:rPr>
                <w:sz w:val="18"/>
                <w:szCs w:val="18"/>
                <w:color w:val="auto"/>
              </w:rPr>
            </w:pPr>
          </w:p>
        </w:tc>
        <w:tc>
          <w:tcPr>
            <w:tcW w:w="680" w:type="dxa"/>
            <w:vAlign w:val="bottom"/>
            <w:shd w:val="clear" w:color="auto" w:fill="E1F4FD"/>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720" w:type="dxa"/>
            <w:vAlign w:val="bottom"/>
            <w:shd w:val="clear" w:color="auto" w:fill="E1F4FD"/>
          </w:tcPr>
          <w:p>
            <w:pPr>
              <w:spacing w:after="0"/>
              <w:rPr>
                <w:sz w:val="17"/>
                <w:szCs w:val="17"/>
                <w:color w:val="auto"/>
              </w:rPr>
            </w:pPr>
          </w:p>
        </w:tc>
        <w:tc>
          <w:tcPr>
            <w:tcW w:w="680" w:type="dxa"/>
            <w:vAlign w:val="bottom"/>
            <w:shd w:val="clear" w:color="auto" w:fill="E1F4FD"/>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7340" w:type="dxa"/>
            <w:vAlign w:val="bottom"/>
          </w:tcPr>
          <w:p>
            <w:pPr>
              <w:ind w:left="240"/>
              <w:spacing w:after="0"/>
              <w:rPr>
                <w:sz w:val="20"/>
                <w:szCs w:val="20"/>
                <w:color w:val="auto"/>
              </w:rPr>
            </w:pPr>
            <w:r>
              <w:rPr>
                <w:rFonts w:ascii="Arial" w:cs="Arial" w:eastAsia="Arial" w:hAnsi="Arial"/>
                <w:sz w:val="12"/>
                <w:szCs w:val="12"/>
                <w:color w:val="auto"/>
              </w:rPr>
              <w:t>Federal</w:t>
            </w:r>
          </w:p>
        </w:tc>
        <w:tc>
          <w:tcPr>
            <w:tcW w:w="720" w:type="dxa"/>
            <w:vAlign w:val="bottom"/>
            <w:shd w:val="clear" w:color="auto" w:fill="E1F4FD"/>
          </w:tcPr>
          <w:p>
            <w:pPr>
              <w:spacing w:after="0"/>
              <w:rPr>
                <w:sz w:val="17"/>
                <w:szCs w:val="17"/>
                <w:color w:val="auto"/>
              </w:rPr>
            </w:pPr>
          </w:p>
        </w:tc>
        <w:tc>
          <w:tcPr>
            <w:tcW w:w="6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$35.6</w:t>
            </w:r>
          </w:p>
        </w:tc>
        <w:tc>
          <w:tcPr>
            <w:tcW w:w="1760" w:type="dxa"/>
            <w:vAlign w:val="bottom"/>
          </w:tcPr>
          <w:p>
            <w:pPr>
              <w:jc w:val="right"/>
              <w:ind w:right="419"/>
              <w:spacing w:after="0"/>
              <w:rPr>
                <w:sz w:val="20"/>
                <w:szCs w:val="20"/>
                <w:color w:val="auto"/>
              </w:rPr>
            </w:pPr>
            <w:r>
              <w:rPr>
                <w:rFonts w:ascii="Arial" w:cs="Arial" w:eastAsia="Arial" w:hAnsi="Arial"/>
                <w:sz w:val="12"/>
                <w:szCs w:val="12"/>
                <w:color w:val="auto"/>
              </w:rPr>
              <w:t>($8.4)</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$44.8</w:t>
            </w:r>
          </w:p>
        </w:tc>
      </w:tr>
      <w:tr>
        <w:trPr>
          <w:trHeight w:val="186"/>
        </w:trPr>
        <w:tc>
          <w:tcPr>
            <w:tcW w:w="7340" w:type="dxa"/>
            <w:vAlign w:val="bottom"/>
          </w:tcPr>
          <w:p>
            <w:pPr>
              <w:ind w:left="240"/>
              <w:spacing w:after="0"/>
              <w:rPr>
                <w:sz w:val="20"/>
                <w:szCs w:val="20"/>
                <w:color w:val="auto"/>
              </w:rPr>
            </w:pPr>
            <w:r>
              <w:rPr>
                <w:rFonts w:ascii="Arial" w:cs="Arial" w:eastAsia="Arial" w:hAnsi="Arial"/>
                <w:sz w:val="12"/>
                <w:szCs w:val="12"/>
                <w:color w:val="auto"/>
              </w:rPr>
              <w:t>State</w:t>
            </w:r>
          </w:p>
        </w:tc>
        <w:tc>
          <w:tcPr>
            <w:tcW w:w="720" w:type="dxa"/>
            <w:vAlign w:val="bottom"/>
            <w:shd w:val="clear" w:color="auto" w:fill="E1F4FD"/>
          </w:tcPr>
          <w:p>
            <w:pPr>
              <w:spacing w:after="0"/>
              <w:rPr>
                <w:sz w:val="16"/>
                <w:szCs w:val="16"/>
                <w:color w:val="auto"/>
              </w:rPr>
            </w:pPr>
          </w:p>
        </w:tc>
        <w:tc>
          <w:tcPr>
            <w:tcW w:w="6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4.0</w:t>
            </w:r>
          </w:p>
        </w:tc>
        <w:tc>
          <w:tcPr>
            <w:tcW w:w="1760" w:type="dxa"/>
            <w:vAlign w:val="bottom"/>
          </w:tcPr>
          <w:p>
            <w:pPr>
              <w:jc w:val="right"/>
              <w:ind w:right="4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7.0</w:t>
            </w:r>
          </w:p>
        </w:tc>
      </w:tr>
      <w:tr>
        <w:trPr>
          <w:trHeight w:val="19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Non-United States</w:t>
            </w:r>
          </w:p>
        </w:tc>
        <w:tc>
          <w:tcPr>
            <w:tcW w:w="720" w:type="dxa"/>
            <w:vAlign w:val="bottom"/>
            <w:tcBorders>
              <w:bottom w:val="single" w:sz="8" w:color="auto"/>
            </w:tcBorders>
            <w:shd w:val="clear" w:color="auto" w:fill="E1F4FD"/>
          </w:tcPr>
          <w:p>
            <w:pPr>
              <w:spacing w:after="0"/>
              <w:rPr>
                <w:sz w:val="16"/>
                <w:szCs w:val="16"/>
                <w:color w:val="auto"/>
              </w:rPr>
            </w:pPr>
          </w:p>
        </w:tc>
        <w:tc>
          <w:tcPr>
            <w:tcW w:w="6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144.0</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158.7</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148.2</w:t>
            </w:r>
          </w:p>
        </w:tc>
      </w:tr>
      <w:tr>
        <w:trPr>
          <w:trHeight w:val="17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current</w:t>
            </w:r>
          </w:p>
        </w:tc>
        <w:tc>
          <w:tcPr>
            <w:tcW w:w="720" w:type="dxa"/>
            <w:vAlign w:val="bottom"/>
            <w:tcBorders>
              <w:bottom w:val="single" w:sz="8" w:color="auto"/>
            </w:tcBorders>
            <w:shd w:val="clear" w:color="auto" w:fill="E1F4FD"/>
          </w:tcPr>
          <w:p>
            <w:pPr>
              <w:spacing w:after="0"/>
              <w:rPr>
                <w:sz w:val="15"/>
                <w:szCs w:val="15"/>
                <w:color w:val="auto"/>
              </w:rPr>
            </w:pPr>
          </w:p>
        </w:tc>
        <w:tc>
          <w:tcPr>
            <w:tcW w:w="6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183.6</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150.3</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200.0</w:t>
            </w:r>
          </w:p>
        </w:tc>
      </w:tr>
      <w:tr>
        <w:trPr>
          <w:trHeight w:val="220"/>
        </w:trPr>
        <w:tc>
          <w:tcPr>
            <w:tcW w:w="7340" w:type="dxa"/>
            <w:vAlign w:val="bottom"/>
          </w:tcPr>
          <w:p>
            <w:pPr>
              <w:ind w:left="20"/>
              <w:spacing w:after="0"/>
              <w:rPr>
                <w:sz w:val="20"/>
                <w:szCs w:val="20"/>
                <w:color w:val="auto"/>
              </w:rPr>
            </w:pPr>
            <w:r>
              <w:rPr>
                <w:rFonts w:ascii="Arial" w:cs="Arial" w:eastAsia="Arial" w:hAnsi="Arial"/>
                <w:sz w:val="12"/>
                <w:szCs w:val="12"/>
                <w:color w:val="4F8ABE"/>
              </w:rPr>
              <w:t>Deferred</w:t>
            </w:r>
          </w:p>
        </w:tc>
        <w:tc>
          <w:tcPr>
            <w:tcW w:w="720" w:type="dxa"/>
            <w:vAlign w:val="bottom"/>
            <w:shd w:val="clear" w:color="auto" w:fill="E1F4FD"/>
          </w:tcPr>
          <w:p>
            <w:pPr>
              <w:spacing w:after="0"/>
              <w:rPr>
                <w:sz w:val="19"/>
                <w:szCs w:val="19"/>
                <w:color w:val="auto"/>
              </w:rPr>
            </w:pPr>
          </w:p>
        </w:tc>
        <w:tc>
          <w:tcPr>
            <w:tcW w:w="680" w:type="dxa"/>
            <w:vAlign w:val="bottom"/>
            <w:shd w:val="clear" w:color="auto" w:fill="E1F4FD"/>
          </w:tcPr>
          <w:p>
            <w:pPr>
              <w:spacing w:after="0"/>
              <w:rPr>
                <w:sz w:val="19"/>
                <w:szCs w:val="19"/>
                <w:color w:val="auto"/>
              </w:rPr>
            </w:pPr>
          </w:p>
        </w:tc>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720" w:type="dxa"/>
            <w:vAlign w:val="bottom"/>
            <w:shd w:val="clear" w:color="auto" w:fill="E1F4FD"/>
          </w:tcPr>
          <w:p>
            <w:pPr>
              <w:spacing w:after="0"/>
              <w:rPr>
                <w:sz w:val="17"/>
                <w:szCs w:val="17"/>
                <w:color w:val="auto"/>
              </w:rPr>
            </w:pPr>
          </w:p>
        </w:tc>
        <w:tc>
          <w:tcPr>
            <w:tcW w:w="680" w:type="dxa"/>
            <w:vAlign w:val="bottom"/>
            <w:shd w:val="clear" w:color="auto" w:fill="E1F4FD"/>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6"/>
        </w:trPr>
        <w:tc>
          <w:tcPr>
            <w:tcW w:w="7340" w:type="dxa"/>
            <w:vAlign w:val="bottom"/>
          </w:tcPr>
          <w:p>
            <w:pPr>
              <w:ind w:left="240"/>
              <w:spacing w:after="0"/>
              <w:rPr>
                <w:sz w:val="20"/>
                <w:szCs w:val="20"/>
                <w:color w:val="auto"/>
              </w:rPr>
            </w:pPr>
            <w:r>
              <w:rPr>
                <w:rFonts w:ascii="Arial" w:cs="Arial" w:eastAsia="Arial" w:hAnsi="Arial"/>
                <w:sz w:val="12"/>
                <w:szCs w:val="12"/>
                <w:color w:val="auto"/>
              </w:rPr>
              <w:t>Federal</w:t>
            </w:r>
          </w:p>
        </w:tc>
        <w:tc>
          <w:tcPr>
            <w:tcW w:w="720" w:type="dxa"/>
            <w:vAlign w:val="bottom"/>
            <w:shd w:val="clear" w:color="auto" w:fill="E1F4FD"/>
          </w:tcPr>
          <w:p>
            <w:pPr>
              <w:spacing w:after="0"/>
              <w:rPr>
                <w:sz w:val="16"/>
                <w:szCs w:val="16"/>
                <w:color w:val="auto"/>
              </w:rPr>
            </w:pPr>
          </w:p>
        </w:tc>
        <w:tc>
          <w:tcPr>
            <w:tcW w:w="6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69.7</w:t>
            </w:r>
          </w:p>
        </w:tc>
        <w:tc>
          <w:tcPr>
            <w:tcW w:w="1760" w:type="dxa"/>
            <w:vAlign w:val="bottom"/>
          </w:tcPr>
          <w:p>
            <w:pPr>
              <w:jc w:val="right"/>
              <w:ind w:right="459"/>
              <w:spacing w:after="0"/>
              <w:rPr>
                <w:sz w:val="20"/>
                <w:szCs w:val="20"/>
                <w:color w:val="auto"/>
              </w:rPr>
            </w:pPr>
            <w:r>
              <w:rPr>
                <w:rFonts w:ascii="Arial" w:cs="Arial" w:eastAsia="Arial" w:hAnsi="Arial"/>
                <w:sz w:val="12"/>
                <w:szCs w:val="12"/>
                <w:color w:val="auto"/>
              </w:rPr>
              <w:t>92.9</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53.2</w:t>
            </w:r>
          </w:p>
        </w:tc>
      </w:tr>
      <w:tr>
        <w:trPr>
          <w:trHeight w:val="186"/>
        </w:trPr>
        <w:tc>
          <w:tcPr>
            <w:tcW w:w="7340" w:type="dxa"/>
            <w:vAlign w:val="bottom"/>
          </w:tcPr>
          <w:p>
            <w:pPr>
              <w:ind w:left="240"/>
              <w:spacing w:after="0"/>
              <w:rPr>
                <w:sz w:val="20"/>
                <w:szCs w:val="20"/>
                <w:color w:val="auto"/>
              </w:rPr>
            </w:pPr>
            <w:r>
              <w:rPr>
                <w:rFonts w:ascii="Arial" w:cs="Arial" w:eastAsia="Arial" w:hAnsi="Arial"/>
                <w:sz w:val="12"/>
                <w:szCs w:val="12"/>
                <w:color w:val="auto"/>
              </w:rPr>
              <w:t>State</w:t>
            </w:r>
          </w:p>
        </w:tc>
        <w:tc>
          <w:tcPr>
            <w:tcW w:w="720" w:type="dxa"/>
            <w:vAlign w:val="bottom"/>
            <w:shd w:val="clear" w:color="auto" w:fill="E1F4FD"/>
          </w:tcPr>
          <w:p>
            <w:pPr>
              <w:spacing w:after="0"/>
              <w:rPr>
                <w:sz w:val="16"/>
                <w:szCs w:val="16"/>
                <w:color w:val="auto"/>
              </w:rPr>
            </w:pPr>
          </w:p>
        </w:tc>
        <w:tc>
          <w:tcPr>
            <w:tcW w:w="6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0.5</w:t>
            </w:r>
          </w:p>
        </w:tc>
        <w:tc>
          <w:tcPr>
            <w:tcW w:w="1760" w:type="dxa"/>
            <w:vAlign w:val="bottom"/>
          </w:tcPr>
          <w:p>
            <w:pPr>
              <w:jc w:val="right"/>
              <w:ind w:right="459"/>
              <w:spacing w:after="0"/>
              <w:rPr>
                <w:sz w:val="20"/>
                <w:szCs w:val="20"/>
                <w:color w:val="auto"/>
              </w:rPr>
            </w:pPr>
            <w:r>
              <w:rPr>
                <w:rFonts w:ascii="Arial" w:cs="Arial" w:eastAsia="Arial" w:hAnsi="Arial"/>
                <w:sz w:val="12"/>
                <w:szCs w:val="12"/>
                <w:color w:val="auto"/>
              </w:rPr>
              <w:t>1.8</w:t>
            </w:r>
          </w:p>
        </w:tc>
        <w:tc>
          <w:tcPr>
            <w:tcW w:w="9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9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Non-United States</w:t>
            </w:r>
          </w:p>
        </w:tc>
        <w:tc>
          <w:tcPr>
            <w:tcW w:w="720" w:type="dxa"/>
            <w:vAlign w:val="bottom"/>
            <w:tcBorders>
              <w:bottom w:val="single" w:sz="8" w:color="auto"/>
            </w:tcBorders>
            <w:shd w:val="clear" w:color="auto" w:fill="E1F4FD"/>
          </w:tcPr>
          <w:p>
            <w:pPr>
              <w:spacing w:after="0"/>
              <w:rPr>
                <w:sz w:val="16"/>
                <w:szCs w:val="16"/>
                <w:color w:val="auto"/>
              </w:rPr>
            </w:pPr>
          </w:p>
        </w:tc>
        <w:tc>
          <w:tcPr>
            <w:tcW w:w="6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3.8</w:t>
            </w: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(3.5)</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2.7</w:t>
            </w:r>
          </w:p>
        </w:tc>
      </w:tr>
      <w:tr>
        <w:trPr>
          <w:trHeight w:val="17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deferred</w:t>
            </w:r>
          </w:p>
        </w:tc>
        <w:tc>
          <w:tcPr>
            <w:tcW w:w="720" w:type="dxa"/>
            <w:vAlign w:val="bottom"/>
            <w:tcBorders>
              <w:bottom w:val="single" w:sz="8" w:color="auto"/>
            </w:tcBorders>
            <w:shd w:val="clear" w:color="auto" w:fill="E1F4FD"/>
          </w:tcPr>
          <w:p>
            <w:pPr>
              <w:spacing w:after="0"/>
              <w:rPr>
                <w:sz w:val="15"/>
                <w:szCs w:val="15"/>
                <w:color w:val="auto"/>
              </w:rPr>
            </w:pPr>
          </w:p>
        </w:tc>
        <w:tc>
          <w:tcPr>
            <w:tcW w:w="6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74.0</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91.2</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54.0</w:t>
            </w:r>
          </w:p>
        </w:tc>
      </w:tr>
      <w:tr>
        <w:trPr>
          <w:trHeight w:val="19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provision</w:t>
            </w:r>
          </w:p>
        </w:tc>
        <w:tc>
          <w:tcPr>
            <w:tcW w:w="720" w:type="dxa"/>
            <w:vAlign w:val="bottom"/>
            <w:tcBorders>
              <w:bottom w:val="single" w:sz="8" w:color="auto"/>
            </w:tcBorders>
            <w:shd w:val="clear" w:color="auto" w:fill="E1F4FD"/>
          </w:tcPr>
          <w:p>
            <w:pPr>
              <w:spacing w:after="0"/>
              <w:rPr>
                <w:sz w:val="17"/>
                <w:szCs w:val="17"/>
                <w:color w:val="auto"/>
              </w:rPr>
            </w:pPr>
          </w:p>
        </w:tc>
        <w:tc>
          <w:tcPr>
            <w:tcW w:w="6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$257.6</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$241.5</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$254.0</w:t>
            </w:r>
          </w:p>
        </w:tc>
      </w:tr>
      <w:tr>
        <w:trPr>
          <w:trHeight w:val="91"/>
        </w:trPr>
        <w:tc>
          <w:tcPr>
            <w:tcW w:w="7340" w:type="dxa"/>
            <w:vAlign w:val="bottom"/>
          </w:tcPr>
          <w:p>
            <w:pPr>
              <w:spacing w:after="0"/>
              <w:rPr>
                <w:sz w:val="7"/>
                <w:szCs w:val="7"/>
                <w:color w:val="auto"/>
              </w:rPr>
            </w:pPr>
          </w:p>
        </w:tc>
        <w:tc>
          <w:tcPr>
            <w:tcW w:w="720" w:type="dxa"/>
            <w:vAlign w:val="bottom"/>
            <w:shd w:val="clear" w:color="auto" w:fill="2989B9"/>
          </w:tcPr>
          <w:p>
            <w:pPr>
              <w:spacing w:after="0"/>
              <w:rPr>
                <w:sz w:val="7"/>
                <w:szCs w:val="7"/>
                <w:color w:val="auto"/>
              </w:rPr>
            </w:pPr>
          </w:p>
        </w:tc>
        <w:tc>
          <w:tcPr>
            <w:tcW w:w="680" w:type="dxa"/>
            <w:vAlign w:val="bottom"/>
            <w:shd w:val="clear" w:color="auto" w:fill="2989B9"/>
          </w:tcPr>
          <w:p>
            <w:pPr>
              <w:spacing w:after="0"/>
              <w:rPr>
                <w:sz w:val="7"/>
                <w:szCs w:val="7"/>
                <w:color w:val="auto"/>
              </w:rPr>
            </w:pPr>
          </w:p>
        </w:tc>
        <w:tc>
          <w:tcPr>
            <w:tcW w:w="176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95"/>
        </w:trPr>
        <w:tc>
          <w:tcPr>
            <w:tcW w:w="8060" w:type="dxa"/>
            <w:vAlign w:val="bottom"/>
            <w:gridSpan w:val="2"/>
          </w:tcPr>
          <w:p>
            <w:pPr>
              <w:spacing w:after="0"/>
              <w:rPr>
                <w:sz w:val="20"/>
                <w:szCs w:val="20"/>
                <w:color w:val="auto"/>
              </w:rPr>
            </w:pPr>
            <w:r>
              <w:rPr>
                <w:rFonts w:ascii="Arial" w:cs="Arial" w:eastAsia="Arial" w:hAnsi="Arial"/>
                <w:sz w:val="12"/>
                <w:szCs w:val="12"/>
                <w:color w:val="282A32"/>
              </w:rPr>
              <w:t>A reconciliation between taxes computed at the United States Federal statutory rate of 35% and the consolidated effective tax rate is as follows:</w:t>
            </w: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98"/>
        </w:trPr>
        <w:tc>
          <w:tcPr>
            <w:tcW w:w="806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61"/>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720" w:type="dxa"/>
            <w:vAlign w:val="bottom"/>
            <w:tcBorders>
              <w:bottom w:val="single" w:sz="8" w:color="auto"/>
            </w:tcBorders>
            <w:shd w:val="clear" w:color="auto" w:fill="E1F4FD"/>
          </w:tcPr>
          <w:p>
            <w:pPr>
              <w:spacing w:after="0"/>
              <w:rPr>
                <w:sz w:val="13"/>
                <w:szCs w:val="13"/>
                <w:color w:val="auto"/>
              </w:rPr>
            </w:pPr>
          </w:p>
        </w:tc>
        <w:tc>
          <w:tcPr>
            <w:tcW w:w="6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color w:val="auto"/>
              </w:rPr>
              <w:t>2015</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2014</w:t>
            </w:r>
          </w:p>
        </w:tc>
      </w:tr>
      <w:tr>
        <w:trPr>
          <w:trHeight w:val="217"/>
        </w:trPr>
        <w:tc>
          <w:tcPr>
            <w:tcW w:w="7340" w:type="dxa"/>
            <w:vAlign w:val="bottom"/>
          </w:tcPr>
          <w:p>
            <w:pPr>
              <w:ind w:left="20"/>
              <w:spacing w:after="0"/>
              <w:rPr>
                <w:sz w:val="20"/>
                <w:szCs w:val="20"/>
                <w:color w:val="auto"/>
              </w:rPr>
            </w:pPr>
            <w:r>
              <w:rPr>
                <w:rFonts w:ascii="Arial" w:cs="Arial" w:eastAsia="Arial" w:hAnsi="Arial"/>
                <w:sz w:val="12"/>
                <w:szCs w:val="12"/>
                <w:color w:val="auto"/>
              </w:rPr>
              <w:t>Income tax based on statutory rate</w:t>
            </w:r>
          </w:p>
        </w:tc>
        <w:tc>
          <w:tcPr>
            <w:tcW w:w="720" w:type="dxa"/>
            <w:vAlign w:val="bottom"/>
            <w:shd w:val="clear" w:color="auto" w:fill="E1F4FD"/>
          </w:tcPr>
          <w:p>
            <w:pPr>
              <w:spacing w:after="0"/>
              <w:rPr>
                <w:sz w:val="18"/>
                <w:szCs w:val="18"/>
                <w:color w:val="auto"/>
              </w:rPr>
            </w:pPr>
          </w:p>
        </w:tc>
        <w:tc>
          <w:tcPr>
            <w:tcW w:w="6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$245.5</w:t>
            </w:r>
          </w:p>
        </w:tc>
        <w:tc>
          <w:tcPr>
            <w:tcW w:w="1760" w:type="dxa"/>
            <w:vAlign w:val="bottom"/>
          </w:tcPr>
          <w:p>
            <w:pPr>
              <w:jc w:val="right"/>
              <w:ind w:right="459"/>
              <w:spacing w:after="0"/>
              <w:rPr>
                <w:sz w:val="20"/>
                <w:szCs w:val="20"/>
                <w:color w:val="auto"/>
              </w:rPr>
            </w:pPr>
            <w:r>
              <w:rPr>
                <w:rFonts w:ascii="Arial" w:cs="Arial" w:eastAsia="Arial" w:hAnsi="Arial"/>
                <w:sz w:val="12"/>
                <w:szCs w:val="12"/>
                <w:color w:val="auto"/>
              </w:rPr>
              <w:t>$231.2</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$238.6</w:t>
            </w:r>
          </w:p>
        </w:tc>
      </w:tr>
      <w:tr>
        <w:trPr>
          <w:trHeight w:val="207"/>
        </w:trPr>
        <w:tc>
          <w:tcPr>
            <w:tcW w:w="7340" w:type="dxa"/>
            <w:vAlign w:val="bottom"/>
          </w:tcPr>
          <w:p>
            <w:pPr>
              <w:ind w:left="20"/>
              <w:spacing w:after="0"/>
              <w:rPr>
                <w:sz w:val="20"/>
                <w:szCs w:val="20"/>
                <w:color w:val="auto"/>
              </w:rPr>
            </w:pPr>
            <w:r>
              <w:rPr>
                <w:rFonts w:ascii="Arial" w:cs="Arial" w:eastAsia="Arial" w:hAnsi="Arial"/>
                <w:sz w:val="12"/>
                <w:szCs w:val="12"/>
                <w:color w:val="auto"/>
              </w:rPr>
              <w:t>Increase (decrease) resulting from:</w:t>
            </w:r>
          </w:p>
        </w:tc>
        <w:tc>
          <w:tcPr>
            <w:tcW w:w="720" w:type="dxa"/>
            <w:vAlign w:val="bottom"/>
            <w:shd w:val="clear" w:color="auto" w:fill="E1F4FD"/>
          </w:tcPr>
          <w:p>
            <w:pPr>
              <w:spacing w:after="0"/>
              <w:rPr>
                <w:sz w:val="17"/>
                <w:szCs w:val="17"/>
                <w:color w:val="auto"/>
              </w:rPr>
            </w:pPr>
          </w:p>
        </w:tc>
        <w:tc>
          <w:tcPr>
            <w:tcW w:w="680" w:type="dxa"/>
            <w:vAlign w:val="bottom"/>
            <w:shd w:val="clear" w:color="auto" w:fill="E1F4FD"/>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7340" w:type="dxa"/>
            <w:vAlign w:val="bottom"/>
          </w:tcPr>
          <w:p>
            <w:pPr>
              <w:ind w:left="240"/>
              <w:spacing w:after="0"/>
              <w:rPr>
                <w:sz w:val="20"/>
                <w:szCs w:val="20"/>
                <w:color w:val="auto"/>
              </w:rPr>
            </w:pPr>
            <w:r>
              <w:rPr>
                <w:rFonts w:ascii="Arial" w:cs="Arial" w:eastAsia="Arial" w:hAnsi="Arial"/>
                <w:sz w:val="12"/>
                <w:szCs w:val="12"/>
                <w:color w:val="auto"/>
              </w:rPr>
              <w:t>Non-United States tax rate difference</w:t>
            </w:r>
          </w:p>
        </w:tc>
        <w:tc>
          <w:tcPr>
            <w:tcW w:w="720" w:type="dxa"/>
            <w:vAlign w:val="bottom"/>
            <w:shd w:val="clear" w:color="auto" w:fill="E1F4FD"/>
          </w:tcPr>
          <w:p>
            <w:pPr>
              <w:spacing w:after="0"/>
              <w:rPr>
                <w:sz w:val="17"/>
                <w:szCs w:val="17"/>
                <w:color w:val="auto"/>
              </w:rPr>
            </w:pPr>
          </w:p>
        </w:tc>
        <w:tc>
          <w:tcPr>
            <w:tcW w:w="6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17.5</w:t>
            </w:r>
          </w:p>
        </w:tc>
        <w:tc>
          <w:tcPr>
            <w:tcW w:w="1760" w:type="dxa"/>
            <w:vAlign w:val="bottom"/>
          </w:tcPr>
          <w:p>
            <w:pPr>
              <w:jc w:val="right"/>
              <w:ind w:right="459"/>
              <w:spacing w:after="0"/>
              <w:rPr>
                <w:sz w:val="20"/>
                <w:szCs w:val="20"/>
                <w:color w:val="auto"/>
              </w:rPr>
            </w:pPr>
            <w:r>
              <w:rPr>
                <w:rFonts w:ascii="Arial" w:cs="Arial" w:eastAsia="Arial" w:hAnsi="Arial"/>
                <w:sz w:val="12"/>
                <w:szCs w:val="12"/>
                <w:color w:val="auto"/>
              </w:rPr>
              <w:t>20.4</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20.1</w:t>
            </w:r>
          </w:p>
        </w:tc>
      </w:tr>
      <w:tr>
        <w:trPr>
          <w:trHeight w:val="170"/>
        </w:trPr>
        <w:tc>
          <w:tcPr>
            <w:tcW w:w="7340" w:type="dxa"/>
            <w:vAlign w:val="bottom"/>
          </w:tcPr>
          <w:p>
            <w:pPr>
              <w:ind w:left="240"/>
              <w:spacing w:after="0"/>
              <w:rPr>
                <w:sz w:val="20"/>
                <w:szCs w:val="20"/>
                <w:color w:val="auto"/>
              </w:rPr>
            </w:pPr>
            <w:r>
              <w:rPr>
                <w:rFonts w:ascii="Arial" w:cs="Arial" w:eastAsia="Arial" w:hAnsi="Arial"/>
                <w:sz w:val="12"/>
                <w:szCs w:val="12"/>
                <w:color w:val="auto"/>
              </w:rPr>
              <w:t>Repatriation of non-United States earnings</w:t>
            </w:r>
          </w:p>
        </w:tc>
        <w:tc>
          <w:tcPr>
            <w:tcW w:w="72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2"/>
                <w:szCs w:val="12"/>
                <w:color w:val="4F8ABE"/>
              </w:rPr>
              <w:t>(10.5)</w:t>
            </w:r>
          </w:p>
        </w:tc>
        <w:tc>
          <w:tcPr>
            <w:tcW w:w="1760" w:type="dxa"/>
            <w:vAlign w:val="bottom"/>
          </w:tcPr>
          <w:p>
            <w:pPr>
              <w:jc w:val="right"/>
              <w:ind w:right="419"/>
              <w:spacing w:after="0"/>
              <w:rPr>
                <w:sz w:val="20"/>
                <w:szCs w:val="20"/>
                <w:color w:val="auto"/>
              </w:rPr>
            </w:pPr>
            <w:r>
              <w:rPr>
                <w:rFonts w:ascii="Arial" w:cs="Arial" w:eastAsia="Arial" w:hAnsi="Arial"/>
                <w:sz w:val="12"/>
                <w:szCs w:val="12"/>
                <w:color w:val="auto"/>
              </w:rPr>
              <w:t>(16.9)</w:t>
            </w:r>
          </w:p>
        </w:tc>
        <w:tc>
          <w:tcPr>
            <w:tcW w:w="96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86"/>
        </w:trPr>
        <w:tc>
          <w:tcPr>
            <w:tcW w:w="7340" w:type="dxa"/>
            <w:vAlign w:val="bottom"/>
          </w:tcPr>
          <w:p>
            <w:pPr>
              <w:ind w:left="240"/>
              <w:spacing w:after="0"/>
              <w:rPr>
                <w:sz w:val="20"/>
                <w:szCs w:val="20"/>
                <w:color w:val="auto"/>
              </w:rPr>
            </w:pPr>
            <w:r>
              <w:rPr>
                <w:rFonts w:ascii="Arial" w:cs="Arial" w:eastAsia="Arial" w:hAnsi="Arial"/>
                <w:sz w:val="12"/>
                <w:szCs w:val="12"/>
                <w:color w:val="auto"/>
              </w:rPr>
              <w:t>State income taxes, net of Federal benefit</w:t>
            </w:r>
          </w:p>
        </w:tc>
        <w:tc>
          <w:tcPr>
            <w:tcW w:w="72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4F8ABE"/>
              </w:rPr>
              <w:t>2.2</w:t>
            </w:r>
          </w:p>
        </w:tc>
        <w:tc>
          <w:tcPr>
            <w:tcW w:w="1760" w:type="dxa"/>
            <w:vAlign w:val="bottom"/>
          </w:tcPr>
          <w:p>
            <w:pPr>
              <w:jc w:val="right"/>
              <w:ind w:right="459"/>
              <w:spacing w:after="0"/>
              <w:rPr>
                <w:sz w:val="20"/>
                <w:szCs w:val="20"/>
                <w:color w:val="auto"/>
              </w:rPr>
            </w:pPr>
            <w:r>
              <w:rPr>
                <w:rFonts w:ascii="Arial" w:cs="Arial" w:eastAsia="Arial" w:hAnsi="Arial"/>
                <w:sz w:val="12"/>
                <w:szCs w:val="12"/>
                <w:color w:val="auto"/>
              </w:rPr>
              <w:t>2.7</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2.9</w:t>
            </w:r>
          </w:p>
        </w:tc>
      </w:tr>
      <w:tr>
        <w:trPr>
          <w:trHeight w:val="186"/>
        </w:trPr>
        <w:tc>
          <w:tcPr>
            <w:tcW w:w="7340" w:type="dxa"/>
            <w:vAlign w:val="bottom"/>
          </w:tcPr>
          <w:p>
            <w:pPr>
              <w:ind w:left="240"/>
              <w:spacing w:after="0"/>
              <w:rPr>
                <w:sz w:val="20"/>
                <w:szCs w:val="20"/>
                <w:color w:val="auto"/>
              </w:rPr>
            </w:pPr>
            <w:r>
              <w:rPr>
                <w:rFonts w:ascii="Arial" w:cs="Arial" w:eastAsia="Arial" w:hAnsi="Arial"/>
                <w:sz w:val="12"/>
                <w:szCs w:val="12"/>
                <w:color w:val="auto"/>
              </w:rPr>
              <w:t>Change in valuation allowance</w:t>
            </w:r>
          </w:p>
        </w:tc>
        <w:tc>
          <w:tcPr>
            <w:tcW w:w="7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2"/>
                <w:szCs w:val="12"/>
                <w:color w:val="4F8ABE"/>
              </w:rPr>
              <w:t>(6.0)</w:t>
            </w:r>
          </w:p>
        </w:tc>
        <w:tc>
          <w:tcPr>
            <w:tcW w:w="1760" w:type="dxa"/>
            <w:vAlign w:val="bottom"/>
          </w:tcPr>
          <w:p>
            <w:pPr>
              <w:jc w:val="right"/>
              <w:ind w:right="459"/>
              <w:spacing w:after="0"/>
              <w:rPr>
                <w:sz w:val="20"/>
                <w:szCs w:val="20"/>
                <w:color w:val="auto"/>
              </w:rPr>
            </w:pPr>
            <w:r>
              <w:rPr>
                <w:rFonts w:ascii="Arial" w:cs="Arial" w:eastAsia="Arial" w:hAnsi="Arial"/>
                <w:sz w:val="12"/>
                <w:szCs w:val="12"/>
                <w:color w:val="auto"/>
              </w:rPr>
              <w:t>3.3</w:t>
            </w:r>
          </w:p>
        </w:tc>
        <w:tc>
          <w:tcPr>
            <w:tcW w:w="960" w:type="dxa"/>
            <w:vAlign w:val="bottom"/>
          </w:tcPr>
          <w:p>
            <w:pPr>
              <w:jc w:val="right"/>
              <w:ind w:right="39"/>
              <w:spacing w:after="0"/>
              <w:rPr>
                <w:sz w:val="20"/>
                <w:szCs w:val="20"/>
                <w:color w:val="auto"/>
              </w:rPr>
            </w:pPr>
            <w:r>
              <w:rPr>
                <w:rFonts w:ascii="Arial" w:cs="Arial" w:eastAsia="Arial" w:hAnsi="Arial"/>
                <w:sz w:val="12"/>
                <w:szCs w:val="12"/>
                <w:color w:val="auto"/>
              </w:rPr>
              <w:t>5.0</w:t>
            </w:r>
          </w:p>
        </w:tc>
      </w:tr>
      <w:tr>
        <w:trPr>
          <w:trHeight w:val="194"/>
        </w:trPr>
        <w:tc>
          <w:tcPr>
            <w:tcW w:w="73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net</w:t>
            </w:r>
          </w:p>
        </w:tc>
        <w:tc>
          <w:tcPr>
            <w:tcW w:w="7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8.9</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0.8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r>
      <w:tr>
        <w:trPr>
          <w:trHeight w:val="19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Tax provision</w:t>
            </w: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$257.6</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$241.5</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$254.0</w:t>
            </w:r>
          </w:p>
        </w:tc>
      </w:tr>
      <w:tr>
        <w:trPr>
          <w:trHeight w:val="91"/>
        </w:trPr>
        <w:tc>
          <w:tcPr>
            <w:tcW w:w="7340" w:type="dxa"/>
            <w:vAlign w:val="bottom"/>
          </w:tcPr>
          <w:p>
            <w:pPr>
              <w:spacing w:after="0"/>
              <w:rPr>
                <w:sz w:val="7"/>
                <w:szCs w:val="7"/>
                <w:color w:val="auto"/>
              </w:rPr>
            </w:pPr>
          </w:p>
        </w:tc>
        <w:tc>
          <w:tcPr>
            <w:tcW w:w="720" w:type="dxa"/>
            <w:vAlign w:val="bottom"/>
            <w:shd w:val="clear" w:color="auto" w:fill="2989B9"/>
          </w:tcPr>
          <w:p>
            <w:pPr>
              <w:spacing w:after="0"/>
              <w:rPr>
                <w:sz w:val="7"/>
                <w:szCs w:val="7"/>
                <w:color w:val="auto"/>
              </w:rPr>
            </w:pPr>
          </w:p>
        </w:tc>
        <w:tc>
          <w:tcPr>
            <w:tcW w:w="680" w:type="dxa"/>
            <w:vAlign w:val="bottom"/>
            <w:shd w:val="clear" w:color="auto" w:fill="2989B9"/>
          </w:tcPr>
          <w:p>
            <w:pPr>
              <w:spacing w:after="0"/>
              <w:rPr>
                <w:sz w:val="7"/>
                <w:szCs w:val="7"/>
                <w:color w:val="auto"/>
              </w:rPr>
            </w:pPr>
          </w:p>
        </w:tc>
        <w:tc>
          <w:tcPr>
            <w:tcW w:w="176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-794385</wp:posOffset>
            </wp:positionV>
            <wp:extent cx="880110" cy="728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0110" cy="728980"/>
                    </a:xfrm>
                    <a:prstGeom prst="rect">
                      <a:avLst/>
                    </a:prstGeom>
                    <a:noFill/>
                  </pic:spPr>
                </pic:pic>
              </a:graphicData>
            </a:graphic>
          </wp:anchor>
        </w:drawing>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Included in non-United States tax rate difference are benefits of $1.8, $1.5 and $2.8 for 2016, 2015 and 2014, respectively, related to the French CICE payroll tax credit because the CICE credit is tax-free for French tax purposes. The tax benefits related to the CICE credit in excess of these amounts are offset by related increases in United States tax expense. For United States tax purposes, certain French earnings impacted by the CICE credit are treated as a deemed dividend in the current year or future years, resulting in an increase in United States tax expense.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64 </w:t>
      </w:r>
      <w:r>
        <w:rPr>
          <w:rFonts w:ascii="Arial" w:cs="Arial" w:eastAsia="Arial" w:hAnsi="Arial"/>
          <w:sz w:val="8"/>
          <w:szCs w:val="8"/>
          <w:color w:val="auto"/>
        </w:rPr>
        <w:t>| ManpowerGroup</w:t>
      </w:r>
    </w:p>
    <w:p>
      <w:pPr>
        <w:sectPr>
          <w:pgSz w:w="11900" w:h="16838" w:orient="portrait"/>
          <w:cols w:equalWidth="0" w:num="1">
            <w:col w:w="11460"/>
          </w:cols>
          <w:pgMar w:left="220" w:top="451" w:right="21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Deferred income taxes are recorded on temporary differences at the tax rate expected to be in effect when the temporary differences reverse. Temporary differences, which gave rise to the deferred taxes,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184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2015</w:t>
            </w:r>
          </w:p>
        </w:tc>
      </w:tr>
      <w:tr>
        <w:trPr>
          <w:trHeight w:val="217"/>
        </w:trPr>
        <w:tc>
          <w:tcPr>
            <w:tcW w:w="7800" w:type="dxa"/>
            <w:vAlign w:val="bottom"/>
          </w:tcPr>
          <w:p>
            <w:pPr>
              <w:ind w:left="20"/>
              <w:spacing w:after="0"/>
              <w:rPr>
                <w:sz w:val="20"/>
                <w:szCs w:val="20"/>
                <w:color w:val="auto"/>
              </w:rPr>
            </w:pPr>
            <w:r>
              <w:rPr>
                <w:rFonts w:ascii="Arial" w:cs="Arial" w:eastAsia="Arial" w:hAnsi="Arial"/>
                <w:sz w:val="12"/>
                <w:szCs w:val="12"/>
                <w:color w:val="4F8ABE"/>
              </w:rPr>
              <w:t>Future Income Tax (Expense) Benefits</w:t>
            </w:r>
          </w:p>
        </w:tc>
        <w:tc>
          <w:tcPr>
            <w:tcW w:w="1840" w:type="dxa"/>
            <w:vAlign w:val="bottom"/>
            <w:shd w:val="clear" w:color="auto" w:fill="E1F4FD"/>
          </w:tcPr>
          <w:p>
            <w:pPr>
              <w:spacing w:after="0"/>
              <w:rPr>
                <w:sz w:val="18"/>
                <w:szCs w:val="18"/>
                <w:color w:val="auto"/>
              </w:rPr>
            </w:pPr>
          </w:p>
        </w:tc>
        <w:tc>
          <w:tcPr>
            <w:tcW w:w="1820" w:type="dxa"/>
            <w:vAlign w:val="bottom"/>
          </w:tcPr>
          <w:p>
            <w:pPr>
              <w:spacing w:after="0"/>
              <w:rPr>
                <w:sz w:val="18"/>
                <w:szCs w:val="18"/>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2"/>
                <w:szCs w:val="12"/>
                <w:color w:val="auto"/>
              </w:rPr>
              <w:t>Accrued payroll taxes and insurance</w:t>
            </w:r>
          </w:p>
        </w:tc>
        <w:tc>
          <w:tcPr>
            <w:tcW w:w="184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2989B9"/>
              </w:rPr>
              <w:t>$30.6</w:t>
            </w:r>
          </w:p>
        </w:tc>
        <w:tc>
          <w:tcPr>
            <w:tcW w:w="1820" w:type="dxa"/>
            <w:vAlign w:val="bottom"/>
          </w:tcPr>
          <w:p>
            <w:pPr>
              <w:jc w:val="right"/>
              <w:ind w:right="38"/>
              <w:spacing w:after="0"/>
              <w:rPr>
                <w:sz w:val="20"/>
                <w:szCs w:val="20"/>
                <w:color w:val="auto"/>
              </w:rPr>
            </w:pPr>
            <w:r>
              <w:rPr>
                <w:rFonts w:ascii="Arial" w:cs="Arial" w:eastAsia="Arial" w:hAnsi="Arial"/>
                <w:sz w:val="12"/>
                <w:szCs w:val="12"/>
                <w:color w:val="auto"/>
              </w:rPr>
              <w:t>$31.5</w:t>
            </w:r>
          </w:p>
        </w:tc>
      </w:tr>
      <w:tr>
        <w:trPr>
          <w:trHeight w:val="170"/>
        </w:trPr>
        <w:tc>
          <w:tcPr>
            <w:tcW w:w="7800" w:type="dxa"/>
            <w:vAlign w:val="bottom"/>
          </w:tcPr>
          <w:p>
            <w:pPr>
              <w:ind w:left="20"/>
              <w:spacing w:after="0"/>
              <w:rPr>
                <w:sz w:val="20"/>
                <w:szCs w:val="20"/>
                <w:color w:val="auto"/>
              </w:rPr>
            </w:pPr>
            <w:r>
              <w:rPr>
                <w:rFonts w:ascii="Arial" w:cs="Arial" w:eastAsia="Arial" w:hAnsi="Arial"/>
                <w:sz w:val="12"/>
                <w:szCs w:val="12"/>
                <w:color w:val="auto"/>
              </w:rPr>
              <w:t>Employee compensation payable</w:t>
            </w:r>
          </w:p>
        </w:tc>
        <w:tc>
          <w:tcPr>
            <w:tcW w:w="1840" w:type="dxa"/>
            <w:vAlign w:val="bottom"/>
          </w:tcPr>
          <w:p>
            <w:pPr>
              <w:jc w:val="right"/>
              <w:ind w:right="58"/>
              <w:spacing w:after="0"/>
              <w:rPr>
                <w:sz w:val="20"/>
                <w:szCs w:val="20"/>
                <w:color w:val="auto"/>
              </w:rPr>
            </w:pPr>
            <w:r>
              <w:rPr>
                <w:rFonts w:ascii="Arial" w:cs="Arial" w:eastAsia="Arial" w:hAnsi="Arial"/>
                <w:sz w:val="12"/>
                <w:szCs w:val="12"/>
                <w:color w:val="2989B9"/>
              </w:rPr>
              <w:t>26.6</w:t>
            </w:r>
          </w:p>
        </w:tc>
        <w:tc>
          <w:tcPr>
            <w:tcW w:w="1820" w:type="dxa"/>
            <w:vAlign w:val="bottom"/>
          </w:tcPr>
          <w:p>
            <w:pPr>
              <w:jc w:val="right"/>
              <w:ind w:right="38"/>
              <w:spacing w:after="0"/>
              <w:rPr>
                <w:sz w:val="20"/>
                <w:szCs w:val="20"/>
                <w:color w:val="auto"/>
              </w:rPr>
            </w:pPr>
            <w:r>
              <w:rPr>
                <w:rFonts w:ascii="Arial" w:cs="Arial" w:eastAsia="Arial" w:hAnsi="Arial"/>
                <w:sz w:val="12"/>
                <w:szCs w:val="12"/>
                <w:color w:val="auto"/>
              </w:rPr>
              <w:t>31.7</w:t>
            </w:r>
          </w:p>
        </w:tc>
      </w:tr>
      <w:tr>
        <w:trPr>
          <w:trHeight w:val="186"/>
        </w:trPr>
        <w:tc>
          <w:tcPr>
            <w:tcW w:w="7800" w:type="dxa"/>
            <w:vAlign w:val="bottom"/>
          </w:tcPr>
          <w:p>
            <w:pPr>
              <w:ind w:left="20"/>
              <w:spacing w:after="0"/>
              <w:rPr>
                <w:sz w:val="20"/>
                <w:szCs w:val="20"/>
                <w:color w:val="auto"/>
              </w:rPr>
            </w:pPr>
            <w:r>
              <w:rPr>
                <w:rFonts w:ascii="Arial" w:cs="Arial" w:eastAsia="Arial" w:hAnsi="Arial"/>
                <w:sz w:val="12"/>
                <w:szCs w:val="12"/>
                <w:color w:val="auto"/>
              </w:rPr>
              <w:t>Pension and postretirement benefits</w:t>
            </w:r>
          </w:p>
        </w:tc>
        <w:tc>
          <w:tcPr>
            <w:tcW w:w="1840" w:type="dxa"/>
            <w:vAlign w:val="bottom"/>
          </w:tcPr>
          <w:p>
            <w:pPr>
              <w:jc w:val="right"/>
              <w:ind w:right="58"/>
              <w:spacing w:after="0"/>
              <w:rPr>
                <w:sz w:val="20"/>
                <w:szCs w:val="20"/>
                <w:color w:val="auto"/>
              </w:rPr>
            </w:pPr>
            <w:r>
              <w:rPr>
                <w:rFonts w:ascii="Arial" w:cs="Arial" w:eastAsia="Arial" w:hAnsi="Arial"/>
                <w:sz w:val="12"/>
                <w:szCs w:val="12"/>
                <w:color w:val="2989B9"/>
              </w:rPr>
              <w:t>60.7</w:t>
            </w:r>
          </w:p>
        </w:tc>
        <w:tc>
          <w:tcPr>
            <w:tcW w:w="1820" w:type="dxa"/>
            <w:vAlign w:val="bottom"/>
          </w:tcPr>
          <w:p>
            <w:pPr>
              <w:jc w:val="right"/>
              <w:ind w:right="38"/>
              <w:spacing w:after="0"/>
              <w:rPr>
                <w:sz w:val="20"/>
                <w:szCs w:val="20"/>
                <w:color w:val="auto"/>
              </w:rPr>
            </w:pPr>
            <w:r>
              <w:rPr>
                <w:rFonts w:ascii="Arial" w:cs="Arial" w:eastAsia="Arial" w:hAnsi="Arial"/>
                <w:sz w:val="12"/>
                <w:szCs w:val="12"/>
                <w:color w:val="auto"/>
              </w:rPr>
              <w:t>57.5</w:t>
            </w:r>
          </w:p>
        </w:tc>
      </w:tr>
      <w:tr>
        <w:trPr>
          <w:trHeight w:val="186"/>
        </w:trPr>
        <w:tc>
          <w:tcPr>
            <w:tcW w:w="7800" w:type="dxa"/>
            <w:vAlign w:val="bottom"/>
          </w:tcPr>
          <w:p>
            <w:pPr>
              <w:ind w:left="20"/>
              <w:spacing w:after="0"/>
              <w:rPr>
                <w:sz w:val="20"/>
                <w:szCs w:val="20"/>
                <w:color w:val="auto"/>
              </w:rPr>
            </w:pPr>
            <w:r>
              <w:rPr>
                <w:rFonts w:ascii="Arial" w:cs="Arial" w:eastAsia="Arial" w:hAnsi="Arial"/>
                <w:sz w:val="12"/>
                <w:szCs w:val="12"/>
                <w:color w:val="auto"/>
              </w:rPr>
              <w:t>Intangible assets</w:t>
            </w:r>
          </w:p>
        </w:tc>
        <w:tc>
          <w:tcPr>
            <w:tcW w:w="1840" w:type="dxa"/>
            <w:vAlign w:val="bottom"/>
          </w:tcPr>
          <w:p>
            <w:pPr>
              <w:jc w:val="right"/>
              <w:ind w:right="18"/>
              <w:spacing w:after="0"/>
              <w:rPr>
                <w:sz w:val="20"/>
                <w:szCs w:val="20"/>
                <w:color w:val="auto"/>
              </w:rPr>
            </w:pPr>
            <w:r>
              <w:rPr>
                <w:rFonts w:ascii="Arial" w:cs="Arial" w:eastAsia="Arial" w:hAnsi="Arial"/>
                <w:sz w:val="12"/>
                <w:szCs w:val="12"/>
                <w:color w:val="2989B9"/>
              </w:rPr>
              <w:t>(146.8)</w:t>
            </w:r>
          </w:p>
        </w:tc>
        <w:tc>
          <w:tcPr>
            <w:tcW w:w="1820" w:type="dxa"/>
            <w:vAlign w:val="bottom"/>
          </w:tcPr>
          <w:p>
            <w:pPr>
              <w:jc w:val="right"/>
              <w:spacing w:after="0"/>
              <w:rPr>
                <w:sz w:val="20"/>
                <w:szCs w:val="20"/>
                <w:color w:val="auto"/>
              </w:rPr>
            </w:pPr>
            <w:r>
              <w:rPr>
                <w:rFonts w:ascii="Arial" w:cs="Arial" w:eastAsia="Arial" w:hAnsi="Arial"/>
                <w:sz w:val="12"/>
                <w:szCs w:val="12"/>
                <w:color w:val="auto"/>
              </w:rPr>
              <w:t>(144.7)</w:t>
            </w:r>
          </w:p>
        </w:tc>
      </w:tr>
      <w:tr>
        <w:trPr>
          <w:trHeight w:val="186"/>
        </w:trPr>
        <w:tc>
          <w:tcPr>
            <w:tcW w:w="7800" w:type="dxa"/>
            <w:vAlign w:val="bottom"/>
          </w:tcPr>
          <w:p>
            <w:pPr>
              <w:ind w:left="20"/>
              <w:spacing w:after="0"/>
              <w:rPr>
                <w:sz w:val="20"/>
                <w:szCs w:val="20"/>
                <w:color w:val="auto"/>
              </w:rPr>
            </w:pPr>
            <w:r>
              <w:rPr>
                <w:rFonts w:ascii="Arial" w:cs="Arial" w:eastAsia="Arial" w:hAnsi="Arial"/>
                <w:sz w:val="12"/>
                <w:szCs w:val="12"/>
                <w:color w:val="auto"/>
              </w:rPr>
              <w:t>Repatriation of non-United States earnings</w:t>
            </w:r>
          </w:p>
        </w:tc>
        <w:tc>
          <w:tcPr>
            <w:tcW w:w="1840" w:type="dxa"/>
            <w:vAlign w:val="bottom"/>
          </w:tcPr>
          <w:p>
            <w:pPr>
              <w:jc w:val="right"/>
              <w:ind w:right="18"/>
              <w:spacing w:after="0"/>
              <w:rPr>
                <w:sz w:val="20"/>
                <w:szCs w:val="20"/>
                <w:color w:val="auto"/>
              </w:rPr>
            </w:pPr>
            <w:r>
              <w:rPr>
                <w:rFonts w:ascii="Arial" w:cs="Arial" w:eastAsia="Arial" w:hAnsi="Arial"/>
                <w:sz w:val="12"/>
                <w:szCs w:val="12"/>
                <w:color w:val="2989B9"/>
              </w:rPr>
              <w:t>(164.8)</w:t>
            </w:r>
          </w:p>
        </w:tc>
        <w:tc>
          <w:tcPr>
            <w:tcW w:w="1820" w:type="dxa"/>
            <w:vAlign w:val="bottom"/>
          </w:tcPr>
          <w:p>
            <w:pPr>
              <w:jc w:val="right"/>
              <w:spacing w:after="0"/>
              <w:rPr>
                <w:sz w:val="20"/>
                <w:szCs w:val="20"/>
                <w:color w:val="auto"/>
              </w:rPr>
            </w:pPr>
            <w:r>
              <w:rPr>
                <w:rFonts w:ascii="Arial" w:cs="Arial" w:eastAsia="Arial" w:hAnsi="Arial"/>
                <w:sz w:val="12"/>
                <w:szCs w:val="12"/>
                <w:color w:val="auto"/>
              </w:rPr>
              <w:t>(132.0)</w:t>
            </w:r>
          </w:p>
        </w:tc>
      </w:tr>
      <w:tr>
        <w:trPr>
          <w:trHeight w:val="186"/>
        </w:trPr>
        <w:tc>
          <w:tcPr>
            <w:tcW w:w="7800" w:type="dxa"/>
            <w:vAlign w:val="bottom"/>
          </w:tcPr>
          <w:p>
            <w:pPr>
              <w:ind w:left="20"/>
              <w:spacing w:after="0"/>
              <w:rPr>
                <w:sz w:val="20"/>
                <w:szCs w:val="20"/>
                <w:color w:val="auto"/>
              </w:rPr>
            </w:pPr>
            <w:r>
              <w:rPr>
                <w:rFonts w:ascii="Arial" w:cs="Arial" w:eastAsia="Arial" w:hAnsi="Arial"/>
                <w:sz w:val="12"/>
                <w:szCs w:val="12"/>
                <w:color w:val="auto"/>
              </w:rPr>
              <w:t>Intercompany loans denominated in foreign currencies</w:t>
            </w:r>
          </w:p>
        </w:tc>
        <w:tc>
          <w:tcPr>
            <w:tcW w:w="1840" w:type="dxa"/>
            <w:vAlign w:val="bottom"/>
          </w:tcPr>
          <w:p>
            <w:pPr>
              <w:jc w:val="right"/>
              <w:ind w:right="18"/>
              <w:spacing w:after="0"/>
              <w:rPr>
                <w:sz w:val="20"/>
                <w:szCs w:val="20"/>
                <w:color w:val="auto"/>
              </w:rPr>
            </w:pPr>
            <w:r>
              <w:rPr>
                <w:rFonts w:ascii="Arial" w:cs="Arial" w:eastAsia="Arial" w:hAnsi="Arial"/>
                <w:sz w:val="12"/>
                <w:szCs w:val="12"/>
                <w:color w:val="2989B9"/>
              </w:rPr>
              <w:t>(74.2)</w:t>
            </w:r>
          </w:p>
        </w:tc>
        <w:tc>
          <w:tcPr>
            <w:tcW w:w="1820" w:type="dxa"/>
            <w:vAlign w:val="bottom"/>
          </w:tcPr>
          <w:p>
            <w:pPr>
              <w:jc w:val="right"/>
              <w:spacing w:after="0"/>
              <w:rPr>
                <w:sz w:val="20"/>
                <w:szCs w:val="20"/>
                <w:color w:val="auto"/>
              </w:rPr>
            </w:pPr>
            <w:r>
              <w:rPr>
                <w:rFonts w:ascii="Arial" w:cs="Arial" w:eastAsia="Arial" w:hAnsi="Arial"/>
                <w:sz w:val="12"/>
                <w:szCs w:val="12"/>
                <w:color w:val="auto"/>
              </w:rPr>
              <w:t>(61.2)</w:t>
            </w:r>
          </w:p>
        </w:tc>
      </w:tr>
      <w:tr>
        <w:trPr>
          <w:trHeight w:val="186"/>
        </w:trPr>
        <w:tc>
          <w:tcPr>
            <w:tcW w:w="7800" w:type="dxa"/>
            <w:vAlign w:val="bottom"/>
          </w:tcPr>
          <w:p>
            <w:pPr>
              <w:ind w:left="20"/>
              <w:spacing w:after="0"/>
              <w:rPr>
                <w:sz w:val="20"/>
                <w:szCs w:val="20"/>
                <w:color w:val="auto"/>
              </w:rPr>
            </w:pPr>
            <w:r>
              <w:rPr>
                <w:rFonts w:ascii="Arial" w:cs="Arial" w:eastAsia="Arial" w:hAnsi="Arial"/>
                <w:sz w:val="12"/>
                <w:szCs w:val="12"/>
                <w:color w:val="auto"/>
              </w:rPr>
              <w:t>Net operating losses</w:t>
            </w:r>
          </w:p>
        </w:tc>
        <w:tc>
          <w:tcPr>
            <w:tcW w:w="1840" w:type="dxa"/>
            <w:vAlign w:val="bottom"/>
          </w:tcPr>
          <w:p>
            <w:pPr>
              <w:jc w:val="right"/>
              <w:ind w:right="58"/>
              <w:spacing w:after="0"/>
              <w:rPr>
                <w:sz w:val="20"/>
                <w:szCs w:val="20"/>
                <w:color w:val="auto"/>
              </w:rPr>
            </w:pPr>
            <w:r>
              <w:rPr>
                <w:rFonts w:ascii="Arial" w:cs="Arial" w:eastAsia="Arial" w:hAnsi="Arial"/>
                <w:sz w:val="12"/>
                <w:szCs w:val="12"/>
                <w:color w:val="2989B9"/>
              </w:rPr>
              <w:t>92.7</w:t>
            </w:r>
          </w:p>
        </w:tc>
        <w:tc>
          <w:tcPr>
            <w:tcW w:w="1820" w:type="dxa"/>
            <w:vAlign w:val="bottom"/>
          </w:tcPr>
          <w:p>
            <w:pPr>
              <w:jc w:val="right"/>
              <w:ind w:right="38"/>
              <w:spacing w:after="0"/>
              <w:rPr>
                <w:sz w:val="20"/>
                <w:szCs w:val="20"/>
                <w:color w:val="auto"/>
              </w:rPr>
            </w:pPr>
            <w:r>
              <w:rPr>
                <w:rFonts w:ascii="Arial" w:cs="Arial" w:eastAsia="Arial" w:hAnsi="Arial"/>
                <w:sz w:val="12"/>
                <w:szCs w:val="12"/>
                <w:color w:val="auto"/>
              </w:rPr>
              <w:t>106.5</w:t>
            </w:r>
          </w:p>
        </w:tc>
      </w:tr>
      <w:tr>
        <w:trPr>
          <w:trHeight w:val="186"/>
        </w:trPr>
        <w:tc>
          <w:tcPr>
            <w:tcW w:w="7800" w:type="dxa"/>
            <w:vAlign w:val="bottom"/>
          </w:tcPr>
          <w:p>
            <w:pPr>
              <w:ind w:left="20"/>
              <w:spacing w:after="0"/>
              <w:rPr>
                <w:sz w:val="20"/>
                <w:szCs w:val="20"/>
                <w:color w:val="auto"/>
              </w:rPr>
            </w:pPr>
            <w:r>
              <w:rPr>
                <w:rFonts w:ascii="Arial" w:cs="Arial" w:eastAsia="Arial" w:hAnsi="Arial"/>
                <w:sz w:val="12"/>
                <w:szCs w:val="12"/>
                <w:color w:val="auto"/>
              </w:rPr>
              <w:t>Other</w:t>
            </w:r>
          </w:p>
        </w:tc>
        <w:tc>
          <w:tcPr>
            <w:tcW w:w="1840" w:type="dxa"/>
            <w:vAlign w:val="bottom"/>
          </w:tcPr>
          <w:p>
            <w:pPr>
              <w:jc w:val="right"/>
              <w:ind w:right="58"/>
              <w:spacing w:after="0"/>
              <w:rPr>
                <w:sz w:val="20"/>
                <w:szCs w:val="20"/>
                <w:color w:val="auto"/>
              </w:rPr>
            </w:pPr>
            <w:r>
              <w:rPr>
                <w:rFonts w:ascii="Arial" w:cs="Arial" w:eastAsia="Arial" w:hAnsi="Arial"/>
                <w:sz w:val="12"/>
                <w:szCs w:val="12"/>
                <w:color w:val="2989B9"/>
              </w:rPr>
              <w:t>120.7</w:t>
            </w:r>
          </w:p>
        </w:tc>
        <w:tc>
          <w:tcPr>
            <w:tcW w:w="1820" w:type="dxa"/>
            <w:vAlign w:val="bottom"/>
          </w:tcPr>
          <w:p>
            <w:pPr>
              <w:jc w:val="right"/>
              <w:ind w:right="38"/>
              <w:spacing w:after="0"/>
              <w:rPr>
                <w:sz w:val="20"/>
                <w:szCs w:val="20"/>
                <w:color w:val="auto"/>
              </w:rPr>
            </w:pPr>
            <w:r>
              <w:rPr>
                <w:rFonts w:ascii="Arial" w:cs="Arial" w:eastAsia="Arial" w:hAnsi="Arial"/>
                <w:sz w:val="12"/>
                <w:szCs w:val="12"/>
                <w:color w:val="auto"/>
              </w:rPr>
              <w:t>133.1</w:t>
            </w:r>
          </w:p>
        </w:tc>
      </w:tr>
      <w:tr>
        <w:trPr>
          <w:trHeight w:val="194"/>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Valuation allowance</w:t>
            </w: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2989B9"/>
              </w:rPr>
              <w:t>(86.3)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(95.9)</w:t>
            </w:r>
          </w:p>
        </w:tc>
      </w:tr>
      <w:tr>
        <w:trPr>
          <w:trHeight w:val="197"/>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future tax expense</w:t>
            </w: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2989B9"/>
              </w:rPr>
              <w:t>($140.8)</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($73.5)</w:t>
            </w:r>
          </w:p>
        </w:tc>
      </w:tr>
      <w:tr>
        <w:trPr>
          <w:trHeight w:val="169"/>
        </w:trPr>
        <w:tc>
          <w:tcPr>
            <w:tcW w:w="7800" w:type="dxa"/>
            <w:vAlign w:val="bottom"/>
          </w:tcPr>
          <w:p>
            <w:pPr>
              <w:ind w:left="20"/>
              <w:spacing w:after="0"/>
              <w:rPr>
                <w:sz w:val="20"/>
                <w:szCs w:val="20"/>
                <w:color w:val="auto"/>
              </w:rPr>
            </w:pPr>
            <w:r>
              <w:rPr>
                <w:rFonts w:ascii="Arial" w:cs="Arial" w:eastAsia="Arial" w:hAnsi="Arial"/>
                <w:sz w:val="12"/>
                <w:szCs w:val="12"/>
                <w:color w:val="auto"/>
              </w:rPr>
              <w:t>Deferred tax asset</w:t>
            </w:r>
          </w:p>
        </w:tc>
        <w:tc>
          <w:tcPr>
            <w:tcW w:w="1840" w:type="dxa"/>
            <w:vAlign w:val="bottom"/>
          </w:tcPr>
          <w:p>
            <w:pPr>
              <w:jc w:val="right"/>
              <w:ind w:right="58"/>
              <w:spacing w:after="0"/>
              <w:rPr>
                <w:sz w:val="20"/>
                <w:szCs w:val="20"/>
                <w:color w:val="auto"/>
              </w:rPr>
            </w:pPr>
            <w:r>
              <w:rPr>
                <w:rFonts w:ascii="Arial" w:cs="Arial" w:eastAsia="Arial" w:hAnsi="Arial"/>
                <w:sz w:val="12"/>
                <w:szCs w:val="12"/>
                <w:color w:val="2989B9"/>
              </w:rPr>
              <w:t>81.4</w:t>
            </w:r>
          </w:p>
        </w:tc>
        <w:tc>
          <w:tcPr>
            <w:tcW w:w="1820" w:type="dxa"/>
            <w:vAlign w:val="bottom"/>
          </w:tcPr>
          <w:p>
            <w:pPr>
              <w:jc w:val="right"/>
              <w:ind w:right="38"/>
              <w:spacing w:after="0"/>
              <w:rPr>
                <w:sz w:val="20"/>
                <w:szCs w:val="20"/>
                <w:color w:val="auto"/>
              </w:rPr>
            </w:pPr>
            <w:r>
              <w:rPr>
                <w:rFonts w:ascii="Arial" w:cs="Arial" w:eastAsia="Arial" w:hAnsi="Arial"/>
                <w:sz w:val="12"/>
                <w:szCs w:val="12"/>
                <w:color w:val="auto"/>
              </w:rPr>
              <w:t>83.9</w:t>
            </w:r>
          </w:p>
        </w:tc>
      </w:tr>
      <w:tr>
        <w:trPr>
          <w:trHeight w:val="194"/>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Deferred tax liability</w:t>
            </w: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2989B9"/>
              </w:rPr>
              <w:t>(222.2)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(157.4)</w:t>
            </w:r>
          </w:p>
        </w:tc>
      </w:tr>
      <w:tr>
        <w:trPr>
          <w:trHeight w:val="197"/>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future tax expense</w:t>
            </w: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2989B9"/>
              </w:rPr>
              <w:t>($140.8)</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($73.5)</w:t>
            </w:r>
          </w:p>
        </w:tc>
      </w:tr>
      <w:tr>
        <w:trPr>
          <w:trHeight w:val="91"/>
        </w:trPr>
        <w:tc>
          <w:tcPr>
            <w:tcW w:w="7800" w:type="dxa"/>
            <w:vAlign w:val="bottom"/>
          </w:tcPr>
          <w:p>
            <w:pPr>
              <w:spacing w:after="0"/>
              <w:rPr>
                <w:sz w:val="7"/>
                <w:szCs w:val="7"/>
                <w:color w:val="auto"/>
              </w:rPr>
            </w:pPr>
          </w:p>
        </w:tc>
        <w:tc>
          <w:tcPr>
            <w:tcW w:w="1840" w:type="dxa"/>
            <w:vAlign w:val="bottom"/>
            <w:shd w:val="clear" w:color="auto" w:fill="2989B9"/>
          </w:tcPr>
          <w:p>
            <w:pPr>
              <w:spacing w:after="0"/>
              <w:rPr>
                <w:sz w:val="7"/>
                <w:szCs w:val="7"/>
                <w:color w:val="auto"/>
              </w:rPr>
            </w:pPr>
          </w:p>
        </w:tc>
        <w:tc>
          <w:tcPr>
            <w:tcW w:w="18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-1661160</wp:posOffset>
            </wp:positionV>
            <wp:extent cx="1162685" cy="15963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62685" cy="1596390"/>
                    </a:xfrm>
                    <a:prstGeom prst="rect">
                      <a:avLst/>
                    </a:prstGeom>
                    <a:noFill/>
                  </pic:spPr>
                </pic:pic>
              </a:graphicData>
            </a:graphic>
          </wp:anchor>
        </w:drawing>
      </w:r>
    </w:p>
    <w:p>
      <w:pPr>
        <w:spacing w:after="0" w:line="106"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We had United States Federal and non-United States net operating loss carryforwards and United States state net operating loss carryforwards totaling $350.0 and $256.8, respectively, as of December 31, 2016. The net operating loss carryforwards expire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tcPr>
          <w:p>
            <w:pPr>
              <w:spacing w:after="0"/>
              <w:rPr>
                <w:sz w:val="10"/>
                <w:szCs w:val="10"/>
                <w:color w:val="auto"/>
              </w:rPr>
            </w:pPr>
          </w:p>
        </w:tc>
        <w:tc>
          <w:tcPr>
            <w:tcW w:w="4860" w:type="dxa"/>
            <w:vAlign w:val="bottom"/>
          </w:tcPr>
          <w:p>
            <w:pPr>
              <w:jc w:val="right"/>
              <w:ind w:right="519"/>
              <w:spacing w:after="0"/>
              <w:rPr>
                <w:sz w:val="20"/>
                <w:szCs w:val="20"/>
                <w:color w:val="auto"/>
              </w:rPr>
            </w:pPr>
            <w:r>
              <w:rPr>
                <w:rFonts w:ascii="Arial" w:cs="Arial" w:eastAsia="Arial" w:hAnsi="Arial"/>
                <w:sz w:val="11"/>
                <w:szCs w:val="11"/>
                <w:color w:val="auto"/>
              </w:rPr>
              <w:t>United States Federal</w:t>
            </w:r>
          </w:p>
        </w:tc>
        <w:tc>
          <w:tcPr>
            <w:tcW w:w="1360" w:type="dxa"/>
            <w:vAlign w:val="bottom"/>
          </w:tcPr>
          <w:p>
            <w:pPr>
              <w:jc w:val="right"/>
              <w:ind w:right="39"/>
              <w:spacing w:after="0"/>
              <w:rPr>
                <w:sz w:val="20"/>
                <w:szCs w:val="20"/>
                <w:color w:val="auto"/>
              </w:rPr>
            </w:pPr>
            <w:r>
              <w:rPr>
                <w:rFonts w:ascii="Arial" w:cs="Arial" w:eastAsia="Arial" w:hAnsi="Arial"/>
                <w:sz w:val="11"/>
                <w:szCs w:val="11"/>
                <w:color w:val="auto"/>
              </w:rPr>
              <w:t>United States</w:t>
            </w:r>
          </w:p>
        </w:tc>
      </w:tr>
      <w:tr>
        <w:trPr>
          <w:trHeight w:val="136"/>
        </w:trPr>
        <w:tc>
          <w:tcPr>
            <w:tcW w:w="5240" w:type="dxa"/>
            <w:vAlign w:val="bottom"/>
            <w:tcBorders>
              <w:bottom w:val="single" w:sz="8" w:color="auto"/>
            </w:tcBorders>
          </w:tcPr>
          <w:p>
            <w:pPr>
              <w:spacing w:after="0"/>
              <w:rPr>
                <w:sz w:val="11"/>
                <w:szCs w:val="11"/>
                <w:color w:val="auto"/>
              </w:rPr>
            </w:pPr>
          </w:p>
        </w:tc>
        <w:tc>
          <w:tcPr>
            <w:tcW w:w="48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color w:val="auto"/>
              </w:rPr>
              <w:t>and Non-United States</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State</w:t>
            </w:r>
          </w:p>
        </w:tc>
      </w:tr>
      <w:tr>
        <w:trPr>
          <w:trHeight w:val="186"/>
        </w:trPr>
        <w:tc>
          <w:tcPr>
            <w:tcW w:w="5240" w:type="dxa"/>
            <w:vAlign w:val="bottom"/>
          </w:tcPr>
          <w:p>
            <w:pPr>
              <w:ind w:left="20"/>
              <w:spacing w:after="0"/>
              <w:rPr>
                <w:sz w:val="20"/>
                <w:szCs w:val="20"/>
                <w:color w:val="auto"/>
              </w:rPr>
            </w:pPr>
            <w:r>
              <w:rPr>
                <w:rFonts w:ascii="Arial" w:cs="Arial" w:eastAsia="Arial" w:hAnsi="Arial"/>
                <w:sz w:val="12"/>
                <w:szCs w:val="12"/>
                <w:color w:val="auto"/>
              </w:rPr>
              <w:t>2017</w:t>
            </w:r>
          </w:p>
        </w:tc>
        <w:tc>
          <w:tcPr>
            <w:tcW w:w="4860" w:type="dxa"/>
            <w:vAlign w:val="bottom"/>
          </w:tcPr>
          <w:p>
            <w:pPr>
              <w:jc w:val="right"/>
              <w:ind w:right="519"/>
              <w:spacing w:after="0"/>
              <w:rPr>
                <w:sz w:val="20"/>
                <w:szCs w:val="20"/>
                <w:color w:val="auto"/>
              </w:rPr>
            </w:pPr>
            <w:r>
              <w:rPr>
                <w:rFonts w:ascii="Arial" w:cs="Arial" w:eastAsia="Arial" w:hAnsi="Arial"/>
                <w:sz w:val="12"/>
                <w:szCs w:val="12"/>
                <w:color w:val="auto"/>
              </w:rPr>
              <w:t>$1.1</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$3.8</w:t>
            </w:r>
          </w:p>
        </w:tc>
      </w:tr>
      <w:tr>
        <w:trPr>
          <w:trHeight w:val="186"/>
        </w:trPr>
        <w:tc>
          <w:tcPr>
            <w:tcW w:w="5240" w:type="dxa"/>
            <w:vAlign w:val="bottom"/>
          </w:tcPr>
          <w:p>
            <w:pPr>
              <w:ind w:left="20"/>
              <w:spacing w:after="0"/>
              <w:rPr>
                <w:sz w:val="20"/>
                <w:szCs w:val="20"/>
                <w:color w:val="auto"/>
              </w:rPr>
            </w:pPr>
            <w:r>
              <w:rPr>
                <w:rFonts w:ascii="Arial" w:cs="Arial" w:eastAsia="Arial" w:hAnsi="Arial"/>
                <w:sz w:val="12"/>
                <w:szCs w:val="12"/>
                <w:color w:val="auto"/>
              </w:rPr>
              <w:t>2018</w:t>
            </w:r>
          </w:p>
        </w:tc>
        <w:tc>
          <w:tcPr>
            <w:tcW w:w="4860" w:type="dxa"/>
            <w:vAlign w:val="bottom"/>
          </w:tcPr>
          <w:p>
            <w:pPr>
              <w:jc w:val="right"/>
              <w:ind w:right="519"/>
              <w:spacing w:after="0"/>
              <w:rPr>
                <w:sz w:val="20"/>
                <w:szCs w:val="20"/>
                <w:color w:val="auto"/>
              </w:rPr>
            </w:pPr>
            <w:r>
              <w:rPr>
                <w:rFonts w:ascii="Arial" w:cs="Arial" w:eastAsia="Arial" w:hAnsi="Arial"/>
                <w:sz w:val="12"/>
                <w:szCs w:val="12"/>
                <w:color w:val="auto"/>
              </w:rPr>
              <w:t>1.3</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5.5</w:t>
            </w:r>
          </w:p>
        </w:tc>
      </w:tr>
      <w:tr>
        <w:trPr>
          <w:trHeight w:val="186"/>
        </w:trPr>
        <w:tc>
          <w:tcPr>
            <w:tcW w:w="5240" w:type="dxa"/>
            <w:vAlign w:val="bottom"/>
          </w:tcPr>
          <w:p>
            <w:pPr>
              <w:ind w:left="20"/>
              <w:spacing w:after="0"/>
              <w:rPr>
                <w:sz w:val="20"/>
                <w:szCs w:val="20"/>
                <w:color w:val="auto"/>
              </w:rPr>
            </w:pPr>
            <w:r>
              <w:rPr>
                <w:rFonts w:ascii="Arial" w:cs="Arial" w:eastAsia="Arial" w:hAnsi="Arial"/>
                <w:sz w:val="12"/>
                <w:szCs w:val="12"/>
                <w:color w:val="auto"/>
              </w:rPr>
              <w:t>2019</w:t>
            </w:r>
          </w:p>
        </w:tc>
        <w:tc>
          <w:tcPr>
            <w:tcW w:w="4860" w:type="dxa"/>
            <w:vAlign w:val="bottom"/>
          </w:tcPr>
          <w:p>
            <w:pPr>
              <w:jc w:val="right"/>
              <w:ind w:right="519"/>
              <w:spacing w:after="0"/>
              <w:rPr>
                <w:sz w:val="20"/>
                <w:szCs w:val="20"/>
                <w:color w:val="auto"/>
              </w:rPr>
            </w:pPr>
            <w:r>
              <w:rPr>
                <w:rFonts w:ascii="Arial" w:cs="Arial" w:eastAsia="Arial" w:hAnsi="Arial"/>
                <w:sz w:val="12"/>
                <w:szCs w:val="12"/>
                <w:color w:val="auto"/>
              </w:rPr>
              <w:t>7.0</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3.8</w:t>
            </w:r>
          </w:p>
        </w:tc>
      </w:tr>
      <w:tr>
        <w:trPr>
          <w:trHeight w:val="186"/>
        </w:trPr>
        <w:tc>
          <w:tcPr>
            <w:tcW w:w="5240" w:type="dxa"/>
            <w:vAlign w:val="bottom"/>
          </w:tcPr>
          <w:p>
            <w:pPr>
              <w:ind w:left="20"/>
              <w:spacing w:after="0"/>
              <w:rPr>
                <w:sz w:val="20"/>
                <w:szCs w:val="20"/>
                <w:color w:val="auto"/>
              </w:rPr>
            </w:pPr>
            <w:r>
              <w:rPr>
                <w:rFonts w:ascii="Arial" w:cs="Arial" w:eastAsia="Arial" w:hAnsi="Arial"/>
                <w:sz w:val="12"/>
                <w:szCs w:val="12"/>
                <w:color w:val="auto"/>
              </w:rPr>
              <w:t>2020</w:t>
            </w:r>
          </w:p>
        </w:tc>
        <w:tc>
          <w:tcPr>
            <w:tcW w:w="4860" w:type="dxa"/>
            <w:vAlign w:val="bottom"/>
          </w:tcPr>
          <w:p>
            <w:pPr>
              <w:jc w:val="right"/>
              <w:ind w:right="519"/>
              <w:spacing w:after="0"/>
              <w:rPr>
                <w:sz w:val="20"/>
                <w:szCs w:val="20"/>
                <w:color w:val="auto"/>
              </w:rPr>
            </w:pPr>
            <w:r>
              <w:rPr>
                <w:rFonts w:ascii="Arial" w:cs="Arial" w:eastAsia="Arial" w:hAnsi="Arial"/>
                <w:sz w:val="12"/>
                <w:szCs w:val="12"/>
                <w:color w:val="auto"/>
              </w:rPr>
              <w:t>3.3</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186"/>
        </w:trPr>
        <w:tc>
          <w:tcPr>
            <w:tcW w:w="5240" w:type="dxa"/>
            <w:vAlign w:val="bottom"/>
          </w:tcPr>
          <w:p>
            <w:pPr>
              <w:ind w:left="20"/>
              <w:spacing w:after="0"/>
              <w:rPr>
                <w:sz w:val="20"/>
                <w:szCs w:val="20"/>
                <w:color w:val="auto"/>
              </w:rPr>
            </w:pPr>
            <w:r>
              <w:rPr>
                <w:rFonts w:ascii="Arial" w:cs="Arial" w:eastAsia="Arial" w:hAnsi="Arial"/>
                <w:sz w:val="12"/>
                <w:szCs w:val="12"/>
                <w:color w:val="auto"/>
              </w:rPr>
              <w:t>2021</w:t>
            </w:r>
          </w:p>
        </w:tc>
        <w:tc>
          <w:tcPr>
            <w:tcW w:w="4860" w:type="dxa"/>
            <w:vAlign w:val="bottom"/>
          </w:tcPr>
          <w:p>
            <w:pPr>
              <w:jc w:val="right"/>
              <w:ind w:right="519"/>
              <w:spacing w:after="0"/>
              <w:rPr>
                <w:sz w:val="20"/>
                <w:szCs w:val="20"/>
                <w:color w:val="auto"/>
              </w:rPr>
            </w:pPr>
            <w:r>
              <w:rPr>
                <w:rFonts w:ascii="Arial" w:cs="Arial" w:eastAsia="Arial" w:hAnsi="Arial"/>
                <w:sz w:val="12"/>
                <w:szCs w:val="12"/>
                <w:color w:val="auto"/>
              </w:rPr>
              <w:t>4.4</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186"/>
        </w:trPr>
        <w:tc>
          <w:tcPr>
            <w:tcW w:w="5240" w:type="dxa"/>
            <w:vAlign w:val="bottom"/>
          </w:tcPr>
          <w:p>
            <w:pPr>
              <w:ind w:left="20"/>
              <w:spacing w:after="0"/>
              <w:rPr>
                <w:sz w:val="20"/>
                <w:szCs w:val="20"/>
                <w:color w:val="auto"/>
              </w:rPr>
            </w:pPr>
            <w:r>
              <w:rPr>
                <w:rFonts w:ascii="Arial" w:cs="Arial" w:eastAsia="Arial" w:hAnsi="Arial"/>
                <w:sz w:val="12"/>
                <w:szCs w:val="12"/>
                <w:color w:val="auto"/>
              </w:rPr>
              <w:t>Thereafter</w:t>
            </w:r>
          </w:p>
        </w:tc>
        <w:tc>
          <w:tcPr>
            <w:tcW w:w="4860" w:type="dxa"/>
            <w:vAlign w:val="bottom"/>
          </w:tcPr>
          <w:p>
            <w:pPr>
              <w:jc w:val="right"/>
              <w:ind w:right="519"/>
              <w:spacing w:after="0"/>
              <w:rPr>
                <w:sz w:val="20"/>
                <w:szCs w:val="20"/>
                <w:color w:val="auto"/>
              </w:rPr>
            </w:pPr>
            <w:r>
              <w:rPr>
                <w:rFonts w:ascii="Arial" w:cs="Arial" w:eastAsia="Arial" w:hAnsi="Arial"/>
                <w:sz w:val="12"/>
                <w:szCs w:val="12"/>
                <w:color w:val="auto"/>
              </w:rPr>
              <w:t>23.4</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243.7</w:t>
            </w:r>
          </w:p>
        </w:tc>
      </w:tr>
      <w:tr>
        <w:trPr>
          <w:trHeight w:val="19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 expirations</w:t>
            </w:r>
          </w:p>
        </w:tc>
        <w:tc>
          <w:tcPr>
            <w:tcW w:w="486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rPr>
              <w:t>309.5</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r>
      <w:tr>
        <w:trPr>
          <w:trHeight w:val="19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net operating loss carryforwards</w:t>
            </w:r>
          </w:p>
        </w:tc>
        <w:tc>
          <w:tcPr>
            <w:tcW w:w="486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rPr>
              <w:t>$350.0</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$256.8</w:t>
            </w:r>
          </w:p>
        </w:tc>
      </w:tr>
    </w:tbl>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282A32"/>
        </w:rPr>
        <w:t>We have recorded a deferred tax asset of $92.7 as of December 31, 2016, for the benefit of these net operating losses. Realization of this asset is dependent on generating sufficient taxable income prior to the expiration of the loss carryforwards. A related valuation allowance of $75.9 has been recorded as of December 31, 2016, as management believes that realization of certain net operating loss carryforwards is unlikely.</w:t>
      </w: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Pre-tax earnings of non-United States operations were $482.2, $511.2 and $485.9 in 2016, 2015 and 2014, respectively. We have not provided United States income taxes or non-United States withholding taxes on $555.3 of unremitted earnings of non-United States subsidiaries that are considered to be permanently invested. As of December 31, 2016, deferred taxes are provided on $774.7 of unremitted earnings of non-United States subsidiaries that may be remitted to the United States. As of December 31, 2016 and 2015, we have recorded a deferred tax liability of $164.8 and $132.0, respectively, related to these non-United States earnings that may be remitted.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282A32"/>
        </w:rPr>
        <w:t>As of December 31, 2016, we had gross unrecognized tax benefits related to various tax jurisdictions, including interest and penalties, of $44.0 that would favorably affect the effective tax rate if recognized.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82A32"/>
        </w:rPr>
        <w:t>Our unrecognized tax benefits may decrease over the next 12 months pending resolution of certain tax audits during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65</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90" w:name="page91"/>
    <w:bookmarkEnd w:id="90"/>
    <w:p>
      <w:pPr>
        <w:spacing w:after="0"/>
        <w:rPr>
          <w:sz w:val="20"/>
          <w:szCs w:val="20"/>
          <w:color w:val="auto"/>
        </w:rPr>
      </w:pPr>
      <w:r>
        <w:rPr>
          <w:rFonts w:ascii="Arial" w:cs="Arial" w:eastAsia="Arial" w:hAnsi="Arial"/>
          <w:sz w:val="12"/>
          <w:szCs w:val="12"/>
          <w:color w:val="282A32"/>
        </w:rPr>
        <w:t>As of December 31, 2015, we had gross unrecognized tax benefits related to various tax jurisdictions, including interest and penalties, of $38.9.</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 xml:space="preserve">We recognize accrued interest and penalties related to unrecognized tax benefits in income tax expense. We accrued net interest and penalties of $0.3 and $12.1 in 2016 </w:t>
      </w:r>
      <w:r>
        <w:rPr>
          <w:rFonts w:ascii="Arial" w:cs="Arial" w:eastAsia="Arial" w:hAnsi="Arial"/>
          <w:sz w:val="12"/>
          <w:szCs w:val="12"/>
          <w:color w:val="000000"/>
        </w:rPr>
        <w:t>and</w:t>
      </w:r>
      <w:r>
        <w:rPr>
          <w:rFonts w:ascii="Arial" w:cs="Arial" w:eastAsia="Arial" w:hAnsi="Arial"/>
          <w:sz w:val="12"/>
          <w:szCs w:val="12"/>
          <w:color w:val="282A32"/>
        </w:rPr>
        <w:t xml:space="preserve"> 2015, respectively, and recorded a benefit of $0.6 in 2014.</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activity related to our unrecognized tax benefits during 2016, 2015 and 2014: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80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color w:val="auto"/>
              </w:rPr>
              <w:t>2015</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2014</w:t>
            </w:r>
          </w:p>
        </w:tc>
      </w:tr>
      <w:tr>
        <w:trPr>
          <w:trHeight w:val="202"/>
        </w:trPr>
        <w:tc>
          <w:tcPr>
            <w:tcW w:w="7340" w:type="dxa"/>
            <w:vAlign w:val="bottom"/>
          </w:tcPr>
          <w:p>
            <w:pPr>
              <w:ind w:left="20"/>
              <w:spacing w:after="0"/>
              <w:rPr>
                <w:sz w:val="20"/>
                <w:szCs w:val="20"/>
                <w:color w:val="auto"/>
              </w:rPr>
            </w:pPr>
            <w:r>
              <w:rPr>
                <w:rFonts w:ascii="Arial" w:cs="Arial" w:eastAsia="Arial" w:hAnsi="Arial"/>
                <w:sz w:val="12"/>
                <w:szCs w:val="12"/>
                <w:color w:val="auto"/>
              </w:rPr>
              <w:t>Gross unrecognized tax benefits, beginning of year</w:t>
            </w:r>
          </w:p>
        </w:tc>
        <w:tc>
          <w:tcPr>
            <w:tcW w:w="140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$19.0</w:t>
            </w:r>
          </w:p>
        </w:tc>
        <w:tc>
          <w:tcPr>
            <w:tcW w:w="1800" w:type="dxa"/>
            <w:vAlign w:val="bottom"/>
          </w:tcPr>
          <w:p>
            <w:pPr>
              <w:jc w:val="right"/>
              <w:ind w:right="499"/>
              <w:spacing w:after="0"/>
              <w:rPr>
                <w:sz w:val="20"/>
                <w:szCs w:val="20"/>
                <w:color w:val="auto"/>
              </w:rPr>
            </w:pPr>
            <w:r>
              <w:rPr>
                <w:rFonts w:ascii="Arial" w:cs="Arial" w:eastAsia="Arial" w:hAnsi="Arial"/>
                <w:sz w:val="12"/>
                <w:szCs w:val="12"/>
                <w:color w:val="auto"/>
              </w:rPr>
              <w:t>$23.0</w:t>
            </w:r>
          </w:p>
        </w:tc>
        <w:tc>
          <w:tcPr>
            <w:tcW w:w="920" w:type="dxa"/>
            <w:vAlign w:val="bottom"/>
          </w:tcPr>
          <w:p>
            <w:pPr>
              <w:jc w:val="right"/>
              <w:ind w:right="39"/>
              <w:spacing w:after="0"/>
              <w:rPr>
                <w:sz w:val="20"/>
                <w:szCs w:val="20"/>
                <w:color w:val="auto"/>
              </w:rPr>
            </w:pPr>
            <w:r>
              <w:rPr>
                <w:rFonts w:ascii="Arial" w:cs="Arial" w:eastAsia="Arial" w:hAnsi="Arial"/>
                <w:sz w:val="12"/>
                <w:szCs w:val="12"/>
                <w:color w:val="auto"/>
              </w:rPr>
              <w:t>$23.9</w:t>
            </w:r>
          </w:p>
        </w:tc>
      </w:tr>
      <w:tr>
        <w:trPr>
          <w:trHeight w:val="170"/>
        </w:trPr>
        <w:tc>
          <w:tcPr>
            <w:tcW w:w="7340" w:type="dxa"/>
            <w:vAlign w:val="bottom"/>
          </w:tcPr>
          <w:p>
            <w:pPr>
              <w:ind w:left="240"/>
              <w:spacing w:after="0"/>
              <w:rPr>
                <w:sz w:val="20"/>
                <w:szCs w:val="20"/>
                <w:color w:val="auto"/>
              </w:rPr>
            </w:pPr>
            <w:r>
              <w:rPr>
                <w:rFonts w:ascii="Arial" w:cs="Arial" w:eastAsia="Arial" w:hAnsi="Arial"/>
                <w:sz w:val="12"/>
                <w:szCs w:val="12"/>
                <w:color w:val="auto"/>
              </w:rPr>
              <w:t>Increases in prior year tax positions</w:t>
            </w:r>
          </w:p>
        </w:tc>
        <w:tc>
          <w:tcPr>
            <w:tcW w:w="1400" w:type="dxa"/>
            <w:vAlign w:val="bottom"/>
          </w:tcPr>
          <w:p>
            <w:pPr>
              <w:jc w:val="right"/>
              <w:ind w:right="59"/>
              <w:spacing w:after="0"/>
              <w:rPr>
                <w:sz w:val="20"/>
                <w:szCs w:val="20"/>
                <w:color w:val="auto"/>
              </w:rPr>
            </w:pPr>
            <w:r>
              <w:rPr>
                <w:rFonts w:ascii="Arial" w:cs="Arial" w:eastAsia="Arial" w:hAnsi="Arial"/>
                <w:sz w:val="12"/>
                <w:szCs w:val="12"/>
                <w:color w:val="4F8ABE"/>
              </w:rPr>
              <w:t>4.1</w:t>
            </w:r>
          </w:p>
        </w:tc>
        <w:tc>
          <w:tcPr>
            <w:tcW w:w="1800" w:type="dxa"/>
            <w:vAlign w:val="bottom"/>
          </w:tcPr>
          <w:p>
            <w:pPr>
              <w:jc w:val="right"/>
              <w:ind w:right="499"/>
              <w:spacing w:after="0"/>
              <w:rPr>
                <w:sz w:val="20"/>
                <w:szCs w:val="20"/>
                <w:color w:val="auto"/>
              </w:rPr>
            </w:pPr>
            <w:r>
              <w:rPr>
                <w:rFonts w:ascii="Arial" w:cs="Arial" w:eastAsia="Arial" w:hAnsi="Arial"/>
                <w:sz w:val="12"/>
                <w:szCs w:val="12"/>
                <w:color w:val="auto"/>
              </w:rPr>
              <w:t>2.3</w:t>
            </w:r>
          </w:p>
        </w:tc>
        <w:tc>
          <w:tcPr>
            <w:tcW w:w="920" w:type="dxa"/>
            <w:vAlign w:val="bottom"/>
          </w:tcPr>
          <w:p>
            <w:pPr>
              <w:jc w:val="right"/>
              <w:ind w:right="39"/>
              <w:spacing w:after="0"/>
              <w:rPr>
                <w:sz w:val="20"/>
                <w:szCs w:val="20"/>
                <w:color w:val="auto"/>
              </w:rPr>
            </w:pPr>
            <w:r>
              <w:rPr>
                <w:rFonts w:ascii="Arial" w:cs="Arial" w:eastAsia="Arial" w:hAnsi="Arial"/>
                <w:sz w:val="12"/>
                <w:szCs w:val="12"/>
                <w:color w:val="auto"/>
              </w:rPr>
              <w:t>0.7</w:t>
            </w:r>
          </w:p>
        </w:tc>
      </w:tr>
      <w:tr>
        <w:trPr>
          <w:trHeight w:val="186"/>
        </w:trPr>
        <w:tc>
          <w:tcPr>
            <w:tcW w:w="7340" w:type="dxa"/>
            <w:vAlign w:val="bottom"/>
          </w:tcPr>
          <w:p>
            <w:pPr>
              <w:ind w:left="240"/>
              <w:spacing w:after="0"/>
              <w:rPr>
                <w:sz w:val="20"/>
                <w:szCs w:val="20"/>
                <w:color w:val="auto"/>
              </w:rPr>
            </w:pPr>
            <w:r>
              <w:rPr>
                <w:rFonts w:ascii="Arial" w:cs="Arial" w:eastAsia="Arial" w:hAnsi="Arial"/>
                <w:sz w:val="12"/>
                <w:szCs w:val="12"/>
                <w:color w:val="auto"/>
              </w:rPr>
              <w:t>Decreases in prior year tax positions</w:t>
            </w:r>
          </w:p>
        </w:tc>
        <w:tc>
          <w:tcPr>
            <w:tcW w:w="1400" w:type="dxa"/>
            <w:vAlign w:val="bottom"/>
          </w:tcPr>
          <w:p>
            <w:pPr>
              <w:jc w:val="right"/>
              <w:ind w:right="19"/>
              <w:spacing w:after="0"/>
              <w:rPr>
                <w:sz w:val="20"/>
                <w:szCs w:val="20"/>
                <w:color w:val="auto"/>
              </w:rPr>
            </w:pPr>
            <w:r>
              <w:rPr>
                <w:rFonts w:ascii="Arial" w:cs="Arial" w:eastAsia="Arial" w:hAnsi="Arial"/>
                <w:sz w:val="12"/>
                <w:szCs w:val="12"/>
                <w:color w:val="4F8ABE"/>
              </w:rPr>
              <w:t>(1.7)</w:t>
            </w:r>
          </w:p>
        </w:tc>
        <w:tc>
          <w:tcPr>
            <w:tcW w:w="1800" w:type="dxa"/>
            <w:vAlign w:val="bottom"/>
          </w:tcPr>
          <w:p>
            <w:pPr>
              <w:jc w:val="right"/>
              <w:ind w:right="459"/>
              <w:spacing w:after="0"/>
              <w:rPr>
                <w:sz w:val="20"/>
                <w:szCs w:val="20"/>
                <w:color w:val="auto"/>
              </w:rPr>
            </w:pPr>
            <w:r>
              <w:rPr>
                <w:rFonts w:ascii="Arial" w:cs="Arial" w:eastAsia="Arial" w:hAnsi="Arial"/>
                <w:sz w:val="12"/>
                <w:szCs w:val="12"/>
                <w:color w:val="auto"/>
              </w:rPr>
              <w:t>(0.5)</w:t>
            </w:r>
          </w:p>
        </w:tc>
        <w:tc>
          <w:tcPr>
            <w:tcW w:w="9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86"/>
        </w:trPr>
        <w:tc>
          <w:tcPr>
            <w:tcW w:w="7340" w:type="dxa"/>
            <w:vAlign w:val="bottom"/>
          </w:tcPr>
          <w:p>
            <w:pPr>
              <w:ind w:left="240"/>
              <w:spacing w:after="0"/>
              <w:rPr>
                <w:sz w:val="20"/>
                <w:szCs w:val="20"/>
                <w:color w:val="auto"/>
              </w:rPr>
            </w:pPr>
            <w:r>
              <w:rPr>
                <w:rFonts w:ascii="Arial" w:cs="Arial" w:eastAsia="Arial" w:hAnsi="Arial"/>
                <w:sz w:val="12"/>
                <w:szCs w:val="12"/>
                <w:color w:val="auto"/>
              </w:rPr>
              <w:t>Increases for current year tax positions</w:t>
            </w:r>
          </w:p>
        </w:tc>
        <w:tc>
          <w:tcPr>
            <w:tcW w:w="1400" w:type="dxa"/>
            <w:vAlign w:val="bottom"/>
          </w:tcPr>
          <w:p>
            <w:pPr>
              <w:jc w:val="right"/>
              <w:ind w:right="59"/>
              <w:spacing w:after="0"/>
              <w:rPr>
                <w:sz w:val="20"/>
                <w:szCs w:val="20"/>
                <w:color w:val="auto"/>
              </w:rPr>
            </w:pPr>
            <w:r>
              <w:rPr>
                <w:rFonts w:ascii="Arial" w:cs="Arial" w:eastAsia="Arial" w:hAnsi="Arial"/>
                <w:sz w:val="12"/>
                <w:szCs w:val="12"/>
                <w:color w:val="4F8ABE"/>
              </w:rPr>
              <w:t>4.1</w:t>
            </w:r>
          </w:p>
        </w:tc>
        <w:tc>
          <w:tcPr>
            <w:tcW w:w="1800" w:type="dxa"/>
            <w:vAlign w:val="bottom"/>
          </w:tcPr>
          <w:p>
            <w:pPr>
              <w:jc w:val="right"/>
              <w:ind w:right="499"/>
              <w:spacing w:after="0"/>
              <w:rPr>
                <w:sz w:val="20"/>
                <w:szCs w:val="20"/>
                <w:color w:val="auto"/>
              </w:rPr>
            </w:pPr>
            <w:r>
              <w:rPr>
                <w:rFonts w:ascii="Arial" w:cs="Arial" w:eastAsia="Arial" w:hAnsi="Arial"/>
                <w:sz w:val="12"/>
                <w:szCs w:val="12"/>
                <w:color w:val="auto"/>
              </w:rPr>
              <w:t>3.1</w:t>
            </w:r>
          </w:p>
        </w:tc>
        <w:tc>
          <w:tcPr>
            <w:tcW w:w="920" w:type="dxa"/>
            <w:vAlign w:val="bottom"/>
          </w:tcPr>
          <w:p>
            <w:pPr>
              <w:jc w:val="right"/>
              <w:ind w:right="39"/>
              <w:spacing w:after="0"/>
              <w:rPr>
                <w:sz w:val="20"/>
                <w:szCs w:val="20"/>
                <w:color w:val="auto"/>
              </w:rPr>
            </w:pPr>
            <w:r>
              <w:rPr>
                <w:rFonts w:ascii="Arial" w:cs="Arial" w:eastAsia="Arial" w:hAnsi="Arial"/>
                <w:sz w:val="12"/>
                <w:szCs w:val="12"/>
                <w:color w:val="auto"/>
              </w:rPr>
              <w:t>2.2</w:t>
            </w:r>
          </w:p>
        </w:tc>
      </w:tr>
      <w:tr>
        <w:trPr>
          <w:trHeight w:val="194"/>
        </w:trPr>
        <w:tc>
          <w:tcPr>
            <w:tcW w:w="73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Expiration of statute of limitations and audit settlements</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4F8ABE"/>
              </w:rPr>
              <w:t>(1.7)</w:t>
            </w: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r>
      <w:tr>
        <w:trPr>
          <w:trHeight w:val="19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Gross unrecognized tax benefits, end of year</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$23.8</w:t>
            </w:r>
          </w:p>
        </w:tc>
        <w:tc>
          <w:tcPr>
            <w:tcW w:w="180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$19.0</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$23.0</w:t>
            </w:r>
          </w:p>
        </w:tc>
      </w:tr>
      <w:tr>
        <w:trPr>
          <w:trHeight w:val="17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Potential interest and penalties</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20.2</w:t>
            </w:r>
          </w:p>
        </w:tc>
        <w:tc>
          <w:tcPr>
            <w:tcW w:w="180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19.9</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7.8</w:t>
            </w:r>
          </w:p>
        </w:tc>
      </w:tr>
      <w:tr>
        <w:trPr>
          <w:trHeight w:val="197"/>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Balance, end of year</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$44.0</w:t>
            </w:r>
          </w:p>
        </w:tc>
        <w:tc>
          <w:tcPr>
            <w:tcW w:w="180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$38.9</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$30.8</w:t>
            </w:r>
          </w:p>
        </w:tc>
      </w:tr>
      <w:tr>
        <w:trPr>
          <w:trHeight w:val="91"/>
        </w:trPr>
        <w:tc>
          <w:tcPr>
            <w:tcW w:w="7340" w:type="dxa"/>
            <w:vAlign w:val="bottom"/>
          </w:tcPr>
          <w:p>
            <w:pPr>
              <w:spacing w:after="0"/>
              <w:rPr>
                <w:sz w:val="7"/>
                <w:szCs w:val="7"/>
                <w:color w:val="auto"/>
              </w:rPr>
            </w:pPr>
          </w:p>
        </w:tc>
        <w:tc>
          <w:tcPr>
            <w:tcW w:w="1400" w:type="dxa"/>
            <w:vAlign w:val="bottom"/>
            <w:shd w:val="clear" w:color="auto" w:fill="2989B9"/>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-1076960</wp:posOffset>
            </wp:positionV>
            <wp:extent cx="880110" cy="1011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0110" cy="1011555"/>
                    </a:xfrm>
                    <a:prstGeom prst="rect">
                      <a:avLst/>
                    </a:prstGeom>
                    <a:noFill/>
                  </pic:spPr>
                </pic:pic>
              </a:graphicData>
            </a:graphic>
          </wp:anchor>
        </w:drawing>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conduct business globally in various countries and territories. We are routinely audited by the tax authorities of the various tax jurisdictions in which we operate. Generally, the tax years that could be subject to examination are 2009 through 2016 for our major operations in France, Germany, Japan, the United Kingdom and the United States. As of December 31, 2016, we were subject to tax audits in Austria, Canada, Denmark, Germany, Italy, Portugal and the United States. We believe that the resolution of these audits will not have a material impact on earnings.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2989B9"/>
        </w:rPr>
        <w:t>Note 06. Goodwill</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282A32"/>
        </w:rPr>
        <w:t>Changes in the carrying value of goodwill by reportable segment and Corporate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ind w:right="42"/>
              <w:spacing w:after="0"/>
              <w:rPr>
                <w:sz w:val="20"/>
                <w:szCs w:val="20"/>
                <w:color w:val="auto"/>
              </w:rPr>
            </w:pPr>
            <w:r>
              <w:rPr>
                <w:rFonts w:ascii="Arial" w:cs="Arial" w:eastAsia="Arial" w:hAnsi="Arial"/>
                <w:sz w:val="11"/>
                <w:szCs w:val="11"/>
                <w:color w:val="auto"/>
              </w:rPr>
              <w:t>Southern</w:t>
            </w:r>
          </w:p>
        </w:tc>
        <w:tc>
          <w:tcPr>
            <w:tcW w:w="360" w:type="dxa"/>
            <w:vAlign w:val="bottom"/>
          </w:tcPr>
          <w:p>
            <w:pPr>
              <w:spacing w:after="0"/>
              <w:rPr>
                <w:sz w:val="10"/>
                <w:szCs w:val="10"/>
                <w:color w:val="auto"/>
              </w:rPr>
            </w:pPr>
          </w:p>
        </w:tc>
        <w:tc>
          <w:tcPr>
            <w:tcW w:w="780" w:type="dxa"/>
            <w:vAlign w:val="bottom"/>
          </w:tcPr>
          <w:p>
            <w:pPr>
              <w:jc w:val="right"/>
              <w:ind w:right="39"/>
              <w:spacing w:after="0"/>
              <w:rPr>
                <w:sz w:val="20"/>
                <w:szCs w:val="20"/>
                <w:color w:val="auto"/>
              </w:rPr>
            </w:pPr>
            <w:r>
              <w:rPr>
                <w:rFonts w:ascii="Arial" w:cs="Arial" w:eastAsia="Arial" w:hAnsi="Arial"/>
                <w:sz w:val="11"/>
                <w:szCs w:val="11"/>
                <w:color w:val="auto"/>
              </w:rPr>
              <w:t>Northern</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right"/>
              <w:ind w:right="19"/>
              <w:spacing w:after="0"/>
              <w:rPr>
                <w:sz w:val="20"/>
                <w:szCs w:val="20"/>
                <w:color w:val="auto"/>
              </w:rPr>
            </w:pPr>
            <w:r>
              <w:rPr>
                <w:rFonts w:ascii="Arial" w:cs="Arial" w:eastAsia="Arial" w:hAnsi="Arial"/>
                <w:sz w:val="11"/>
                <w:szCs w:val="11"/>
                <w:color w:val="auto"/>
              </w:rPr>
              <w:t>Right</w:t>
            </w: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5"/>
        </w:trPr>
        <w:tc>
          <w:tcPr>
            <w:tcW w:w="2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
              <w:spacing w:after="0" w:line="145" w:lineRule="exact"/>
              <w:rPr>
                <w:sz w:val="20"/>
                <w:szCs w:val="20"/>
                <w:color w:val="auto"/>
              </w:rPr>
            </w:pPr>
            <w:r>
              <w:rPr>
                <w:rFonts w:ascii="Arial" w:cs="Arial" w:eastAsia="Arial" w:hAnsi="Arial"/>
                <w:sz w:val="11"/>
                <w:szCs w:val="11"/>
                <w:color w:val="auto"/>
              </w:rPr>
              <w:t>Americas</w:t>
            </w:r>
            <w:r>
              <w:rPr>
                <w:rFonts w:ascii="Arial" w:cs="Arial" w:eastAsia="Arial" w:hAnsi="Arial"/>
                <w:sz w:val="13"/>
                <w:szCs w:val="13"/>
                <w:color w:val="auto"/>
                <w:vertAlign w:val="superscript"/>
              </w:rPr>
              <w:t>(1)</w:t>
            </w: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
              <w:spacing w:after="0" w:line="145" w:lineRule="exact"/>
              <w:rPr>
                <w:sz w:val="20"/>
                <w:szCs w:val="20"/>
                <w:color w:val="auto"/>
              </w:rPr>
            </w:pPr>
            <w:r>
              <w:rPr>
                <w:rFonts w:ascii="Arial" w:cs="Arial" w:eastAsia="Arial" w:hAnsi="Arial"/>
                <w:sz w:val="16"/>
                <w:szCs w:val="16"/>
                <w:color w:val="auto"/>
                <w:vertAlign w:val="subscript"/>
              </w:rPr>
              <w:t>Europe</w:t>
            </w:r>
            <w:r>
              <w:rPr>
                <w:rFonts w:ascii="Arial" w:cs="Arial" w:eastAsia="Arial" w:hAnsi="Arial"/>
                <w:sz w:val="6"/>
                <w:szCs w:val="6"/>
                <w:color w:val="auto"/>
              </w:rPr>
              <w:t>(2)(3)</w:t>
            </w: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
              <w:spacing w:after="0" w:line="145" w:lineRule="exact"/>
              <w:rPr>
                <w:sz w:val="20"/>
                <w:szCs w:val="20"/>
                <w:color w:val="auto"/>
              </w:rPr>
            </w:pPr>
            <w:r>
              <w:rPr>
                <w:rFonts w:ascii="Arial" w:cs="Arial" w:eastAsia="Arial" w:hAnsi="Arial"/>
                <w:sz w:val="11"/>
                <w:szCs w:val="11"/>
                <w:color w:val="auto"/>
              </w:rPr>
              <w:t>Europe</w:t>
            </w:r>
            <w:r>
              <w:rPr>
                <w:rFonts w:ascii="Arial" w:cs="Arial" w:eastAsia="Arial" w:hAnsi="Arial"/>
                <w:sz w:val="13"/>
                <w:szCs w:val="13"/>
                <w:color w:val="auto"/>
                <w:vertAlign w:val="superscript"/>
              </w:rPr>
              <w:t>(3)</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APME</w:t>
            </w: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Management</w:t>
            </w: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1"/>
                <w:szCs w:val="11"/>
                <w:color w:val="auto"/>
              </w:rPr>
              <w:t>Corporate</w:t>
            </w:r>
            <w:r>
              <w:rPr>
                <w:rFonts w:ascii="Arial" w:cs="Arial" w:eastAsia="Arial" w:hAnsi="Arial"/>
                <w:sz w:val="13"/>
                <w:szCs w:val="13"/>
                <w:color w:val="auto"/>
                <w:vertAlign w:val="superscript"/>
              </w:rPr>
              <w:t>(4)</w:t>
            </w: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9"/>
              <w:spacing w:after="0" w:line="145" w:lineRule="exact"/>
              <w:rPr>
                <w:sz w:val="20"/>
                <w:szCs w:val="20"/>
                <w:color w:val="auto"/>
              </w:rPr>
            </w:pPr>
            <w:r>
              <w:rPr>
                <w:rFonts w:ascii="Arial" w:cs="Arial" w:eastAsia="Arial" w:hAnsi="Arial"/>
                <w:sz w:val="11"/>
                <w:szCs w:val="11"/>
                <w:color w:val="auto"/>
              </w:rPr>
              <w:t>Total</w:t>
            </w:r>
            <w:r>
              <w:rPr>
                <w:rFonts w:ascii="Arial" w:cs="Arial" w:eastAsia="Arial" w:hAnsi="Arial"/>
                <w:sz w:val="13"/>
                <w:szCs w:val="13"/>
                <w:color w:val="auto"/>
                <w:vertAlign w:val="superscript"/>
              </w:rPr>
              <w:t>(5)</w:t>
            </w:r>
          </w:p>
        </w:tc>
      </w:tr>
      <w:tr>
        <w:trPr>
          <w:trHeight w:val="161"/>
        </w:trPr>
        <w:tc>
          <w:tcPr>
            <w:tcW w:w="2420" w:type="dxa"/>
            <w:vAlign w:val="bottom"/>
          </w:tcPr>
          <w:p>
            <w:pPr>
              <w:ind w:left="20"/>
              <w:spacing w:after="0"/>
              <w:rPr>
                <w:sz w:val="20"/>
                <w:szCs w:val="20"/>
                <w:color w:val="auto"/>
              </w:rPr>
            </w:pPr>
            <w:r>
              <w:rPr>
                <w:rFonts w:ascii="Arial" w:cs="Arial" w:eastAsia="Arial" w:hAnsi="Arial"/>
                <w:sz w:val="12"/>
                <w:szCs w:val="12"/>
                <w:color w:val="auto"/>
              </w:rPr>
              <w:t>Balance, January 1, 2015</w:t>
            </w:r>
          </w:p>
        </w:tc>
        <w:tc>
          <w:tcPr>
            <w:tcW w:w="110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466.3</w:t>
            </w:r>
          </w:p>
        </w:tc>
        <w:tc>
          <w:tcPr>
            <w:tcW w:w="3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42"/>
              <w:spacing w:after="0"/>
              <w:rPr>
                <w:sz w:val="20"/>
                <w:szCs w:val="20"/>
                <w:color w:val="auto"/>
              </w:rPr>
            </w:pPr>
            <w:r>
              <w:rPr>
                <w:rFonts w:ascii="Arial" w:cs="Arial" w:eastAsia="Arial" w:hAnsi="Arial"/>
                <w:sz w:val="12"/>
                <w:szCs w:val="12"/>
                <w:color w:val="auto"/>
              </w:rPr>
              <w:t>102.5</w:t>
            </w:r>
          </w:p>
        </w:tc>
        <w:tc>
          <w:tcPr>
            <w:tcW w:w="36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309.3</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70.1</w:t>
            </w:r>
          </w:p>
        </w:tc>
        <w:tc>
          <w:tcPr>
            <w:tcW w:w="3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62.1</w:t>
            </w:r>
          </w:p>
        </w:tc>
        <w:tc>
          <w:tcPr>
            <w:tcW w:w="3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64.9</w:t>
            </w:r>
          </w:p>
        </w:tc>
        <w:tc>
          <w:tcPr>
            <w:tcW w:w="38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1,075.2</w:t>
            </w:r>
          </w:p>
        </w:tc>
      </w:tr>
      <w:tr>
        <w:trPr>
          <w:trHeight w:val="186"/>
        </w:trPr>
        <w:tc>
          <w:tcPr>
            <w:tcW w:w="2420" w:type="dxa"/>
            <w:vAlign w:val="bottom"/>
          </w:tcPr>
          <w:p>
            <w:pPr>
              <w:ind w:left="120"/>
              <w:spacing w:after="0"/>
              <w:rPr>
                <w:sz w:val="20"/>
                <w:szCs w:val="20"/>
                <w:color w:val="auto"/>
              </w:rPr>
            </w:pPr>
            <w:r>
              <w:rPr>
                <w:rFonts w:ascii="Arial" w:cs="Arial" w:eastAsia="Arial" w:hAnsi="Arial"/>
                <w:sz w:val="12"/>
                <w:szCs w:val="12"/>
                <w:color w:val="auto"/>
              </w:rPr>
              <w:t>Goodwill acquired</w:t>
            </w:r>
          </w:p>
        </w:tc>
        <w:tc>
          <w:tcPr>
            <w:tcW w:w="11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52.9</w:t>
            </w:r>
          </w:p>
        </w:tc>
        <w:tc>
          <w:tcPr>
            <w:tcW w:w="3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2"/>
                <w:szCs w:val="12"/>
                <w:color w:val="auto"/>
              </w:rPr>
              <w:t>2.6</w:t>
            </w:r>
          </w:p>
        </w:tc>
        <w:tc>
          <w:tcPr>
            <w:tcW w:w="36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163.3</w:t>
            </w:r>
          </w:p>
        </w:tc>
        <w:tc>
          <w:tcPr>
            <w:tcW w:w="260" w:type="dxa"/>
            <w:vAlign w:val="bottom"/>
          </w:tcPr>
          <w:p>
            <w:pPr>
              <w:spacing w:after="0"/>
              <w:rPr>
                <w:sz w:val="16"/>
                <w:szCs w:val="16"/>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9.2</w:t>
            </w:r>
          </w:p>
        </w:tc>
        <w:tc>
          <w:tcPr>
            <w:tcW w:w="3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228.0</w:t>
            </w:r>
          </w:p>
        </w:tc>
      </w:tr>
      <w:tr>
        <w:trPr>
          <w:trHeight w:val="194"/>
        </w:trPr>
        <w:tc>
          <w:tcPr>
            <w:tcW w:w="24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Currency impact and other</w:t>
            </w:r>
          </w:p>
        </w:tc>
        <w:tc>
          <w:tcPr>
            <w:tcW w:w="1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(7.9)</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(45.8)</w:t>
            </w:r>
          </w:p>
        </w:tc>
      </w:tr>
      <w:tr>
        <w:trPr>
          <w:trHeight w:val="169"/>
        </w:trPr>
        <w:tc>
          <w:tcPr>
            <w:tcW w:w="2420" w:type="dxa"/>
            <w:vAlign w:val="bottom"/>
          </w:tcPr>
          <w:p>
            <w:pPr>
              <w:ind w:left="20"/>
              <w:spacing w:after="0"/>
              <w:rPr>
                <w:sz w:val="20"/>
                <w:szCs w:val="20"/>
                <w:color w:val="auto"/>
              </w:rPr>
            </w:pPr>
            <w:r>
              <w:rPr>
                <w:rFonts w:ascii="Arial" w:cs="Arial" w:eastAsia="Arial" w:hAnsi="Arial"/>
                <w:sz w:val="12"/>
                <w:szCs w:val="12"/>
                <w:color w:val="auto"/>
              </w:rPr>
              <w:t>Balance, December 31, 2015</w:t>
            </w:r>
          </w:p>
        </w:tc>
        <w:tc>
          <w:tcPr>
            <w:tcW w:w="110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515.7</w:t>
            </w:r>
          </w:p>
        </w:tc>
        <w:tc>
          <w:tcPr>
            <w:tcW w:w="380" w:type="dxa"/>
            <w:vAlign w:val="bottom"/>
          </w:tcPr>
          <w:p>
            <w:pPr>
              <w:spacing w:after="0"/>
              <w:rPr>
                <w:sz w:val="14"/>
                <w:szCs w:val="14"/>
                <w:color w:val="auto"/>
              </w:rPr>
            </w:pPr>
          </w:p>
        </w:tc>
        <w:tc>
          <w:tcPr>
            <w:tcW w:w="880" w:type="dxa"/>
            <w:vAlign w:val="bottom"/>
          </w:tcPr>
          <w:p>
            <w:pPr>
              <w:jc w:val="right"/>
              <w:ind w:right="42"/>
              <w:spacing w:after="0"/>
              <w:rPr>
                <w:sz w:val="20"/>
                <w:szCs w:val="20"/>
                <w:color w:val="auto"/>
              </w:rPr>
            </w:pPr>
            <w:r>
              <w:rPr>
                <w:rFonts w:ascii="Arial" w:cs="Arial" w:eastAsia="Arial" w:hAnsi="Arial"/>
                <w:sz w:val="12"/>
                <w:szCs w:val="12"/>
                <w:color w:val="auto"/>
              </w:rPr>
              <w:t>97.2</w:t>
            </w:r>
          </w:p>
        </w:tc>
        <w:tc>
          <w:tcPr>
            <w:tcW w:w="36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441.9</w:t>
            </w:r>
          </w:p>
        </w:tc>
        <w:tc>
          <w:tcPr>
            <w:tcW w:w="26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75.6</w:t>
            </w:r>
          </w:p>
        </w:tc>
        <w:tc>
          <w:tcPr>
            <w:tcW w:w="36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62.1</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64.9</w:t>
            </w:r>
          </w:p>
        </w:tc>
        <w:tc>
          <w:tcPr>
            <w:tcW w:w="38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1,257.4</w:t>
            </w:r>
          </w:p>
        </w:tc>
      </w:tr>
      <w:tr>
        <w:trPr>
          <w:trHeight w:val="186"/>
        </w:trPr>
        <w:tc>
          <w:tcPr>
            <w:tcW w:w="2420" w:type="dxa"/>
            <w:vAlign w:val="bottom"/>
          </w:tcPr>
          <w:p>
            <w:pPr>
              <w:ind w:left="120"/>
              <w:spacing w:after="0"/>
              <w:rPr>
                <w:sz w:val="20"/>
                <w:szCs w:val="20"/>
                <w:color w:val="auto"/>
              </w:rPr>
            </w:pPr>
            <w:r>
              <w:rPr>
                <w:rFonts w:ascii="Arial" w:cs="Arial" w:eastAsia="Arial" w:hAnsi="Arial"/>
                <w:sz w:val="12"/>
                <w:szCs w:val="12"/>
                <w:color w:val="auto"/>
              </w:rPr>
              <w:t>Goodwill acquired</w:t>
            </w:r>
          </w:p>
        </w:tc>
        <w:tc>
          <w:tcPr>
            <w:tcW w:w="11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22.3</w:t>
            </w:r>
          </w:p>
        </w:tc>
        <w:tc>
          <w:tcPr>
            <w:tcW w:w="260" w:type="dxa"/>
            <w:vAlign w:val="bottom"/>
          </w:tcPr>
          <w:p>
            <w:pPr>
              <w:spacing w:after="0"/>
              <w:rPr>
                <w:sz w:val="16"/>
                <w:szCs w:val="16"/>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1.5</w:t>
            </w:r>
          </w:p>
        </w:tc>
        <w:tc>
          <w:tcPr>
            <w:tcW w:w="3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0.6</w:t>
            </w:r>
          </w:p>
        </w:tc>
        <w:tc>
          <w:tcPr>
            <w:tcW w:w="38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24.4</w:t>
            </w:r>
          </w:p>
        </w:tc>
      </w:tr>
      <w:tr>
        <w:trPr>
          <w:trHeight w:val="194"/>
        </w:trPr>
        <w:tc>
          <w:tcPr>
            <w:tcW w:w="24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Currency impact and other</w:t>
            </w:r>
          </w:p>
        </w:tc>
        <w:tc>
          <w:tcPr>
            <w:tcW w:w="1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0.7</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(0.2)</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(41.9)</w:t>
            </w:r>
          </w:p>
        </w:tc>
      </w:tr>
      <w:tr>
        <w:trPr>
          <w:trHeight w:val="17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Balance, December 31, 2016</w:t>
            </w:r>
          </w:p>
        </w:tc>
        <w:tc>
          <w:tcPr>
            <w:tcW w:w="11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516.4</w:t>
            </w: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97.0</w:t>
            </w:r>
          </w:p>
        </w:tc>
        <w:tc>
          <w:tcPr>
            <w:tcW w:w="3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421.9</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77.0</w:t>
            </w:r>
          </w:p>
        </w:tc>
        <w:tc>
          <w:tcPr>
            <w:tcW w:w="3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62.1</w:t>
            </w:r>
          </w:p>
        </w:tc>
        <w:tc>
          <w:tcPr>
            <w:tcW w:w="3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w:t>
            </w:r>
          </w:p>
        </w:tc>
        <w:tc>
          <w:tcPr>
            <w:tcW w:w="3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1,239.9</w:t>
            </w:r>
          </w:p>
        </w:tc>
      </w:tr>
    </w:tbl>
    <w:p>
      <w:pPr>
        <w:spacing w:after="0" w:line="159" w:lineRule="exact"/>
        <w:rPr>
          <w:sz w:val="20"/>
          <w:szCs w:val="20"/>
          <w:color w:val="auto"/>
        </w:rPr>
      </w:pPr>
    </w:p>
    <w:p>
      <w:pPr>
        <w:ind w:left="160" w:hanging="157"/>
        <w:spacing w:after="0"/>
        <w:tabs>
          <w:tab w:leader="none" w:pos="160" w:val="left"/>
        </w:tabs>
        <w:numPr>
          <w:ilvl w:val="0"/>
          <w:numId w:val="56"/>
        </w:numPr>
        <w:rPr>
          <w:rFonts w:ascii="Arial" w:cs="Arial" w:eastAsia="Arial" w:hAnsi="Arial"/>
          <w:sz w:val="11"/>
          <w:szCs w:val="11"/>
          <w:color w:val="282A32"/>
        </w:rPr>
      </w:pPr>
      <w:r>
        <w:rPr>
          <w:rFonts w:ascii="Arial" w:cs="Arial" w:eastAsia="Arial" w:hAnsi="Arial"/>
          <w:sz w:val="11"/>
          <w:szCs w:val="11"/>
          <w:color w:val="282A32"/>
        </w:rPr>
        <w:t>Balances related to United States were $450.4, $476.9 and $476.5 as of January 1, 2015, December 31, 2015 and December 31, 2016, respectively.</w:t>
      </w:r>
    </w:p>
    <w:p>
      <w:pPr>
        <w:spacing w:after="0" w:line="73" w:lineRule="exact"/>
        <w:rPr>
          <w:rFonts w:ascii="Arial" w:cs="Arial" w:eastAsia="Arial" w:hAnsi="Arial"/>
          <w:sz w:val="11"/>
          <w:szCs w:val="11"/>
          <w:color w:val="282A32"/>
        </w:rPr>
      </w:pPr>
    </w:p>
    <w:p>
      <w:pPr>
        <w:ind w:firstLine="3"/>
        <w:spacing w:after="0" w:line="277" w:lineRule="auto"/>
        <w:tabs>
          <w:tab w:leader="none" w:pos="170" w:val="left"/>
        </w:tabs>
        <w:numPr>
          <w:ilvl w:val="0"/>
          <w:numId w:val="56"/>
        </w:numPr>
        <w:rPr>
          <w:rFonts w:ascii="Arial" w:cs="Arial" w:eastAsia="Arial" w:hAnsi="Arial"/>
          <w:sz w:val="11"/>
          <w:szCs w:val="11"/>
          <w:color w:val="282A32"/>
        </w:rPr>
      </w:pPr>
      <w:r>
        <w:rPr>
          <w:rFonts w:ascii="Arial" w:cs="Arial" w:eastAsia="Arial" w:hAnsi="Arial"/>
          <w:sz w:val="11"/>
          <w:szCs w:val="11"/>
          <w:color w:val="282A32"/>
        </w:rPr>
        <w:t>Balances related to France were $76.9, $69.0 and $66.8 as of January 1, 2015, December 31, 2015 and December 31, 2016, respectively. Balances related to Italy were $5.0, $4.5 and $4.4 as of January 1, 2015, December 31, 2015 and December 31, 2016, respectively.</w:t>
      </w:r>
    </w:p>
    <w:p>
      <w:pPr>
        <w:spacing w:after="0" w:line="55" w:lineRule="exact"/>
        <w:rPr>
          <w:rFonts w:ascii="Arial" w:cs="Arial" w:eastAsia="Arial" w:hAnsi="Arial"/>
          <w:sz w:val="11"/>
          <w:szCs w:val="11"/>
          <w:color w:val="282A32"/>
        </w:rPr>
      </w:pPr>
    </w:p>
    <w:p>
      <w:pPr>
        <w:ind w:left="160" w:hanging="157"/>
        <w:spacing w:after="0"/>
        <w:tabs>
          <w:tab w:leader="none" w:pos="160" w:val="left"/>
        </w:tabs>
        <w:numPr>
          <w:ilvl w:val="0"/>
          <w:numId w:val="56"/>
        </w:numPr>
        <w:rPr>
          <w:rFonts w:ascii="Arial" w:cs="Arial" w:eastAsia="Arial" w:hAnsi="Arial"/>
          <w:sz w:val="11"/>
          <w:szCs w:val="11"/>
          <w:color w:val="282A32"/>
        </w:rPr>
      </w:pPr>
      <w:r>
        <w:rPr>
          <w:rFonts w:ascii="Arial" w:cs="Arial" w:eastAsia="Arial" w:hAnsi="Arial"/>
          <w:sz w:val="11"/>
          <w:szCs w:val="11"/>
          <w:color w:val="282A32"/>
        </w:rPr>
        <w:t>Balance reflects realignment of our organizational structure in Europe as of January 1, 2016. See Note 14 to the Consolidated Financial Statements for further information.</w:t>
      </w:r>
    </w:p>
    <w:p>
      <w:pPr>
        <w:spacing w:after="0" w:line="80" w:lineRule="exact"/>
        <w:rPr>
          <w:rFonts w:ascii="Arial" w:cs="Arial" w:eastAsia="Arial" w:hAnsi="Arial"/>
          <w:sz w:val="11"/>
          <w:szCs w:val="11"/>
          <w:color w:val="282A32"/>
        </w:rPr>
      </w:pPr>
    </w:p>
    <w:p>
      <w:pPr>
        <w:jc w:val="both"/>
        <w:ind w:firstLine="3"/>
        <w:spacing w:after="0"/>
        <w:tabs>
          <w:tab w:leader="none" w:pos="166" w:val="left"/>
        </w:tabs>
        <w:numPr>
          <w:ilvl w:val="0"/>
          <w:numId w:val="56"/>
        </w:numPr>
        <w:rPr>
          <w:rFonts w:ascii="Arial" w:cs="Arial" w:eastAsia="Arial" w:hAnsi="Arial"/>
          <w:sz w:val="11"/>
          <w:szCs w:val="11"/>
          <w:color w:val="282A32"/>
        </w:rPr>
      </w:pPr>
      <w:r>
        <w:rPr>
          <w:rFonts w:ascii="Arial" w:cs="Arial" w:eastAsia="Arial" w:hAnsi="Arial"/>
          <w:sz w:val="11"/>
          <w:szCs w:val="11"/>
          <w:color w:val="282A32"/>
        </w:rPr>
        <w:t>The majority of the Corporate balance as of December 31, 2016 relates to goodwill attributable to our acquisition of Jefferson Wells ($55.5) which is part of the United States reporting unit. For purposes of monitoring our total assets by segment, we do not allocate the Corporate balance to the respective reportable segments. We do, however, include these balances within the appropriate reporting units for our goodwill impairment testing. See the table below for the breakout of goodwill balances by reporting unit.</w:t>
      </w:r>
    </w:p>
    <w:p>
      <w:pPr>
        <w:spacing w:after="0" w:line="75" w:lineRule="exact"/>
        <w:rPr>
          <w:rFonts w:ascii="Arial" w:cs="Arial" w:eastAsia="Arial" w:hAnsi="Arial"/>
          <w:sz w:val="11"/>
          <w:szCs w:val="11"/>
          <w:color w:val="282A32"/>
        </w:rPr>
      </w:pPr>
    </w:p>
    <w:p>
      <w:pPr>
        <w:ind w:left="160" w:hanging="157"/>
        <w:spacing w:after="0"/>
        <w:tabs>
          <w:tab w:leader="none" w:pos="160" w:val="left"/>
        </w:tabs>
        <w:numPr>
          <w:ilvl w:val="0"/>
          <w:numId w:val="56"/>
        </w:numPr>
        <w:rPr>
          <w:rFonts w:ascii="Arial" w:cs="Arial" w:eastAsia="Arial" w:hAnsi="Arial"/>
          <w:sz w:val="11"/>
          <w:szCs w:val="11"/>
          <w:color w:val="282A32"/>
        </w:rPr>
      </w:pPr>
      <w:r>
        <w:rPr>
          <w:rFonts w:ascii="Arial" w:cs="Arial" w:eastAsia="Arial" w:hAnsi="Arial"/>
          <w:sz w:val="11"/>
          <w:szCs w:val="11"/>
          <w:color w:val="282A32"/>
        </w:rPr>
        <w:t>Balances were net of accumulated impairment loss of $513.4 as of January 1, 2015, December 31, 2015 and December 31, 2016.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66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282A32"/>
        </w:rPr>
        <w:t>Goodwill balances by reporting unit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150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1"/>
                <w:szCs w:val="11"/>
                <w:color w:val="4F8ABE"/>
              </w:rPr>
              <w:t>2016</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r>
      <w:tr>
        <w:trPr>
          <w:trHeight w:val="186"/>
        </w:trPr>
        <w:tc>
          <w:tcPr>
            <w:tcW w:w="848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150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$532.0</w:t>
            </w:r>
          </w:p>
        </w:tc>
        <w:tc>
          <w:tcPr>
            <w:tcW w:w="1480" w:type="dxa"/>
            <w:vAlign w:val="bottom"/>
          </w:tcPr>
          <w:p>
            <w:pPr>
              <w:jc w:val="right"/>
              <w:ind w:right="39"/>
              <w:spacing w:after="0"/>
              <w:rPr>
                <w:sz w:val="20"/>
                <w:szCs w:val="20"/>
                <w:color w:val="auto"/>
              </w:rPr>
            </w:pPr>
            <w:r>
              <w:rPr>
                <w:rFonts w:ascii="Arial" w:cs="Arial" w:eastAsia="Arial" w:hAnsi="Arial"/>
                <w:sz w:val="12"/>
                <w:szCs w:val="12"/>
                <w:color w:val="auto"/>
              </w:rPr>
              <w:t>$532.4</w:t>
            </w:r>
          </w:p>
        </w:tc>
      </w:tr>
      <w:tr>
        <w:trPr>
          <w:trHeight w:val="186"/>
        </w:trPr>
        <w:tc>
          <w:tcPr>
            <w:tcW w:w="8480" w:type="dxa"/>
            <w:vAlign w:val="bottom"/>
          </w:tcPr>
          <w:p>
            <w:pPr>
              <w:ind w:left="20"/>
              <w:spacing w:after="0"/>
              <w:rPr>
                <w:sz w:val="20"/>
                <w:szCs w:val="20"/>
                <w:color w:val="auto"/>
              </w:rPr>
            </w:pPr>
            <w:r>
              <w:rPr>
                <w:rFonts w:ascii="Arial" w:cs="Arial" w:eastAsia="Arial" w:hAnsi="Arial"/>
                <w:sz w:val="12"/>
                <w:szCs w:val="12"/>
                <w:color w:val="auto"/>
              </w:rPr>
              <w:t>Germany</w:t>
            </w:r>
          </w:p>
        </w:tc>
        <w:tc>
          <w:tcPr>
            <w:tcW w:w="150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121.4</w:t>
            </w:r>
          </w:p>
        </w:tc>
        <w:tc>
          <w:tcPr>
            <w:tcW w:w="1480" w:type="dxa"/>
            <w:vAlign w:val="bottom"/>
          </w:tcPr>
          <w:p>
            <w:pPr>
              <w:jc w:val="right"/>
              <w:ind w:right="39"/>
              <w:spacing w:after="0"/>
              <w:rPr>
                <w:sz w:val="20"/>
                <w:szCs w:val="20"/>
                <w:color w:val="auto"/>
              </w:rPr>
            </w:pPr>
            <w:r>
              <w:rPr>
                <w:rFonts w:ascii="Arial" w:cs="Arial" w:eastAsia="Arial" w:hAnsi="Arial"/>
                <w:sz w:val="12"/>
                <w:szCs w:val="12"/>
                <w:color w:val="auto"/>
              </w:rPr>
              <w:t>127.1</w:t>
            </w:r>
          </w:p>
        </w:tc>
      </w:tr>
      <w:tr>
        <w:trPr>
          <w:trHeight w:val="186"/>
        </w:trPr>
        <w:tc>
          <w:tcPr>
            <w:tcW w:w="8480" w:type="dxa"/>
            <w:vAlign w:val="bottom"/>
          </w:tcPr>
          <w:p>
            <w:pPr>
              <w:ind w:left="20"/>
              <w:spacing w:after="0"/>
              <w:rPr>
                <w:sz w:val="20"/>
                <w:szCs w:val="20"/>
                <w:color w:val="auto"/>
              </w:rPr>
            </w:pPr>
            <w:r>
              <w:rPr>
                <w:rFonts w:ascii="Arial" w:cs="Arial" w:eastAsia="Arial" w:hAnsi="Arial"/>
                <w:sz w:val="12"/>
                <w:szCs w:val="12"/>
                <w:color w:val="auto"/>
              </w:rPr>
              <w:t>Netherlands</w:t>
            </w:r>
          </w:p>
        </w:tc>
        <w:tc>
          <w:tcPr>
            <w:tcW w:w="150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110.9</w:t>
            </w:r>
          </w:p>
        </w:tc>
        <w:tc>
          <w:tcPr>
            <w:tcW w:w="1480" w:type="dxa"/>
            <w:vAlign w:val="bottom"/>
          </w:tcPr>
          <w:p>
            <w:pPr>
              <w:jc w:val="right"/>
              <w:ind w:right="39"/>
              <w:spacing w:after="0"/>
              <w:rPr>
                <w:sz w:val="20"/>
                <w:szCs w:val="20"/>
                <w:color w:val="auto"/>
              </w:rPr>
            </w:pPr>
            <w:r>
              <w:rPr>
                <w:rFonts w:ascii="Arial" w:cs="Arial" w:eastAsia="Arial" w:hAnsi="Arial"/>
                <w:sz w:val="12"/>
                <w:szCs w:val="12"/>
                <w:color w:val="auto"/>
              </w:rPr>
              <w:t>98.7</w:t>
            </w:r>
          </w:p>
        </w:tc>
      </w:tr>
      <w:tr>
        <w:trPr>
          <w:trHeight w:val="186"/>
        </w:trPr>
        <w:tc>
          <w:tcPr>
            <w:tcW w:w="8480" w:type="dxa"/>
            <w:vAlign w:val="bottom"/>
          </w:tcPr>
          <w:p>
            <w:pPr>
              <w:ind w:left="20"/>
              <w:spacing w:after="0"/>
              <w:rPr>
                <w:sz w:val="20"/>
                <w:szCs w:val="20"/>
                <w:color w:val="auto"/>
              </w:rPr>
            </w:pPr>
            <w:r>
              <w:rPr>
                <w:rFonts w:ascii="Arial" w:cs="Arial" w:eastAsia="Arial" w:hAnsi="Arial"/>
                <w:sz w:val="12"/>
                <w:szCs w:val="12"/>
                <w:color w:val="auto"/>
              </w:rPr>
              <w:t>United Kingdom</w:t>
            </w:r>
          </w:p>
        </w:tc>
        <w:tc>
          <w:tcPr>
            <w:tcW w:w="150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81.4</w:t>
            </w:r>
          </w:p>
        </w:tc>
        <w:tc>
          <w:tcPr>
            <w:tcW w:w="1480" w:type="dxa"/>
            <w:vAlign w:val="bottom"/>
          </w:tcPr>
          <w:p>
            <w:pPr>
              <w:jc w:val="right"/>
              <w:ind w:right="39"/>
              <w:spacing w:after="0"/>
              <w:rPr>
                <w:sz w:val="20"/>
                <w:szCs w:val="20"/>
                <w:color w:val="auto"/>
              </w:rPr>
            </w:pPr>
            <w:r>
              <w:rPr>
                <w:rFonts w:ascii="Arial" w:cs="Arial" w:eastAsia="Arial" w:hAnsi="Arial"/>
                <w:sz w:val="12"/>
                <w:szCs w:val="12"/>
                <w:color w:val="auto"/>
              </w:rPr>
              <w:t>101.1</w:t>
            </w:r>
          </w:p>
        </w:tc>
      </w:tr>
      <w:tr>
        <w:trPr>
          <w:trHeight w:val="186"/>
        </w:trPr>
        <w:tc>
          <w:tcPr>
            <w:tcW w:w="8480" w:type="dxa"/>
            <w:vAlign w:val="bottom"/>
          </w:tcPr>
          <w:p>
            <w:pPr>
              <w:ind w:left="20"/>
              <w:spacing w:after="0"/>
              <w:rPr>
                <w:sz w:val="20"/>
                <w:szCs w:val="20"/>
                <w:color w:val="auto"/>
              </w:rPr>
            </w:pPr>
            <w:r>
              <w:rPr>
                <w:rFonts w:ascii="Arial" w:cs="Arial" w:eastAsia="Arial" w:hAnsi="Arial"/>
                <w:sz w:val="12"/>
                <w:szCs w:val="12"/>
                <w:color w:val="auto"/>
              </w:rPr>
              <w:t>France</w:t>
            </w:r>
          </w:p>
        </w:tc>
        <w:tc>
          <w:tcPr>
            <w:tcW w:w="150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66.8</w:t>
            </w:r>
          </w:p>
        </w:tc>
        <w:tc>
          <w:tcPr>
            <w:tcW w:w="1480" w:type="dxa"/>
            <w:vAlign w:val="bottom"/>
          </w:tcPr>
          <w:p>
            <w:pPr>
              <w:jc w:val="right"/>
              <w:ind w:right="39"/>
              <w:spacing w:after="0"/>
              <w:rPr>
                <w:sz w:val="20"/>
                <w:szCs w:val="20"/>
                <w:color w:val="auto"/>
              </w:rPr>
            </w:pPr>
            <w:r>
              <w:rPr>
                <w:rFonts w:ascii="Arial" w:cs="Arial" w:eastAsia="Arial" w:hAnsi="Arial"/>
                <w:sz w:val="12"/>
                <w:szCs w:val="12"/>
                <w:color w:val="auto"/>
              </w:rPr>
              <w:t>69.0</w:t>
            </w:r>
          </w:p>
        </w:tc>
      </w:tr>
      <w:tr>
        <w:trPr>
          <w:trHeight w:val="186"/>
        </w:trPr>
        <w:tc>
          <w:tcPr>
            <w:tcW w:w="8480" w:type="dxa"/>
            <w:vAlign w:val="bottom"/>
          </w:tcPr>
          <w:p>
            <w:pPr>
              <w:ind w:left="20"/>
              <w:spacing w:after="0"/>
              <w:rPr>
                <w:sz w:val="20"/>
                <w:szCs w:val="20"/>
                <w:color w:val="auto"/>
              </w:rPr>
            </w:pPr>
            <w:r>
              <w:rPr>
                <w:rFonts w:ascii="Arial" w:cs="Arial" w:eastAsia="Arial" w:hAnsi="Arial"/>
                <w:sz w:val="12"/>
                <w:szCs w:val="12"/>
                <w:color w:val="auto"/>
              </w:rPr>
              <w:t>Right Management</w:t>
            </w:r>
          </w:p>
        </w:tc>
        <w:tc>
          <w:tcPr>
            <w:tcW w:w="150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62.1</w:t>
            </w:r>
          </w:p>
        </w:tc>
        <w:tc>
          <w:tcPr>
            <w:tcW w:w="1480" w:type="dxa"/>
            <w:vAlign w:val="bottom"/>
          </w:tcPr>
          <w:p>
            <w:pPr>
              <w:jc w:val="right"/>
              <w:ind w:right="39"/>
              <w:spacing w:after="0"/>
              <w:rPr>
                <w:sz w:val="20"/>
                <w:szCs w:val="20"/>
                <w:color w:val="auto"/>
              </w:rPr>
            </w:pPr>
            <w:r>
              <w:rPr>
                <w:rFonts w:ascii="Arial" w:cs="Arial" w:eastAsia="Arial" w:hAnsi="Arial"/>
                <w:sz w:val="12"/>
                <w:szCs w:val="12"/>
                <w:color w:val="auto"/>
              </w:rPr>
              <w:t>62.1</w:t>
            </w:r>
          </w:p>
        </w:tc>
      </w:tr>
      <w:tr>
        <w:trPr>
          <w:trHeight w:val="194"/>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reporting units</w:t>
            </w:r>
          </w:p>
        </w:tc>
        <w:tc>
          <w:tcPr>
            <w:tcW w:w="150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2"/>
                <w:szCs w:val="12"/>
                <w:color w:val="4F8ABE"/>
              </w:rPr>
              <w:t>265.3</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267.0</w:t>
            </w:r>
          </w:p>
        </w:tc>
      </w:tr>
      <w:tr>
        <w:trPr>
          <w:trHeight w:val="197"/>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goodwill</w:t>
            </w:r>
          </w:p>
        </w:tc>
        <w:tc>
          <w:tcPr>
            <w:tcW w:w="150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2"/>
                <w:szCs w:val="12"/>
                <w:color w:val="4F8ABE"/>
              </w:rPr>
              <w:t>$1,239.9</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$1,257.4</w:t>
            </w:r>
          </w:p>
        </w:tc>
      </w:tr>
      <w:tr>
        <w:trPr>
          <w:trHeight w:val="91"/>
        </w:trPr>
        <w:tc>
          <w:tcPr>
            <w:tcW w:w="8480" w:type="dxa"/>
            <w:vAlign w:val="bottom"/>
          </w:tcPr>
          <w:p>
            <w:pPr>
              <w:spacing w:after="0"/>
              <w:rPr>
                <w:sz w:val="7"/>
                <w:szCs w:val="7"/>
                <w:color w:val="auto"/>
              </w:rPr>
            </w:pPr>
          </w:p>
        </w:tc>
        <w:tc>
          <w:tcPr>
            <w:tcW w:w="1500" w:type="dxa"/>
            <w:vAlign w:val="bottom"/>
            <w:shd w:val="clear" w:color="auto" w:fill="2989B9"/>
          </w:tcPr>
          <w:p>
            <w:pPr>
              <w:spacing w:after="0"/>
              <w:rPr>
                <w:sz w:val="7"/>
                <w:szCs w:val="7"/>
                <w:color w:val="auto"/>
              </w:rPr>
            </w:pPr>
          </w:p>
        </w:tc>
        <w:tc>
          <w:tcPr>
            <w:tcW w:w="1480" w:type="dxa"/>
            <w:vAlign w:val="bottom"/>
          </w:tcPr>
          <w:p>
            <w:pPr>
              <w:spacing w:after="0"/>
              <w:rPr>
                <w:sz w:val="7"/>
                <w:szCs w:val="7"/>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2989B9"/>
        </w:rPr>
        <w:t>Note 07. Debt</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color w:val="282A32"/>
        </w:rPr>
        <w:t>Information concerning short-term borrowings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1500" w:type="dxa"/>
            <w:vAlign w:val="bottom"/>
            <w:tcBorders>
              <w:bottom w:val="single" w:sz="8" w:color="auto"/>
            </w:tcBorders>
            <w:shd w:val="clear" w:color="auto" w:fill="E1F4FD"/>
          </w:tcPr>
          <w:p>
            <w:pPr>
              <w:jc w:val="right"/>
              <w:ind w:right="60"/>
              <w:spacing w:after="0"/>
              <w:rPr>
                <w:sz w:val="20"/>
                <w:szCs w:val="20"/>
                <w:color w:val="auto"/>
              </w:rPr>
            </w:pPr>
            <w:r>
              <w:rPr>
                <w:rFonts w:ascii="Arial" w:cs="Arial" w:eastAsia="Arial" w:hAnsi="Arial"/>
                <w:sz w:val="11"/>
                <w:szCs w:val="11"/>
                <w:color w:val="4F8ABE"/>
              </w:rPr>
              <w:t>2016</w:t>
            </w:r>
          </w:p>
        </w:tc>
        <w:tc>
          <w:tcPr>
            <w:tcW w:w="15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2015</w:t>
            </w:r>
          </w:p>
        </w:tc>
      </w:tr>
      <w:tr>
        <w:trPr>
          <w:trHeight w:val="202"/>
        </w:trPr>
        <w:tc>
          <w:tcPr>
            <w:tcW w:w="8460" w:type="dxa"/>
            <w:vAlign w:val="bottom"/>
          </w:tcPr>
          <w:p>
            <w:pPr>
              <w:ind w:left="20"/>
              <w:spacing w:after="0"/>
              <w:rPr>
                <w:sz w:val="20"/>
                <w:szCs w:val="20"/>
                <w:color w:val="auto"/>
              </w:rPr>
            </w:pPr>
            <w:r>
              <w:rPr>
                <w:rFonts w:ascii="Arial" w:cs="Arial" w:eastAsia="Arial" w:hAnsi="Arial"/>
                <w:sz w:val="12"/>
                <w:szCs w:val="12"/>
                <w:color w:val="auto"/>
              </w:rPr>
              <w:t>Short-term borrowings</w:t>
            </w:r>
          </w:p>
        </w:tc>
        <w:tc>
          <w:tcPr>
            <w:tcW w:w="15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4F8ABE"/>
              </w:rPr>
              <w:t>$39.5</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$38.2</w:t>
            </w:r>
          </w:p>
        </w:tc>
      </w:tr>
      <w:tr>
        <w:trPr>
          <w:trHeight w:val="17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Weighted-average interest rates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4F8ABE"/>
              </w:rPr>
              <w:t>11.1%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w:t>
            </w:r>
          </w:p>
        </w:tc>
      </w:tr>
      <w:tr>
        <w:trPr>
          <w:trHeight w:val="91"/>
        </w:trPr>
        <w:tc>
          <w:tcPr>
            <w:tcW w:w="8460" w:type="dxa"/>
            <w:vAlign w:val="bottom"/>
          </w:tcPr>
          <w:p>
            <w:pPr>
              <w:spacing w:after="0"/>
              <w:rPr>
                <w:sz w:val="7"/>
                <w:szCs w:val="7"/>
                <w:color w:val="auto"/>
              </w:rPr>
            </w:pPr>
          </w:p>
        </w:tc>
        <w:tc>
          <w:tcPr>
            <w:tcW w:w="1500" w:type="dxa"/>
            <w:vAlign w:val="bottom"/>
            <w:shd w:val="clear" w:color="auto" w:fill="2989B9"/>
          </w:tcPr>
          <w:p>
            <w:pPr>
              <w:spacing w:after="0"/>
              <w:rPr>
                <w:sz w:val="7"/>
                <w:szCs w:val="7"/>
                <w:color w:val="auto"/>
              </w:rPr>
            </w:pPr>
          </w:p>
        </w:tc>
        <w:tc>
          <w:tcPr>
            <w:tcW w:w="15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5375275</wp:posOffset>
            </wp:positionH>
            <wp:positionV relativeFrom="paragraph">
              <wp:posOffset>-321310</wp:posOffset>
            </wp:positionV>
            <wp:extent cx="867410" cy="255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7410" cy="255905"/>
                    </a:xfrm>
                    <a:prstGeom prst="rect">
                      <a:avLst/>
                    </a:prstGeom>
                    <a:noFill/>
                  </pic:spPr>
                </pic:pic>
              </a:graphicData>
            </a:graphic>
          </wp:anchor>
        </w:drawing>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 maintain separate bank credit lines with financial institutions to meet working capital needs of our subsidiary operations. As of December 31, 2016, such uncommitted credit lines totaled $281.5, of which $241.3 was unused. Under our revolving credit agreement, total subsidiary borrowings cannot exceed $300.0 in the first, second and fourth quarters, and $600.0 in the third quarter of each year.</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82A32"/>
        </w:rPr>
        <w:t>A summary of long-term debt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136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1"/>
                <w:szCs w:val="11"/>
                <w:color w:val="4F8ABE"/>
              </w:rPr>
              <w:t>2016</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2015</w:t>
            </w:r>
          </w:p>
        </w:tc>
      </w:tr>
      <w:tr>
        <w:trPr>
          <w:trHeight w:val="186"/>
        </w:trPr>
        <w:tc>
          <w:tcPr>
            <w:tcW w:w="8700" w:type="dxa"/>
            <w:vAlign w:val="bottom"/>
          </w:tcPr>
          <w:p>
            <w:pPr>
              <w:ind w:left="20"/>
              <w:spacing w:after="0"/>
              <w:rPr>
                <w:sz w:val="20"/>
                <w:szCs w:val="20"/>
                <w:color w:val="auto"/>
              </w:rPr>
            </w:pPr>
            <w:r>
              <w:rPr>
                <w:rFonts w:ascii="Arial" w:cs="Arial" w:eastAsia="Arial" w:hAnsi="Arial"/>
                <w:sz w:val="12"/>
                <w:szCs w:val="12"/>
                <w:color w:val="auto"/>
              </w:rPr>
              <w:t>Euro-denominated notes:</w:t>
            </w:r>
          </w:p>
        </w:tc>
        <w:tc>
          <w:tcPr>
            <w:tcW w:w="1360" w:type="dxa"/>
            <w:vAlign w:val="bottom"/>
            <w:shd w:val="clear" w:color="auto" w:fill="E1F4FD"/>
          </w:tcPr>
          <w:p>
            <w:pPr>
              <w:spacing w:after="0"/>
              <w:rPr>
                <w:sz w:val="16"/>
                <w:szCs w:val="16"/>
                <w:color w:val="auto"/>
              </w:rPr>
            </w:pPr>
          </w:p>
        </w:tc>
        <w:tc>
          <w:tcPr>
            <w:tcW w:w="1380" w:type="dxa"/>
            <w:vAlign w:val="bottom"/>
          </w:tcPr>
          <w:p>
            <w:pPr>
              <w:spacing w:after="0"/>
              <w:rPr>
                <w:sz w:val="16"/>
                <w:szCs w:val="16"/>
                <w:color w:val="auto"/>
              </w:rPr>
            </w:pPr>
          </w:p>
        </w:tc>
      </w:tr>
      <w:tr>
        <w:trPr>
          <w:trHeight w:val="207"/>
        </w:trPr>
        <w:tc>
          <w:tcPr>
            <w:tcW w:w="8700" w:type="dxa"/>
            <w:vAlign w:val="bottom"/>
          </w:tcPr>
          <w:p>
            <w:pPr>
              <w:ind w:left="160"/>
              <w:spacing w:after="0"/>
              <w:rPr>
                <w:sz w:val="20"/>
                <w:szCs w:val="20"/>
                <w:color w:val="auto"/>
              </w:rPr>
            </w:pPr>
            <w:r>
              <w:rPr>
                <w:rFonts w:ascii="Arial" w:cs="Arial" w:eastAsia="Arial" w:hAnsi="Arial"/>
                <w:sz w:val="12"/>
                <w:szCs w:val="12"/>
                <w:color w:val="auto"/>
              </w:rPr>
              <w:t>€400 due September 2022</w:t>
            </w:r>
          </w:p>
        </w:tc>
        <w:tc>
          <w:tcPr>
            <w:tcW w:w="136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$417.7</w:t>
            </w: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$431.0</w:t>
            </w:r>
          </w:p>
        </w:tc>
      </w:tr>
      <w:tr>
        <w:trPr>
          <w:trHeight w:val="186"/>
        </w:trPr>
        <w:tc>
          <w:tcPr>
            <w:tcW w:w="8700" w:type="dxa"/>
            <w:vAlign w:val="bottom"/>
          </w:tcPr>
          <w:p>
            <w:pPr>
              <w:ind w:left="160"/>
              <w:spacing w:after="0"/>
              <w:rPr>
                <w:sz w:val="20"/>
                <w:szCs w:val="20"/>
                <w:color w:val="auto"/>
              </w:rPr>
            </w:pPr>
            <w:r>
              <w:rPr>
                <w:rFonts w:ascii="Arial" w:cs="Arial" w:eastAsia="Arial" w:hAnsi="Arial"/>
                <w:sz w:val="12"/>
                <w:szCs w:val="12"/>
                <w:color w:val="auto"/>
              </w:rPr>
              <w:t>€350 due June 2018</w:t>
            </w:r>
          </w:p>
        </w:tc>
        <w:tc>
          <w:tcPr>
            <w:tcW w:w="1360" w:type="dxa"/>
            <w:vAlign w:val="bottom"/>
            <w:shd w:val="clear" w:color="auto" w:fill="E1F4FD"/>
          </w:tcPr>
          <w:p>
            <w:pPr>
              <w:jc w:val="right"/>
              <w:ind w:right="39"/>
              <w:spacing w:after="0"/>
              <w:rPr>
                <w:sz w:val="20"/>
                <w:szCs w:val="20"/>
                <w:color w:val="auto"/>
              </w:rPr>
            </w:pPr>
            <w:r>
              <w:rPr>
                <w:rFonts w:ascii="Arial" w:cs="Arial" w:eastAsia="Arial" w:hAnsi="Arial"/>
                <w:sz w:val="12"/>
                <w:szCs w:val="12"/>
                <w:color w:val="4F8ABE"/>
              </w:rPr>
              <w:t>367.5</w:t>
            </w:r>
          </w:p>
        </w:tc>
        <w:tc>
          <w:tcPr>
            <w:tcW w:w="1380" w:type="dxa"/>
            <w:vAlign w:val="bottom"/>
          </w:tcPr>
          <w:p>
            <w:pPr>
              <w:jc w:val="right"/>
              <w:ind w:right="59"/>
              <w:spacing w:after="0"/>
              <w:rPr>
                <w:sz w:val="20"/>
                <w:szCs w:val="20"/>
                <w:color w:val="auto"/>
              </w:rPr>
            </w:pPr>
            <w:r>
              <w:rPr>
                <w:rFonts w:ascii="Arial" w:cs="Arial" w:eastAsia="Arial" w:hAnsi="Arial"/>
                <w:sz w:val="12"/>
                <w:szCs w:val="12"/>
                <w:color w:val="auto"/>
              </w:rPr>
              <w:t>379.2</w:t>
            </w:r>
          </w:p>
        </w:tc>
      </w:tr>
      <w:tr>
        <w:trPr>
          <w:trHeight w:val="194"/>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w:t>
            </w:r>
          </w:p>
        </w:tc>
        <w:tc>
          <w:tcPr>
            <w:tcW w:w="136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2"/>
                <w:szCs w:val="12"/>
                <w:color w:val="4F8ABE"/>
              </w:rPr>
              <w:t>0.7</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6.7</w:t>
            </w:r>
          </w:p>
        </w:tc>
      </w:tr>
      <w:tr>
        <w:trPr>
          <w:trHeight w:val="197"/>
        </w:trPr>
        <w:tc>
          <w:tcPr>
            <w:tcW w:w="8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2"/>
                <w:szCs w:val="12"/>
                <w:color w:val="4F8ABE"/>
              </w:rPr>
              <w:t>785.9</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816.9</w:t>
            </w:r>
          </w:p>
        </w:tc>
      </w:tr>
      <w:tr>
        <w:trPr>
          <w:trHeight w:val="177"/>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Less — current maturities</w:t>
            </w:r>
          </w:p>
        </w:tc>
        <w:tc>
          <w:tcPr>
            <w:tcW w:w="136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2"/>
                <w:szCs w:val="12"/>
                <w:color w:val="4F8ABE"/>
              </w:rPr>
              <w:t>0.3</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6.0</w:t>
            </w:r>
          </w:p>
        </w:tc>
      </w:tr>
      <w:tr>
        <w:trPr>
          <w:trHeight w:val="197"/>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Long-term debt</w:t>
            </w:r>
          </w:p>
        </w:tc>
        <w:tc>
          <w:tcPr>
            <w:tcW w:w="136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2"/>
                <w:szCs w:val="12"/>
                <w:color w:val="4F8ABE"/>
              </w:rPr>
              <w:t>$785.6</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$810.9</w:t>
            </w:r>
          </w:p>
        </w:tc>
      </w:tr>
      <w:tr>
        <w:trPr>
          <w:trHeight w:val="91"/>
        </w:trPr>
        <w:tc>
          <w:tcPr>
            <w:tcW w:w="8700" w:type="dxa"/>
            <w:vAlign w:val="bottom"/>
          </w:tcPr>
          <w:p>
            <w:pPr>
              <w:spacing w:after="0"/>
              <w:rPr>
                <w:sz w:val="7"/>
                <w:szCs w:val="7"/>
                <w:color w:val="auto"/>
              </w:rPr>
            </w:pPr>
          </w:p>
        </w:tc>
        <w:tc>
          <w:tcPr>
            <w:tcW w:w="1360" w:type="dxa"/>
            <w:vAlign w:val="bottom"/>
            <w:shd w:val="clear" w:color="auto" w:fill="2989B9"/>
          </w:tcPr>
          <w:p>
            <w:pPr>
              <w:spacing w:after="0"/>
              <w:rPr>
                <w:sz w:val="7"/>
                <w:szCs w:val="7"/>
                <w:color w:val="auto"/>
              </w:rPr>
            </w:pPr>
          </w:p>
        </w:tc>
        <w:tc>
          <w:tcPr>
            <w:tcW w:w="1380" w:type="dxa"/>
            <w:vAlign w:val="bottom"/>
          </w:tcPr>
          <w:p>
            <w:pPr>
              <w:spacing w:after="0"/>
              <w:rPr>
                <w:sz w:val="7"/>
                <w:szCs w:val="7"/>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2989B9"/>
        </w:rPr>
        <w:t>Euro Notes</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282A32"/>
        </w:rPr>
        <w:t>On September 11, 2015, we offered and sold €400.0 aggregate principal amount of the Company's 1.875% notes due September 11, 2022 (the "€400.0 Notes"). The net proceeds from the €400.0 Notes of €397.4 were used for general corporate purposes, including share repurchases and the acquisition of or investment in complementary businesses or other assets. The €400.0 Notes were issued at a price of 99.753% to yield an effective interest rate of 1.913%. Interest on the €400.0 Notes is payable in arrears on September 11 of each year. We may redeem the €400.0 Notes, in whole but not in part, at our option at any time for a redemption price determined in accordance with the term of the €400.0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67</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12"/>
          <w:szCs w:val="12"/>
          <w:color w:val="282A32"/>
        </w:rPr>
        <w:t>We also have €350.0 aggregate principal amount 4.50% notes due June 22, 2018 (the “€350.0 Notes”), which were issued at a price of 99.974% to yield an effective interest rate of 4.505%. Interest on the €350.0 Notes is payable in arrears on June 22 of each year. We may redeem the €350.0 Notes, in whole but not in part, at our option at any time for a redemption price determined in accordance with the term of the €350.0 Notes.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When the €400.0 Notes and €350.0 Notes mature, we plan to repay the amounts with available cash, borrowings under our $600.0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€400.0 Notes or the €350.0 Notes.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Both the €400.0 Notes and €350.0 Notes contain certain customary non-financial restrictive covenants and events of default and are unsecured senior obligations and rank equally with all of our existing and future senior unsecured debt and other liabilities. A portion of these notes has been designated as a hedge of our net investment in subsidiaries with a Euro-functional currency as of December 31, 2016. For this portion of the Euro-denominated notes,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Revolving Credit Agreement</w:t>
      </w:r>
    </w:p>
    <w:p>
      <w:pPr>
        <w:spacing w:after="0" w:line="152"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282A32"/>
        </w:rPr>
        <w:t xml:space="preserve">We have a Five Year Credit Agreement (the “Credit Agreement”) with a syndicate of commercial banks with a termination date of September 16, 2020. The Credit Agreement allows for borrowing of $600.0 in various currencies, and up to $150.0 may be used for the issuance of stand-by letters of credit. We had </w:t>
      </w:r>
      <w:r>
        <w:rPr>
          <w:rFonts w:ascii="Arial" w:cs="Arial" w:eastAsia="Arial" w:hAnsi="Arial"/>
          <w:sz w:val="12"/>
          <w:szCs w:val="12"/>
          <w:color w:val="000000"/>
        </w:rPr>
        <w:t>no</w:t>
      </w:r>
      <w:r>
        <w:rPr>
          <w:rFonts w:ascii="Arial" w:cs="Arial" w:eastAsia="Arial" w:hAnsi="Arial"/>
          <w:sz w:val="12"/>
          <w:szCs w:val="12"/>
          <w:color w:val="282A32"/>
        </w:rPr>
        <w:t xml:space="preserve"> borrowings under this facility as of both December 31, 2016 and 2015. Outstanding letters of credit issued under the Credit Agreement totaled $0.8 and $0.9 as of December 31, 2016 and 2015, respectively. Additional borrowings of $599.2 and $599.1 were available to us under the facility as of December 31, 2016 and 2015, respectively.</w:t>
      </w:r>
    </w:p>
    <w:p>
      <w:pPr>
        <w:spacing w:after="0" w:line="123" w:lineRule="exact"/>
        <w:rPr>
          <w:sz w:val="20"/>
          <w:szCs w:val="20"/>
          <w:color w:val="auto"/>
        </w:rPr>
      </w:pPr>
    </w:p>
    <w:p>
      <w:pPr>
        <w:ind w:right="240"/>
        <w:spacing w:after="0" w:line="269" w:lineRule="auto"/>
        <w:rPr>
          <w:sz w:val="20"/>
          <w:szCs w:val="20"/>
          <w:color w:val="auto"/>
        </w:rPr>
      </w:pPr>
      <w:r>
        <w:rPr>
          <w:rFonts w:ascii="Arial" w:cs="Arial" w:eastAsia="Arial" w:hAnsi="Arial"/>
          <w:sz w:val="12"/>
          <w:szCs w:val="12"/>
          <w:color w:val="282A32"/>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Debt Maturities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The maturities of long-term debt payable within each of the four years subsequent to December 31, 2017 are as follows: 2018 — $367.8, 2019 — $0.1, 2020 — $0.0, 2021 — $0.0.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68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2989B9"/>
        </w:rPr>
        <w:t>Note 08. Retirement and Deferred Compensation Plans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For all of our United States defined benefit and retiree health care plans, we adopted the Society of Actuaries’ RP-2006 mortality table with MP-2016 projection scale in determining the plans’ benefit obligations as of December 31, 2016.</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282A32"/>
        </w:rPr>
        <w:t>Beginning in 2016, we changed the method we use to estimate the service and interest cost components of net periodic benefit cost for all of our United States defined benefit plans. Historically, the service and interest cost components had been estimated utilizing a single weighted-average discount rate derived from the yield curve used to measure the benefit obligation at the beginning of the year. For 2016, we utilized a full yield curve approach to estimate these components by applying specific spot rates along the yield curve used in the determination of the benefit obligation to the relevant projected cash flows. We made this change to improve the correlation between projected benefit cash flows and the corresponding yield curve spot rates and to provide a more precise measurement of service and interest costs. This change resulted in a decrease in the 2016 service costs and interest components with an equal offset to actuarial gains (losses) with no net impact on the total benefit obligation. This change was accounted for prospectively as a change in accounting estimate.</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For two of our United States defined benefit plans, we changed the amortization period for gains and losses as of December 31, 2015. We elected to use the average remaining life expectancy instead of the average remaining service period for recognizing the gain/loss amortization component of net periodic benefit cost, as almost all of the plans' participants are now inactive. The impact of this change was not material to the Consolidated Financial Statements. This change was accounted for prospectively as a change in accounting estimate.</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2989B9"/>
        </w:rPr>
        <w:t>Defined Benefit Pension Plans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sponsor several qualified and nonqualified pensi</w:t>
      </w:r>
      <w:r>
        <w:rPr>
          <w:rFonts w:ascii="Arial" w:cs="Arial" w:eastAsia="Arial" w:hAnsi="Arial"/>
          <w:sz w:val="12"/>
          <w:szCs w:val="12"/>
          <w:color w:val="000000"/>
        </w:rPr>
        <w:t>on plans covering permanent employees. During 2016, we transitioned an additional German plan associated with the employees who were transferred in</w:t>
      </w:r>
      <w:r>
        <w:rPr>
          <w:rFonts w:ascii="Arial" w:cs="Arial" w:eastAsia="Arial" w:hAnsi="Arial"/>
          <w:sz w:val="12"/>
          <w:szCs w:val="12"/>
          <w:color w:val="282A32"/>
        </w:rPr>
        <w:t xml:space="preserve"> </w:t>
      </w:r>
      <w:r>
        <w:rPr>
          <w:rFonts w:ascii="Arial" w:cs="Arial" w:eastAsia="Arial" w:hAnsi="Arial"/>
          <w:sz w:val="12"/>
          <w:szCs w:val="12"/>
          <w:color w:val="000000"/>
        </w:rPr>
        <w:t>as part of a new client contract. The unfunded portion of this plan was $56.8 as of December 31, 2016 and will be funded by the client at the end of the contract. We have received a bank guarantee to cover the counterparty risk associated with this unfunded amount. The reconciliation of the changes in the plans’ benefit obligations and the fair value of plan assets and the funded status of the plans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color w:val="auto"/>
              </w:rPr>
              <w:t>United States Plans</w:t>
            </w:r>
          </w:p>
        </w:tc>
        <w:tc>
          <w:tcPr>
            <w:tcW w:w="1180" w:type="dxa"/>
            <w:vAlign w:val="bottom"/>
          </w:tcPr>
          <w:p>
            <w:pPr>
              <w:spacing w:after="0"/>
              <w:rPr>
                <w:sz w:val="11"/>
                <w:szCs w:val="11"/>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1"/>
                <w:szCs w:val="11"/>
                <w:color w:val="auto"/>
                <w:w w:val="99"/>
              </w:rPr>
              <w:t>Non-United States Plans</w:t>
            </w:r>
          </w:p>
        </w:tc>
      </w:tr>
      <w:tr>
        <w:trPr>
          <w:trHeight w:val="18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280" w:type="dxa"/>
            <w:vAlign w:val="bottom"/>
            <w:tcBorders>
              <w:top w:val="single" w:sz="8" w:color="auto"/>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c>
          <w:tcPr>
            <w:tcW w:w="120" w:type="dxa"/>
            <w:vAlign w:val="bottom"/>
            <w:tcBorders>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shd w:val="clear" w:color="auto" w:fill="E1F4FD"/>
          </w:tcPr>
          <w:p>
            <w:pPr>
              <w:jc w:val="right"/>
              <w:spacing w:after="0"/>
              <w:rPr>
                <w:sz w:val="20"/>
                <w:szCs w:val="20"/>
                <w:color w:val="auto"/>
              </w:rPr>
            </w:pPr>
            <w:r>
              <w:rPr>
                <w:rFonts w:ascii="Arial" w:cs="Arial" w:eastAsia="Arial" w:hAnsi="Arial"/>
                <w:sz w:val="11"/>
                <w:szCs w:val="11"/>
                <w:color w:val="4F8ABE"/>
              </w:rPr>
              <w:t>2016</w:t>
            </w:r>
          </w:p>
        </w:tc>
        <w:tc>
          <w:tcPr>
            <w:tcW w:w="80" w:type="dxa"/>
            <w:vAlign w:val="bottom"/>
            <w:tcBorders>
              <w:top w:val="single" w:sz="8" w:color="auto"/>
              <w:bottom w:val="single" w:sz="8" w:color="auto"/>
            </w:tcBorders>
            <w:shd w:val="clear" w:color="auto" w:fill="E1F4FD"/>
          </w:tcPr>
          <w:p>
            <w:pPr>
              <w:spacing w:after="0"/>
              <w:rPr>
                <w:sz w:val="16"/>
                <w:szCs w:val="16"/>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r>
      <w:tr>
        <w:trPr>
          <w:trHeight w:val="352"/>
        </w:trPr>
        <w:tc>
          <w:tcPr>
            <w:tcW w:w="6320" w:type="dxa"/>
            <w:vAlign w:val="bottom"/>
          </w:tcPr>
          <w:p>
            <w:pPr>
              <w:ind w:left="20"/>
              <w:spacing w:after="0"/>
              <w:rPr>
                <w:sz w:val="20"/>
                <w:szCs w:val="20"/>
                <w:color w:val="auto"/>
              </w:rPr>
            </w:pPr>
            <w:r>
              <w:rPr>
                <w:rFonts w:ascii="Arial" w:cs="Arial" w:eastAsia="Arial" w:hAnsi="Arial"/>
                <w:sz w:val="12"/>
                <w:szCs w:val="12"/>
                <w:color w:val="4F8ABE"/>
              </w:rPr>
              <w:t>Change in Benefit Obligation</w:t>
            </w:r>
          </w:p>
        </w:tc>
        <w:tc>
          <w:tcPr>
            <w:tcW w:w="1280" w:type="dxa"/>
            <w:vAlign w:val="bottom"/>
            <w:shd w:val="clear" w:color="auto" w:fill="E1F4FD"/>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shd w:val="clear" w:color="auto" w:fill="E1F4FD"/>
          </w:tcPr>
          <w:p>
            <w:pPr>
              <w:spacing w:after="0"/>
              <w:rPr>
                <w:sz w:val="24"/>
                <w:szCs w:val="24"/>
                <w:color w:val="auto"/>
              </w:rPr>
            </w:pPr>
          </w:p>
        </w:tc>
        <w:tc>
          <w:tcPr>
            <w:tcW w:w="80" w:type="dxa"/>
            <w:vAlign w:val="bottom"/>
            <w:shd w:val="clear" w:color="auto" w:fill="E1F4FD"/>
          </w:tcPr>
          <w:p>
            <w:pPr>
              <w:spacing w:after="0"/>
              <w:rPr>
                <w:sz w:val="24"/>
                <w:szCs w:val="24"/>
                <w:color w:val="auto"/>
              </w:rPr>
            </w:pPr>
          </w:p>
        </w:tc>
        <w:tc>
          <w:tcPr>
            <w:tcW w:w="1240" w:type="dxa"/>
            <w:vAlign w:val="bottom"/>
          </w:tcPr>
          <w:p>
            <w:pPr>
              <w:spacing w:after="0"/>
              <w:rPr>
                <w:sz w:val="24"/>
                <w:szCs w:val="24"/>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2"/>
                <w:szCs w:val="12"/>
                <w:color w:val="auto"/>
              </w:rPr>
              <w:t>Benefit obligation, beginning of year</w:t>
            </w:r>
          </w:p>
        </w:tc>
        <w:tc>
          <w:tcPr>
            <w:tcW w:w="12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$53.1</w:t>
            </w: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$56.6</w:t>
            </w:r>
          </w:p>
        </w:tc>
        <w:tc>
          <w:tcPr>
            <w:tcW w:w="120" w:type="dxa"/>
            <w:vAlign w:val="bottom"/>
          </w:tcPr>
          <w:p>
            <w:pPr>
              <w:spacing w:after="0"/>
              <w:rPr>
                <w:sz w:val="19"/>
                <w:szCs w:val="19"/>
                <w:color w:val="auto"/>
              </w:rPr>
            </w:pPr>
          </w:p>
        </w:tc>
        <w:tc>
          <w:tcPr>
            <w:tcW w:w="118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$326.1</w:t>
            </w:r>
          </w:p>
        </w:tc>
        <w:tc>
          <w:tcPr>
            <w:tcW w:w="80" w:type="dxa"/>
            <w:vAlign w:val="bottom"/>
            <w:shd w:val="clear" w:color="auto" w:fill="E1F4FD"/>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$385.4</w:t>
            </w:r>
          </w:p>
        </w:tc>
      </w:tr>
      <w:tr>
        <w:trPr>
          <w:trHeight w:val="191"/>
        </w:trPr>
        <w:tc>
          <w:tcPr>
            <w:tcW w:w="6320" w:type="dxa"/>
            <w:vAlign w:val="bottom"/>
          </w:tcPr>
          <w:p>
            <w:pPr>
              <w:ind w:left="240"/>
              <w:spacing w:after="0"/>
              <w:rPr>
                <w:sz w:val="20"/>
                <w:szCs w:val="20"/>
                <w:color w:val="auto"/>
              </w:rPr>
            </w:pPr>
            <w:r>
              <w:rPr>
                <w:rFonts w:ascii="Arial" w:cs="Arial" w:eastAsia="Arial" w:hAnsi="Arial"/>
                <w:sz w:val="12"/>
                <w:szCs w:val="12"/>
                <w:color w:val="auto"/>
              </w:rPr>
              <w:t>Service cost</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4F8ABE"/>
              </w:rPr>
              <w:t>8.0</w:t>
            </w:r>
          </w:p>
        </w:tc>
        <w:tc>
          <w:tcPr>
            <w:tcW w:w="8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7.2</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Interest cost</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1.8</w:t>
            </w: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4F8ABE"/>
              </w:rPr>
              <w:t>10.0</w:t>
            </w:r>
          </w:p>
        </w:tc>
        <w:tc>
          <w:tcPr>
            <w:tcW w:w="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10.6</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Curtailment and settlement</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4F8ABE"/>
              </w:rPr>
              <w:t>(29.0)</w:t>
            </w:r>
          </w:p>
        </w:tc>
        <w:tc>
          <w:tcPr>
            <w:tcW w:w="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Transfers</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4F8ABE"/>
              </w:rPr>
              <w:t>105.4</w:t>
            </w:r>
          </w:p>
        </w:tc>
        <w:tc>
          <w:tcPr>
            <w:tcW w:w="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5.2</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Actuarial loss (gain)</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2.2</w:t>
            </w:r>
          </w:p>
        </w:tc>
        <w:tc>
          <w:tcPr>
            <w:tcW w:w="124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4F8ABE"/>
              </w:rPr>
              <w:t>39.8</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(43.2)</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Plan participant contributions</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4F8ABE"/>
              </w:rPr>
              <w:t>0.2</w:t>
            </w:r>
          </w:p>
        </w:tc>
        <w:tc>
          <w:tcPr>
            <w:tcW w:w="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0.2</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Benefits paid</w:t>
            </w:r>
          </w:p>
        </w:tc>
        <w:tc>
          <w:tcPr>
            <w:tcW w:w="1280" w:type="dxa"/>
            <w:vAlign w:val="bottom"/>
          </w:tcPr>
          <w:p>
            <w:pPr>
              <w:jc w:val="right"/>
              <w:ind w:right="19"/>
              <w:spacing w:after="0"/>
              <w:rPr>
                <w:sz w:val="20"/>
                <w:szCs w:val="20"/>
                <w:color w:val="auto"/>
              </w:rPr>
            </w:pPr>
            <w:r>
              <w:rPr>
                <w:rFonts w:ascii="Arial" w:cs="Arial" w:eastAsia="Arial" w:hAnsi="Arial"/>
                <w:sz w:val="12"/>
                <w:szCs w:val="12"/>
                <w:color w:val="4F8ABE"/>
              </w:rPr>
              <w:t>(4.0)</w:t>
            </w:r>
          </w:p>
        </w:tc>
        <w:tc>
          <w:tcPr>
            <w:tcW w:w="124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4F8ABE"/>
              </w:rPr>
              <w:t>(7.7)</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15"/>
        </w:trPr>
        <w:tc>
          <w:tcPr>
            <w:tcW w:w="6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Currency exchange rate changes</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4F8ABE"/>
              </w:rPr>
              <w:t>(36.8)</w:t>
            </w: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w:t>
            </w:r>
          </w:p>
        </w:tc>
      </w:tr>
      <w:tr>
        <w:trPr>
          <w:trHeight w:val="332"/>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Benefit obligation, end of year</w:t>
            </w:r>
          </w:p>
        </w:tc>
        <w:tc>
          <w:tcPr>
            <w:tcW w:w="12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$53.1</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$53.1</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rPr>
              <w:t>$416.0</w:t>
            </w:r>
          </w:p>
        </w:tc>
        <w:tc>
          <w:tcPr>
            <w:tcW w:w="80" w:type="dxa"/>
            <w:vAlign w:val="bottom"/>
            <w:tcBorders>
              <w:bottom w:val="single" w:sz="8" w:color="auto"/>
            </w:tcBorders>
            <w:shd w:val="clear" w:color="auto" w:fill="E1F4FD"/>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$326.1</w:t>
            </w:r>
          </w:p>
        </w:tc>
      </w:tr>
      <w:tr>
        <w:trPr>
          <w:trHeight w:val="490"/>
        </w:trPr>
        <w:tc>
          <w:tcPr>
            <w:tcW w:w="6320" w:type="dxa"/>
            <w:vAlign w:val="bottom"/>
          </w:tcPr>
          <w:p>
            <w:pPr>
              <w:ind w:left="40"/>
              <w:spacing w:after="0"/>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69</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3"/>
          </w:tcPr>
          <w:p>
            <w:pPr>
              <w:jc w:val="right"/>
              <w:spacing w:after="0"/>
              <w:rPr>
                <w:sz w:val="20"/>
                <w:szCs w:val="20"/>
                <w:color w:val="auto"/>
              </w:rPr>
            </w:pPr>
            <w:r>
              <w:rPr>
                <w:rFonts w:ascii="Arial" w:cs="Arial" w:eastAsia="Arial" w:hAnsi="Arial"/>
                <w:sz w:val="9"/>
                <w:szCs w:val="9"/>
                <w:color w:val="auto"/>
              </w:rPr>
              <w:t>Notes to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-1724025</wp:posOffset>
            </wp:positionV>
            <wp:extent cx="814705" cy="1182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4705" cy="118237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-1724025</wp:posOffset>
            </wp:positionV>
            <wp:extent cx="795020" cy="1182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5020" cy="1182370"/>
                    </a:xfrm>
                    <a:prstGeom prst="rect">
                      <a:avLst/>
                    </a:prstGeom>
                    <a:noFill/>
                  </pic:spPr>
                </pic:pic>
              </a:graphicData>
            </a:graphic>
          </wp:anchor>
        </w:drawing>
      </w:r>
    </w:p>
    <w:p>
      <w:pPr>
        <w:sectPr>
          <w:pgSz w:w="11900" w:h="16838" w:orient="portrait"/>
          <w:cols w:equalWidth="0" w:num="1">
            <w:col w:w="11460"/>
          </w:cols>
          <w:pgMar w:left="220" w:top="383"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36"/>
        </w:trPr>
        <w:tc>
          <w:tcPr>
            <w:tcW w:w="6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color w:val="auto"/>
              </w:rPr>
              <w:t>United States Plans</w:t>
            </w:r>
          </w:p>
        </w:tc>
        <w:tc>
          <w:tcPr>
            <w:tcW w:w="1180" w:type="dxa"/>
            <w:vAlign w:val="bottom"/>
          </w:tcPr>
          <w:p>
            <w:pPr>
              <w:spacing w:after="0"/>
              <w:rPr>
                <w:sz w:val="11"/>
                <w:szCs w:val="11"/>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1"/>
                <w:szCs w:val="11"/>
                <w:color w:val="auto"/>
                <w:w w:val="99"/>
              </w:rPr>
              <w:t>Non-United States Plans</w:t>
            </w:r>
          </w:p>
        </w:tc>
      </w:tr>
      <w:tr>
        <w:trPr>
          <w:trHeight w:val="18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280" w:type="dxa"/>
            <w:vAlign w:val="bottom"/>
            <w:tcBorders>
              <w:top w:val="single" w:sz="8" w:color="auto"/>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c>
          <w:tcPr>
            <w:tcW w:w="120" w:type="dxa"/>
            <w:vAlign w:val="bottom"/>
            <w:tcBorders>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shd w:val="clear" w:color="auto" w:fill="E1F4FD"/>
          </w:tcPr>
          <w:p>
            <w:pPr>
              <w:jc w:val="right"/>
              <w:spacing w:after="0"/>
              <w:rPr>
                <w:sz w:val="20"/>
                <w:szCs w:val="20"/>
                <w:color w:val="auto"/>
              </w:rPr>
            </w:pPr>
            <w:r>
              <w:rPr>
                <w:rFonts w:ascii="Arial" w:cs="Arial" w:eastAsia="Arial" w:hAnsi="Arial"/>
                <w:sz w:val="11"/>
                <w:szCs w:val="11"/>
                <w:color w:val="4F8ABE"/>
              </w:rPr>
              <w:t>2016</w:t>
            </w:r>
          </w:p>
        </w:tc>
        <w:tc>
          <w:tcPr>
            <w:tcW w:w="80" w:type="dxa"/>
            <w:vAlign w:val="bottom"/>
            <w:tcBorders>
              <w:top w:val="single" w:sz="8" w:color="auto"/>
              <w:bottom w:val="single" w:sz="8" w:color="auto"/>
            </w:tcBorders>
            <w:shd w:val="clear" w:color="auto" w:fill="E1F4FD"/>
          </w:tcPr>
          <w:p>
            <w:pPr>
              <w:spacing w:after="0"/>
              <w:rPr>
                <w:sz w:val="16"/>
                <w:szCs w:val="16"/>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r>
      <w:tr>
        <w:trPr>
          <w:trHeight w:val="352"/>
        </w:trPr>
        <w:tc>
          <w:tcPr>
            <w:tcW w:w="6320" w:type="dxa"/>
            <w:vAlign w:val="bottom"/>
          </w:tcPr>
          <w:p>
            <w:pPr>
              <w:ind w:left="20"/>
              <w:spacing w:after="0"/>
              <w:rPr>
                <w:sz w:val="20"/>
                <w:szCs w:val="20"/>
                <w:color w:val="auto"/>
              </w:rPr>
            </w:pPr>
            <w:r>
              <w:rPr>
                <w:rFonts w:ascii="Arial" w:cs="Arial" w:eastAsia="Arial" w:hAnsi="Arial"/>
                <w:sz w:val="12"/>
                <w:szCs w:val="12"/>
                <w:color w:val="4F8ABE"/>
              </w:rPr>
              <w:t>Change in Plan Assets</w:t>
            </w:r>
          </w:p>
        </w:tc>
        <w:tc>
          <w:tcPr>
            <w:tcW w:w="1280" w:type="dxa"/>
            <w:vAlign w:val="bottom"/>
            <w:shd w:val="clear" w:color="auto" w:fill="E1F4FD"/>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shd w:val="clear" w:color="auto" w:fill="E1F4FD"/>
          </w:tcPr>
          <w:p>
            <w:pPr>
              <w:spacing w:after="0"/>
              <w:rPr>
                <w:sz w:val="24"/>
                <w:szCs w:val="24"/>
                <w:color w:val="auto"/>
              </w:rPr>
            </w:pPr>
          </w:p>
        </w:tc>
        <w:tc>
          <w:tcPr>
            <w:tcW w:w="80" w:type="dxa"/>
            <w:vAlign w:val="bottom"/>
            <w:shd w:val="clear" w:color="auto" w:fill="E1F4FD"/>
          </w:tcPr>
          <w:p>
            <w:pPr>
              <w:spacing w:after="0"/>
              <w:rPr>
                <w:sz w:val="24"/>
                <w:szCs w:val="24"/>
                <w:color w:val="auto"/>
              </w:rPr>
            </w:pPr>
          </w:p>
        </w:tc>
        <w:tc>
          <w:tcPr>
            <w:tcW w:w="1240" w:type="dxa"/>
            <w:vAlign w:val="bottom"/>
          </w:tcPr>
          <w:p>
            <w:pPr>
              <w:spacing w:after="0"/>
              <w:rPr>
                <w:sz w:val="24"/>
                <w:szCs w:val="24"/>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2"/>
                <w:szCs w:val="12"/>
                <w:color w:val="auto"/>
              </w:rPr>
              <w:t>Fair value of plan assets, beginning of year</w:t>
            </w:r>
          </w:p>
        </w:tc>
        <w:tc>
          <w:tcPr>
            <w:tcW w:w="12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$37.2</w:t>
            </w: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$40.6</w:t>
            </w:r>
          </w:p>
        </w:tc>
        <w:tc>
          <w:tcPr>
            <w:tcW w:w="120" w:type="dxa"/>
            <w:vAlign w:val="bottom"/>
          </w:tcPr>
          <w:p>
            <w:pPr>
              <w:spacing w:after="0"/>
              <w:rPr>
                <w:sz w:val="19"/>
                <w:szCs w:val="19"/>
                <w:color w:val="auto"/>
              </w:rPr>
            </w:pPr>
          </w:p>
        </w:tc>
        <w:tc>
          <w:tcPr>
            <w:tcW w:w="118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$314.7</w:t>
            </w:r>
          </w:p>
        </w:tc>
        <w:tc>
          <w:tcPr>
            <w:tcW w:w="80" w:type="dxa"/>
            <w:vAlign w:val="bottom"/>
            <w:shd w:val="clear" w:color="auto" w:fill="E1F4FD"/>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$349.1</w:t>
            </w:r>
          </w:p>
        </w:tc>
      </w:tr>
      <w:tr>
        <w:trPr>
          <w:trHeight w:val="191"/>
        </w:trPr>
        <w:tc>
          <w:tcPr>
            <w:tcW w:w="6320" w:type="dxa"/>
            <w:vAlign w:val="bottom"/>
          </w:tcPr>
          <w:p>
            <w:pPr>
              <w:ind w:left="240"/>
              <w:spacing w:after="0"/>
              <w:rPr>
                <w:sz w:val="20"/>
                <w:szCs w:val="20"/>
                <w:color w:val="auto"/>
              </w:rPr>
            </w:pPr>
            <w:r>
              <w:rPr>
                <w:rFonts w:ascii="Arial" w:cs="Arial" w:eastAsia="Arial" w:hAnsi="Arial"/>
                <w:sz w:val="12"/>
                <w:szCs w:val="12"/>
                <w:color w:val="auto"/>
              </w:rPr>
              <w:t>Actual return on plan assets</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1.7</w:t>
            </w:r>
          </w:p>
        </w:tc>
        <w:tc>
          <w:tcPr>
            <w:tcW w:w="124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4F8ABE"/>
              </w:rPr>
              <w:t>44.6</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211"/>
        </w:trPr>
        <w:tc>
          <w:tcPr>
            <w:tcW w:w="6320" w:type="dxa"/>
            <w:vAlign w:val="bottom"/>
          </w:tcPr>
          <w:p>
            <w:pPr>
              <w:ind w:left="240"/>
              <w:spacing w:after="0"/>
              <w:rPr>
                <w:sz w:val="20"/>
                <w:szCs w:val="20"/>
                <w:color w:val="auto"/>
              </w:rPr>
            </w:pPr>
            <w:r>
              <w:rPr>
                <w:rFonts w:ascii="Arial" w:cs="Arial" w:eastAsia="Arial" w:hAnsi="Arial"/>
                <w:sz w:val="12"/>
                <w:szCs w:val="12"/>
                <w:color w:val="auto"/>
              </w:rPr>
              <w:t>Settlement</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4F8ABE"/>
              </w:rPr>
              <w:t>(26.1)</w:t>
            </w:r>
          </w:p>
        </w:tc>
        <w:tc>
          <w:tcPr>
            <w:tcW w:w="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Transfers</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4F8ABE"/>
              </w:rPr>
              <w:t>34.9</w:t>
            </w:r>
          </w:p>
        </w:tc>
        <w:tc>
          <w:tcPr>
            <w:tcW w:w="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203"/>
        </w:trPr>
        <w:tc>
          <w:tcPr>
            <w:tcW w:w="6320" w:type="dxa"/>
            <w:vAlign w:val="bottom"/>
          </w:tcPr>
          <w:p>
            <w:pPr>
              <w:ind w:left="240"/>
              <w:spacing w:after="0"/>
              <w:rPr>
                <w:sz w:val="20"/>
                <w:szCs w:val="20"/>
                <w:color w:val="auto"/>
              </w:rPr>
            </w:pPr>
            <w:r>
              <w:rPr>
                <w:rFonts w:ascii="Arial" w:cs="Arial" w:eastAsia="Arial" w:hAnsi="Arial"/>
                <w:sz w:val="12"/>
                <w:szCs w:val="12"/>
                <w:color w:val="auto"/>
              </w:rPr>
              <w:t>Plan participant contributions</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4F8ABE"/>
              </w:rPr>
              <w:t>0.2</w:t>
            </w:r>
          </w:p>
        </w:tc>
        <w:tc>
          <w:tcPr>
            <w:tcW w:w="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0.2</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Company contributions</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2.4</w:t>
            </w: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4F8ABE"/>
              </w:rPr>
              <w:t>0.5</w:t>
            </w:r>
          </w:p>
        </w:tc>
        <w:tc>
          <w:tcPr>
            <w:tcW w:w="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8.5</w:t>
            </w:r>
          </w:p>
        </w:tc>
      </w:tr>
      <w:tr>
        <w:trPr>
          <w:trHeight w:val="207"/>
        </w:trPr>
        <w:tc>
          <w:tcPr>
            <w:tcW w:w="6320" w:type="dxa"/>
            <w:vAlign w:val="bottom"/>
          </w:tcPr>
          <w:p>
            <w:pPr>
              <w:ind w:left="240"/>
              <w:spacing w:after="0"/>
              <w:rPr>
                <w:sz w:val="20"/>
                <w:szCs w:val="20"/>
                <w:color w:val="auto"/>
              </w:rPr>
            </w:pPr>
            <w:r>
              <w:rPr>
                <w:rFonts w:ascii="Arial" w:cs="Arial" w:eastAsia="Arial" w:hAnsi="Arial"/>
                <w:sz w:val="12"/>
                <w:szCs w:val="12"/>
                <w:color w:val="auto"/>
              </w:rPr>
              <w:t>Benefits paid</w:t>
            </w:r>
          </w:p>
        </w:tc>
        <w:tc>
          <w:tcPr>
            <w:tcW w:w="1280" w:type="dxa"/>
            <w:vAlign w:val="bottom"/>
          </w:tcPr>
          <w:p>
            <w:pPr>
              <w:jc w:val="right"/>
              <w:ind w:right="19"/>
              <w:spacing w:after="0"/>
              <w:rPr>
                <w:sz w:val="20"/>
                <w:szCs w:val="20"/>
                <w:color w:val="auto"/>
              </w:rPr>
            </w:pPr>
            <w:r>
              <w:rPr>
                <w:rFonts w:ascii="Arial" w:cs="Arial" w:eastAsia="Arial" w:hAnsi="Arial"/>
                <w:sz w:val="12"/>
                <w:szCs w:val="12"/>
                <w:color w:val="4F8ABE"/>
              </w:rPr>
              <w:t>(4.0)</w:t>
            </w:r>
          </w:p>
        </w:tc>
        <w:tc>
          <w:tcPr>
            <w:tcW w:w="124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4F8ABE"/>
              </w:rPr>
              <w:t>(7.7)</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15"/>
        </w:trPr>
        <w:tc>
          <w:tcPr>
            <w:tcW w:w="6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Currency exchange rate changes</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4F8ABE"/>
              </w:rPr>
              <w:t>(36.6)</w:t>
            </w: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w:t>
            </w:r>
          </w:p>
        </w:tc>
      </w:tr>
      <w:tr>
        <w:trPr>
          <w:trHeight w:val="332"/>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Fair value of plan assets, end of year</w:t>
            </w:r>
          </w:p>
        </w:tc>
        <w:tc>
          <w:tcPr>
            <w:tcW w:w="12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$37.3</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$37.2</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rPr>
              <w:t>$324.5</w:t>
            </w:r>
          </w:p>
        </w:tc>
        <w:tc>
          <w:tcPr>
            <w:tcW w:w="80" w:type="dxa"/>
            <w:vAlign w:val="bottom"/>
            <w:tcBorders>
              <w:bottom w:val="single" w:sz="8" w:color="auto"/>
            </w:tcBorders>
            <w:shd w:val="clear" w:color="auto" w:fill="E1F4FD"/>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$314.7</w:t>
            </w:r>
          </w:p>
        </w:tc>
      </w:tr>
      <w:tr>
        <w:trPr>
          <w:trHeight w:val="355"/>
        </w:trPr>
        <w:tc>
          <w:tcPr>
            <w:tcW w:w="6320" w:type="dxa"/>
            <w:vAlign w:val="bottom"/>
          </w:tcPr>
          <w:p>
            <w:pPr>
              <w:ind w:left="20"/>
              <w:spacing w:after="0"/>
              <w:rPr>
                <w:sz w:val="20"/>
                <w:szCs w:val="20"/>
                <w:color w:val="auto"/>
              </w:rPr>
            </w:pPr>
            <w:r>
              <w:rPr>
                <w:rFonts w:ascii="Arial" w:cs="Arial" w:eastAsia="Arial" w:hAnsi="Arial"/>
                <w:sz w:val="12"/>
                <w:szCs w:val="12"/>
                <w:color w:val="4F8ABE"/>
              </w:rPr>
              <w:t>Funded Status at End of Year</w:t>
            </w:r>
          </w:p>
        </w:tc>
        <w:tc>
          <w:tcPr>
            <w:tcW w:w="1280" w:type="dxa"/>
            <w:vAlign w:val="bottom"/>
            <w:shd w:val="clear" w:color="auto" w:fill="E1F4FD"/>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shd w:val="clear" w:color="auto" w:fill="E1F4FD"/>
          </w:tcPr>
          <w:p>
            <w:pPr>
              <w:spacing w:after="0"/>
              <w:rPr>
                <w:sz w:val="24"/>
                <w:szCs w:val="24"/>
                <w:color w:val="auto"/>
              </w:rPr>
            </w:pPr>
          </w:p>
        </w:tc>
        <w:tc>
          <w:tcPr>
            <w:tcW w:w="80" w:type="dxa"/>
            <w:vAlign w:val="bottom"/>
            <w:shd w:val="clear" w:color="auto" w:fill="E1F4FD"/>
          </w:tcPr>
          <w:p>
            <w:pPr>
              <w:spacing w:after="0"/>
              <w:rPr>
                <w:sz w:val="24"/>
                <w:szCs w:val="24"/>
                <w:color w:val="auto"/>
              </w:rPr>
            </w:pPr>
          </w:p>
        </w:tc>
        <w:tc>
          <w:tcPr>
            <w:tcW w:w="1240" w:type="dxa"/>
            <w:vAlign w:val="bottom"/>
          </w:tcPr>
          <w:p>
            <w:pPr>
              <w:spacing w:after="0"/>
              <w:rPr>
                <w:sz w:val="24"/>
                <w:szCs w:val="24"/>
                <w:color w:val="auto"/>
              </w:rPr>
            </w:pPr>
          </w:p>
        </w:tc>
      </w:tr>
      <w:tr>
        <w:trPr>
          <w:trHeight w:val="215"/>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Funded status, end of year</w:t>
            </w:r>
          </w:p>
        </w:tc>
        <w:tc>
          <w:tcPr>
            <w:tcW w:w="12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2"/>
                <w:szCs w:val="12"/>
                <w:color w:val="4F8ABE"/>
              </w:rPr>
              <w:t>($15.8)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rPr>
              <w:t>($91.5)</w:t>
            </w:r>
          </w:p>
        </w:tc>
        <w:tc>
          <w:tcPr>
            <w:tcW w:w="80" w:type="dxa"/>
            <w:vAlign w:val="bottom"/>
            <w:tcBorders>
              <w:bottom w:val="single" w:sz="8" w:color="auto"/>
            </w:tcBorders>
            <w:shd w:val="clear" w:color="auto" w:fill="E1F4FD"/>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r>
      <w:tr>
        <w:trPr>
          <w:trHeight w:val="355"/>
        </w:trPr>
        <w:tc>
          <w:tcPr>
            <w:tcW w:w="6320" w:type="dxa"/>
            <w:vAlign w:val="bottom"/>
          </w:tcPr>
          <w:p>
            <w:pPr>
              <w:ind w:left="20"/>
              <w:spacing w:after="0"/>
              <w:rPr>
                <w:sz w:val="20"/>
                <w:szCs w:val="20"/>
                <w:color w:val="auto"/>
              </w:rPr>
            </w:pPr>
            <w:r>
              <w:rPr>
                <w:rFonts w:ascii="Arial" w:cs="Arial" w:eastAsia="Arial" w:hAnsi="Arial"/>
                <w:sz w:val="12"/>
                <w:szCs w:val="12"/>
                <w:color w:val="4F8ABE"/>
              </w:rPr>
              <w:t>Amounts Recognized</w:t>
            </w:r>
          </w:p>
        </w:tc>
        <w:tc>
          <w:tcPr>
            <w:tcW w:w="1280" w:type="dxa"/>
            <w:vAlign w:val="bottom"/>
            <w:shd w:val="clear" w:color="auto" w:fill="E1F4FD"/>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shd w:val="clear" w:color="auto" w:fill="E1F4FD"/>
          </w:tcPr>
          <w:p>
            <w:pPr>
              <w:spacing w:after="0"/>
              <w:rPr>
                <w:sz w:val="24"/>
                <w:szCs w:val="24"/>
                <w:color w:val="auto"/>
              </w:rPr>
            </w:pPr>
          </w:p>
        </w:tc>
        <w:tc>
          <w:tcPr>
            <w:tcW w:w="80" w:type="dxa"/>
            <w:vAlign w:val="bottom"/>
            <w:shd w:val="clear" w:color="auto" w:fill="E1F4FD"/>
          </w:tcPr>
          <w:p>
            <w:pPr>
              <w:spacing w:after="0"/>
              <w:rPr>
                <w:sz w:val="24"/>
                <w:szCs w:val="24"/>
                <w:color w:val="auto"/>
              </w:rPr>
            </w:pPr>
          </w:p>
        </w:tc>
        <w:tc>
          <w:tcPr>
            <w:tcW w:w="1240" w:type="dxa"/>
            <w:vAlign w:val="bottom"/>
          </w:tcPr>
          <w:p>
            <w:pPr>
              <w:spacing w:after="0"/>
              <w:rPr>
                <w:sz w:val="24"/>
                <w:szCs w:val="24"/>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2"/>
                <w:szCs w:val="12"/>
                <w:color w:val="auto"/>
              </w:rPr>
              <w:t>Noncurrent assets</w:t>
            </w:r>
          </w:p>
        </w:tc>
        <w:tc>
          <w:tcPr>
            <w:tcW w:w="12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$14.3</w:t>
            </w: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9"/>
                <w:szCs w:val="19"/>
                <w:color w:val="auto"/>
              </w:rPr>
            </w:pPr>
          </w:p>
        </w:tc>
        <w:tc>
          <w:tcPr>
            <w:tcW w:w="118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$30.4</w:t>
            </w:r>
          </w:p>
        </w:tc>
        <w:tc>
          <w:tcPr>
            <w:tcW w:w="80" w:type="dxa"/>
            <w:vAlign w:val="bottom"/>
            <w:shd w:val="clear" w:color="auto" w:fill="E1F4FD"/>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$47.9</w:t>
            </w:r>
          </w:p>
        </w:tc>
      </w:tr>
      <w:tr>
        <w:trPr>
          <w:trHeight w:val="191"/>
        </w:trPr>
        <w:tc>
          <w:tcPr>
            <w:tcW w:w="632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280" w:type="dxa"/>
            <w:vAlign w:val="bottom"/>
          </w:tcPr>
          <w:p>
            <w:pPr>
              <w:jc w:val="right"/>
              <w:ind w:right="19"/>
              <w:spacing w:after="0"/>
              <w:rPr>
                <w:sz w:val="20"/>
                <w:szCs w:val="20"/>
                <w:color w:val="auto"/>
              </w:rPr>
            </w:pPr>
            <w:r>
              <w:rPr>
                <w:rFonts w:ascii="Arial" w:cs="Arial" w:eastAsia="Arial" w:hAnsi="Arial"/>
                <w:sz w:val="12"/>
                <w:szCs w:val="12"/>
                <w:color w:val="4F8ABE"/>
              </w:rPr>
              <w:t>(2.5)</w:t>
            </w:r>
          </w:p>
        </w:tc>
        <w:tc>
          <w:tcPr>
            <w:tcW w:w="124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4F8ABE"/>
              </w:rPr>
              <w:t>(0.8)</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(0.3)</w:t>
            </w:r>
          </w:p>
        </w:tc>
      </w:tr>
      <w:tr>
        <w:trPr>
          <w:trHeight w:val="215"/>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Noncurrent liabilities</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4F8ABE"/>
              </w:rPr>
              <w:t>(27.6)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(27.8)</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4F8ABE"/>
              </w:rPr>
              <w:t>(121.1)</w:t>
            </w: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(59.0)</w:t>
            </w:r>
          </w:p>
        </w:tc>
      </w:tr>
      <w:tr>
        <w:trPr>
          <w:trHeight w:val="332"/>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Net amount recognized</w:t>
            </w:r>
          </w:p>
        </w:tc>
        <w:tc>
          <w:tcPr>
            <w:tcW w:w="12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2"/>
                <w:szCs w:val="12"/>
                <w:color w:val="4F8ABE"/>
              </w:rPr>
              <w:t>($15.8)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rPr>
              <w:t>($91.5)</w:t>
            </w:r>
          </w:p>
        </w:tc>
        <w:tc>
          <w:tcPr>
            <w:tcW w:w="80" w:type="dxa"/>
            <w:vAlign w:val="bottom"/>
            <w:tcBorders>
              <w:bottom w:val="single" w:sz="8" w:color="auto"/>
            </w:tcBorders>
            <w:shd w:val="clear" w:color="auto" w:fill="E1F4FD"/>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r>
      <w:tr>
        <w:trPr>
          <w:trHeight w:val="272"/>
        </w:trPr>
        <w:tc>
          <w:tcPr>
            <w:tcW w:w="6320" w:type="dxa"/>
            <w:vAlign w:val="bottom"/>
          </w:tcPr>
          <w:p>
            <w:pPr>
              <w:spacing w:after="0"/>
              <w:rPr>
                <w:sz w:val="20"/>
                <w:szCs w:val="20"/>
                <w:color w:val="auto"/>
              </w:rPr>
            </w:pPr>
            <w:r>
              <w:rPr>
                <w:rFonts w:ascii="Arial" w:cs="Arial" w:eastAsia="Arial" w:hAnsi="Arial"/>
                <w:sz w:val="12"/>
                <w:szCs w:val="12"/>
                <w:color w:val="282A32"/>
              </w:rPr>
              <w:t>Amounts recognized in accumulated other comprehensive loss, net of tax, consisted of:</w:t>
            </w: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01"/>
        </w:trPr>
        <w:tc>
          <w:tcPr>
            <w:tcW w:w="6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color w:val="auto"/>
              </w:rPr>
              <w:t>United States Plans</w:t>
            </w:r>
          </w:p>
        </w:tc>
        <w:tc>
          <w:tcPr>
            <w:tcW w:w="1180" w:type="dxa"/>
            <w:vAlign w:val="bottom"/>
          </w:tcPr>
          <w:p>
            <w:pPr>
              <w:spacing w:after="0"/>
              <w:rPr>
                <w:sz w:val="24"/>
                <w:szCs w:val="24"/>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1"/>
                <w:szCs w:val="11"/>
                <w:color w:val="auto"/>
                <w:w w:val="99"/>
              </w:rPr>
              <w:t>Non-United States Plans</w:t>
            </w:r>
          </w:p>
        </w:tc>
      </w:tr>
      <w:tr>
        <w:trPr>
          <w:trHeight w:val="18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280" w:type="dxa"/>
            <w:vAlign w:val="bottom"/>
            <w:tcBorders>
              <w:top w:val="single" w:sz="8" w:color="auto"/>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c>
          <w:tcPr>
            <w:tcW w:w="120" w:type="dxa"/>
            <w:vAlign w:val="bottom"/>
            <w:tcBorders>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shd w:val="clear" w:color="auto" w:fill="E1F4FD"/>
          </w:tcPr>
          <w:p>
            <w:pPr>
              <w:jc w:val="right"/>
              <w:spacing w:after="0"/>
              <w:rPr>
                <w:sz w:val="20"/>
                <w:szCs w:val="20"/>
                <w:color w:val="auto"/>
              </w:rPr>
            </w:pPr>
            <w:r>
              <w:rPr>
                <w:rFonts w:ascii="Arial" w:cs="Arial" w:eastAsia="Arial" w:hAnsi="Arial"/>
                <w:sz w:val="11"/>
                <w:szCs w:val="11"/>
                <w:color w:val="4F8ABE"/>
              </w:rPr>
              <w:t>2016</w:t>
            </w:r>
          </w:p>
        </w:tc>
        <w:tc>
          <w:tcPr>
            <w:tcW w:w="80" w:type="dxa"/>
            <w:vAlign w:val="bottom"/>
            <w:tcBorders>
              <w:top w:val="single" w:sz="8" w:color="auto"/>
              <w:bottom w:val="single" w:sz="8" w:color="auto"/>
            </w:tcBorders>
            <w:shd w:val="clear" w:color="auto" w:fill="E1F4FD"/>
          </w:tcPr>
          <w:p>
            <w:pPr>
              <w:spacing w:after="0"/>
              <w:rPr>
                <w:sz w:val="16"/>
                <w:szCs w:val="16"/>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r>
      <w:tr>
        <w:trPr>
          <w:trHeight w:val="321"/>
        </w:trPr>
        <w:tc>
          <w:tcPr>
            <w:tcW w:w="63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2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$13.0</w:t>
            </w: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$11.8</w:t>
            </w:r>
          </w:p>
        </w:tc>
        <w:tc>
          <w:tcPr>
            <w:tcW w:w="120" w:type="dxa"/>
            <w:vAlign w:val="bottom"/>
          </w:tcPr>
          <w:p>
            <w:pPr>
              <w:spacing w:after="0"/>
              <w:rPr>
                <w:sz w:val="24"/>
                <w:szCs w:val="24"/>
                <w:color w:val="auto"/>
              </w:rPr>
            </w:pPr>
          </w:p>
        </w:tc>
        <w:tc>
          <w:tcPr>
            <w:tcW w:w="118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$32.7</w:t>
            </w:r>
          </w:p>
        </w:tc>
        <w:tc>
          <w:tcPr>
            <w:tcW w:w="80" w:type="dxa"/>
            <w:vAlign w:val="bottom"/>
            <w:shd w:val="clear" w:color="auto" w:fill="E1F4FD"/>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2"/>
                <w:szCs w:val="12"/>
                <w:color w:val="auto"/>
              </w:rPr>
              <w:t>$15.9</w:t>
            </w:r>
          </w:p>
        </w:tc>
      </w:tr>
      <w:tr>
        <w:trPr>
          <w:trHeight w:val="215"/>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Prior service cost</w:t>
            </w:r>
          </w:p>
        </w:tc>
        <w:tc>
          <w:tcPr>
            <w:tcW w:w="12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w:t>
            </w: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rPr>
              <w:t>4.7</w:t>
            </w:r>
          </w:p>
        </w:tc>
        <w:tc>
          <w:tcPr>
            <w:tcW w:w="80" w:type="dxa"/>
            <w:vAlign w:val="bottom"/>
            <w:tcBorders>
              <w:bottom w:val="single" w:sz="8" w:color="auto"/>
            </w:tcBorders>
            <w:shd w:val="clear" w:color="auto" w:fill="E1F4FD"/>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4.9</w:t>
            </w:r>
          </w:p>
        </w:tc>
      </w:tr>
      <w:tr>
        <w:trPr>
          <w:trHeight w:val="332"/>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w:t>
            </w:r>
          </w:p>
        </w:tc>
        <w:tc>
          <w:tcPr>
            <w:tcW w:w="12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$13.0</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$11.8</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rPr>
              <w:t>$37.4</w:t>
            </w:r>
          </w:p>
        </w:tc>
        <w:tc>
          <w:tcPr>
            <w:tcW w:w="80" w:type="dxa"/>
            <w:vAlign w:val="bottom"/>
            <w:tcBorders>
              <w:bottom w:val="single" w:sz="8" w:color="auto"/>
            </w:tcBorders>
            <w:shd w:val="clear" w:color="auto" w:fill="E1F4FD"/>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-3599180</wp:posOffset>
            </wp:positionV>
            <wp:extent cx="814705" cy="1050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4705" cy="105092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-3599180</wp:posOffset>
            </wp:positionV>
            <wp:extent cx="795020" cy="1050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5020" cy="105092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-1707515</wp:posOffset>
            </wp:positionV>
            <wp:extent cx="814705"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39433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-1707515</wp:posOffset>
            </wp:positionV>
            <wp:extent cx="795020" cy="394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5020" cy="394335"/>
                    </a:xfrm>
                    <a:prstGeom prst="rect">
                      <a:avLst/>
                    </a:prstGeom>
                    <a:noFill/>
                  </pic:spPr>
                </pic:pic>
              </a:graphicData>
            </a:graphic>
          </wp:anchor>
        </w:drawing>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The accumulated benefit obligation for our plans that have plan assets was $377.0 and $291.9 as of December 31, 2016 and 2015, respectively. The accumulated benefit obligation for certain of our plans exceeded the fair value of plan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52070</wp:posOffset>
            </wp:positionV>
            <wp:extent cx="873760" cy="328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73760" cy="32829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5320" w:type="dxa"/>
            <w:vAlign w:val="bottom"/>
            <w:tcBorders>
              <w:bottom w:val="single" w:sz="8" w:color="auto"/>
            </w:tcBorders>
          </w:tcPr>
          <w:p>
            <w:pPr>
              <w:jc w:val="right"/>
              <w:ind w:right="505"/>
              <w:spacing w:after="0"/>
              <w:rPr>
                <w:sz w:val="20"/>
                <w:szCs w:val="20"/>
                <w:color w:val="auto"/>
              </w:rPr>
            </w:pPr>
            <w:r>
              <w:rPr>
                <w:rFonts w:ascii="Arial" w:cs="Arial" w:eastAsia="Arial" w:hAnsi="Arial"/>
                <w:sz w:val="11"/>
                <w:szCs w:val="11"/>
                <w:color w:val="4F8ABE"/>
              </w:rPr>
              <w:t>2016</w:t>
            </w:r>
          </w:p>
        </w:tc>
        <w:tc>
          <w:tcPr>
            <w:tcW w:w="9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2015</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20" w:type="dxa"/>
            <w:vAlign w:val="bottom"/>
          </w:tcPr>
          <w:p>
            <w:pPr>
              <w:ind w:left="20"/>
              <w:spacing w:after="0"/>
              <w:rPr>
                <w:sz w:val="20"/>
                <w:szCs w:val="20"/>
                <w:color w:val="auto"/>
              </w:rPr>
            </w:pPr>
            <w:r>
              <w:rPr>
                <w:rFonts w:ascii="Arial" w:cs="Arial" w:eastAsia="Arial" w:hAnsi="Arial"/>
                <w:sz w:val="12"/>
                <w:szCs w:val="12"/>
                <w:color w:val="auto"/>
              </w:rPr>
              <w:t>Accumulated benefit obligation</w:t>
            </w:r>
          </w:p>
        </w:tc>
        <w:tc>
          <w:tcPr>
            <w:tcW w:w="126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$107.9</w:t>
            </w:r>
          </w:p>
        </w:tc>
        <w:tc>
          <w:tcPr>
            <w:tcW w:w="12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94"/>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Plan assets</w:t>
            </w:r>
          </w:p>
        </w:tc>
        <w:tc>
          <w:tcPr>
            <w:tcW w:w="126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rPr>
              <w:t>47.9</w:t>
            </w:r>
          </w:p>
        </w:tc>
        <w:tc>
          <w:tcPr>
            <w:tcW w:w="120" w:type="dxa"/>
            <w:vAlign w:val="bottom"/>
            <w:tcBorders>
              <w:bottom w:val="single" w:sz="8" w:color="auto"/>
            </w:tcBorders>
            <w:shd w:val="clear" w:color="auto" w:fill="E1F4FD"/>
          </w:tcPr>
          <w:p>
            <w:pPr>
              <w:spacing w:after="0"/>
              <w:rPr>
                <w:sz w:val="16"/>
                <w:szCs w:val="16"/>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91"/>
        </w:trPr>
        <w:tc>
          <w:tcPr>
            <w:tcW w:w="8720" w:type="dxa"/>
            <w:vAlign w:val="bottom"/>
            <w:vMerge w:val="restart"/>
          </w:tcPr>
          <w:p>
            <w:pPr>
              <w:spacing w:after="0"/>
              <w:rPr>
                <w:sz w:val="20"/>
                <w:szCs w:val="20"/>
                <w:color w:val="auto"/>
              </w:rPr>
            </w:pPr>
            <w:r>
              <w:rPr>
                <w:rFonts w:ascii="Arial" w:cs="Arial" w:eastAsia="Arial" w:hAnsi="Arial"/>
                <w:sz w:val="12"/>
                <w:szCs w:val="12"/>
                <w:color w:val="282A32"/>
              </w:rPr>
              <w:t>The projected benefit obligation for certain of our plans exceeded the fair value of plan assets as follows:</w:t>
            </w:r>
          </w:p>
        </w:tc>
        <w:tc>
          <w:tcPr>
            <w:tcW w:w="1260" w:type="dxa"/>
            <w:vAlign w:val="bottom"/>
            <w:shd w:val="clear" w:color="auto" w:fill="2989B9"/>
          </w:tcPr>
          <w:p>
            <w:pPr>
              <w:spacing w:after="0"/>
              <w:rPr>
                <w:sz w:val="7"/>
                <w:szCs w:val="7"/>
                <w:color w:val="auto"/>
              </w:rPr>
            </w:pPr>
          </w:p>
        </w:tc>
        <w:tc>
          <w:tcPr>
            <w:tcW w:w="120" w:type="dxa"/>
            <w:vAlign w:val="bottom"/>
            <w:shd w:val="clear" w:color="auto" w:fill="2989B9"/>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87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720" w:type="dxa"/>
            <w:vAlign w:val="bottom"/>
          </w:tcPr>
          <w:p>
            <w:pPr>
              <w:spacing w:after="0"/>
              <w:rPr>
                <w:sz w:val="8"/>
                <w:szCs w:val="8"/>
                <w:color w:val="auto"/>
              </w:rPr>
            </w:pPr>
          </w:p>
        </w:tc>
        <w:tc>
          <w:tcPr>
            <w:tcW w:w="1380" w:type="dxa"/>
            <w:vAlign w:val="bottom"/>
            <w:gridSpan w:val="2"/>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1380" w:type="dxa"/>
            <w:vAlign w:val="bottom"/>
            <w:tcBorders>
              <w:bottom w:val="single" w:sz="8" w:color="auto"/>
            </w:tcBorders>
            <w:gridSpan w:val="2"/>
            <w:shd w:val="clear" w:color="auto" w:fill="E1F4FD"/>
          </w:tcPr>
          <w:p>
            <w:pPr>
              <w:jc w:val="right"/>
              <w:ind w:right="120"/>
              <w:spacing w:after="0"/>
              <w:rPr>
                <w:sz w:val="20"/>
                <w:szCs w:val="20"/>
                <w:color w:val="auto"/>
              </w:rPr>
            </w:pPr>
            <w:r>
              <w:rPr>
                <w:rFonts w:ascii="Arial" w:cs="Arial" w:eastAsia="Arial" w:hAnsi="Arial"/>
                <w:sz w:val="11"/>
                <w:szCs w:val="11"/>
                <w:color w:val="4F8ABE"/>
              </w:rPr>
              <w:t>2016</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c>
          <w:tcPr>
            <w:tcW w:w="0" w:type="dxa"/>
            <w:vAlign w:val="bottom"/>
          </w:tcPr>
          <w:p>
            <w:pPr>
              <w:spacing w:after="0"/>
              <w:rPr>
                <w:sz w:val="1"/>
                <w:szCs w:val="1"/>
                <w:color w:val="auto"/>
              </w:rPr>
            </w:pPr>
          </w:p>
        </w:tc>
      </w:tr>
      <w:tr>
        <w:trPr>
          <w:trHeight w:val="321"/>
        </w:trPr>
        <w:tc>
          <w:tcPr>
            <w:tcW w:w="8720" w:type="dxa"/>
            <w:vAlign w:val="bottom"/>
          </w:tcPr>
          <w:p>
            <w:pPr>
              <w:ind w:left="20"/>
              <w:spacing w:after="0"/>
              <w:rPr>
                <w:sz w:val="20"/>
                <w:szCs w:val="20"/>
                <w:color w:val="auto"/>
              </w:rPr>
            </w:pPr>
            <w:r>
              <w:rPr>
                <w:rFonts w:ascii="Arial" w:cs="Arial" w:eastAsia="Arial" w:hAnsi="Arial"/>
                <w:sz w:val="12"/>
                <w:szCs w:val="12"/>
                <w:color w:val="auto"/>
              </w:rPr>
              <w:t>Projected benefit obligation</w:t>
            </w:r>
          </w:p>
        </w:tc>
        <w:tc>
          <w:tcPr>
            <w:tcW w:w="126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$113.9</w:t>
            </w:r>
          </w:p>
        </w:tc>
        <w:tc>
          <w:tcPr>
            <w:tcW w:w="120" w:type="dxa"/>
            <w:vAlign w:val="bottom"/>
            <w:shd w:val="clear" w:color="auto" w:fill="E1F4FD"/>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$48.4</w:t>
            </w:r>
          </w:p>
        </w:tc>
        <w:tc>
          <w:tcPr>
            <w:tcW w:w="0" w:type="dxa"/>
            <w:vAlign w:val="bottom"/>
          </w:tcPr>
          <w:p>
            <w:pPr>
              <w:spacing w:after="0"/>
              <w:rPr>
                <w:sz w:val="1"/>
                <w:szCs w:val="1"/>
                <w:color w:val="auto"/>
              </w:rPr>
            </w:pPr>
          </w:p>
        </w:tc>
      </w:tr>
      <w:tr>
        <w:trPr>
          <w:trHeight w:val="194"/>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Plan assets</w:t>
            </w:r>
          </w:p>
        </w:tc>
        <w:tc>
          <w:tcPr>
            <w:tcW w:w="1260" w:type="dxa"/>
            <w:vAlign w:val="bottom"/>
            <w:tcBorders>
              <w:bottom w:val="single" w:sz="8" w:color="auto"/>
            </w:tcBorders>
            <w:shd w:val="clear" w:color="auto" w:fill="E1F4FD"/>
          </w:tcPr>
          <w:p>
            <w:pPr>
              <w:jc w:val="right"/>
              <w:spacing w:after="0"/>
              <w:rPr>
                <w:sz w:val="20"/>
                <w:szCs w:val="20"/>
                <w:color w:val="auto"/>
              </w:rPr>
            </w:pPr>
            <w:r>
              <w:rPr>
                <w:rFonts w:ascii="Arial" w:cs="Arial" w:eastAsia="Arial" w:hAnsi="Arial"/>
                <w:sz w:val="12"/>
                <w:szCs w:val="12"/>
                <w:color w:val="4F8ABE"/>
              </w:rPr>
              <w:t>47.9</w:t>
            </w:r>
          </w:p>
        </w:tc>
        <w:tc>
          <w:tcPr>
            <w:tcW w:w="120" w:type="dxa"/>
            <w:vAlign w:val="bottom"/>
            <w:tcBorders>
              <w:bottom w:val="single" w:sz="8" w:color="auto"/>
            </w:tcBorders>
            <w:shd w:val="clear" w:color="auto" w:fill="E1F4FD"/>
          </w:tcPr>
          <w:p>
            <w:pPr>
              <w:spacing w:after="0"/>
              <w:rPr>
                <w:sz w:val="16"/>
                <w:szCs w:val="16"/>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91"/>
        </w:trPr>
        <w:tc>
          <w:tcPr>
            <w:tcW w:w="8720" w:type="dxa"/>
            <w:vAlign w:val="bottom"/>
          </w:tcPr>
          <w:p>
            <w:pPr>
              <w:spacing w:after="0"/>
              <w:rPr>
                <w:sz w:val="7"/>
                <w:szCs w:val="7"/>
                <w:color w:val="auto"/>
              </w:rPr>
            </w:pPr>
          </w:p>
        </w:tc>
        <w:tc>
          <w:tcPr>
            <w:tcW w:w="1260" w:type="dxa"/>
            <w:vAlign w:val="bottom"/>
            <w:shd w:val="clear" w:color="auto" w:fill="2989B9"/>
          </w:tcPr>
          <w:p>
            <w:pPr>
              <w:spacing w:after="0"/>
              <w:rPr>
                <w:sz w:val="7"/>
                <w:szCs w:val="7"/>
                <w:color w:val="auto"/>
              </w:rPr>
            </w:pPr>
          </w:p>
        </w:tc>
        <w:tc>
          <w:tcPr>
            <w:tcW w:w="120" w:type="dxa"/>
            <w:vAlign w:val="bottom"/>
            <w:shd w:val="clear" w:color="auto" w:fill="2989B9"/>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282A32"/>
        </w:rPr>
        <w:t>The new German plan that we transferred in during 2016 was underfunded, resulting in the significant increase in the amounts above.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282A32"/>
        </w:rPr>
        <w:t>By their nature, certain of our plans do not have plan assets. The accumulated benefit obligation for these plans was $74.3 and $69.9 as of December 31, 2016 and 2015, respectively.</w:t>
      </w: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70 </w:t>
      </w:r>
      <w:r>
        <w:rPr>
          <w:rFonts w:ascii="Arial" w:cs="Arial" w:eastAsia="Arial" w:hAnsi="Arial"/>
          <w:sz w:val="8"/>
          <w:szCs w:val="8"/>
          <w:color w:val="auto"/>
        </w:rPr>
        <w:t>| ManpowerGroup</w:t>
      </w:r>
    </w:p>
    <w:p>
      <w:pPr>
        <w:sectPr>
          <w:pgSz w:w="11900" w:h="16838" w:orient="portrait"/>
          <w:cols w:equalWidth="0" w:num="1">
            <w:col w:w="11460"/>
          </w:cols>
          <w:pgMar w:left="220" w:top="495" w:right="21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282A32"/>
        </w:rPr>
        <w:t>The components of the net periodic benefit cost and other amounts recognized in other comprehensive loss for all plans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5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19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color w:val="auto"/>
              </w:rPr>
              <w:t>2015</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2014</w:t>
            </w:r>
          </w:p>
        </w:tc>
      </w:tr>
      <w:tr>
        <w:trPr>
          <w:trHeight w:val="352"/>
        </w:trPr>
        <w:tc>
          <w:tcPr>
            <w:tcW w:w="7000" w:type="dxa"/>
            <w:vAlign w:val="bottom"/>
          </w:tcPr>
          <w:p>
            <w:pPr>
              <w:ind w:left="20"/>
              <w:spacing w:after="0"/>
              <w:rPr>
                <w:sz w:val="20"/>
                <w:szCs w:val="20"/>
                <w:color w:val="auto"/>
              </w:rPr>
            </w:pPr>
            <w:r>
              <w:rPr>
                <w:rFonts w:ascii="Arial" w:cs="Arial" w:eastAsia="Arial" w:hAnsi="Arial"/>
                <w:sz w:val="12"/>
                <w:szCs w:val="12"/>
                <w:color w:val="4F8ABE"/>
              </w:rPr>
              <w:t>Net Periodic Benefit Cost</w:t>
            </w:r>
          </w:p>
        </w:tc>
        <w:tc>
          <w:tcPr>
            <w:tcW w:w="1500" w:type="dxa"/>
            <w:vAlign w:val="bottom"/>
            <w:shd w:val="clear" w:color="auto" w:fill="E1F4FD"/>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2"/>
                <w:szCs w:val="12"/>
                <w:color w:val="auto"/>
              </w:rPr>
              <w:t>Service cost</w:t>
            </w:r>
          </w:p>
        </w:tc>
        <w:tc>
          <w:tcPr>
            <w:tcW w:w="15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$8.0</w:t>
            </w:r>
          </w:p>
        </w:tc>
        <w:tc>
          <w:tcPr>
            <w:tcW w:w="1980" w:type="dxa"/>
            <w:vAlign w:val="bottom"/>
          </w:tcPr>
          <w:p>
            <w:pPr>
              <w:jc w:val="right"/>
              <w:ind w:right="538"/>
              <w:spacing w:after="0"/>
              <w:rPr>
                <w:sz w:val="20"/>
                <w:szCs w:val="20"/>
                <w:color w:val="auto"/>
              </w:rPr>
            </w:pPr>
            <w:r>
              <w:rPr>
                <w:rFonts w:ascii="Arial" w:cs="Arial" w:eastAsia="Arial" w:hAnsi="Arial"/>
                <w:sz w:val="12"/>
                <w:szCs w:val="12"/>
                <w:color w:val="auto"/>
              </w:rPr>
              <w:t>$7.2</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$8.3</w:t>
            </w:r>
          </w:p>
        </w:tc>
      </w:tr>
      <w:tr>
        <w:trPr>
          <w:trHeight w:val="170"/>
        </w:trPr>
        <w:tc>
          <w:tcPr>
            <w:tcW w:w="7000" w:type="dxa"/>
            <w:vAlign w:val="bottom"/>
          </w:tcPr>
          <w:p>
            <w:pPr>
              <w:ind w:left="20"/>
              <w:spacing w:after="0"/>
              <w:rPr>
                <w:sz w:val="20"/>
                <w:szCs w:val="20"/>
                <w:color w:val="auto"/>
              </w:rPr>
            </w:pPr>
            <w:r>
              <w:rPr>
                <w:rFonts w:ascii="Arial" w:cs="Arial" w:eastAsia="Arial" w:hAnsi="Arial"/>
                <w:sz w:val="12"/>
                <w:szCs w:val="12"/>
                <w:color w:val="auto"/>
              </w:rPr>
              <w:t>Interest cost</w:t>
            </w:r>
          </w:p>
        </w:tc>
        <w:tc>
          <w:tcPr>
            <w:tcW w:w="1500" w:type="dxa"/>
            <w:vAlign w:val="bottom"/>
          </w:tcPr>
          <w:p>
            <w:pPr>
              <w:jc w:val="right"/>
              <w:ind w:right="58"/>
              <w:spacing w:after="0"/>
              <w:rPr>
                <w:sz w:val="20"/>
                <w:szCs w:val="20"/>
                <w:color w:val="auto"/>
              </w:rPr>
            </w:pPr>
            <w:r>
              <w:rPr>
                <w:rFonts w:ascii="Arial" w:cs="Arial" w:eastAsia="Arial" w:hAnsi="Arial"/>
                <w:sz w:val="12"/>
                <w:szCs w:val="12"/>
                <w:color w:val="4F8ABE"/>
              </w:rPr>
              <w:t>11.8</w:t>
            </w:r>
          </w:p>
        </w:tc>
        <w:tc>
          <w:tcPr>
            <w:tcW w:w="1980" w:type="dxa"/>
            <w:vAlign w:val="bottom"/>
          </w:tcPr>
          <w:p>
            <w:pPr>
              <w:jc w:val="right"/>
              <w:ind w:right="538"/>
              <w:spacing w:after="0"/>
              <w:rPr>
                <w:sz w:val="20"/>
                <w:szCs w:val="20"/>
                <w:color w:val="auto"/>
              </w:rPr>
            </w:pPr>
            <w:r>
              <w:rPr>
                <w:rFonts w:ascii="Arial" w:cs="Arial" w:eastAsia="Arial" w:hAnsi="Arial"/>
                <w:sz w:val="12"/>
                <w:szCs w:val="12"/>
                <w:color w:val="auto"/>
              </w:rPr>
              <w:t>12.7</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15.8</w:t>
            </w:r>
          </w:p>
        </w:tc>
      </w:tr>
      <w:tr>
        <w:trPr>
          <w:trHeight w:val="186"/>
        </w:trPr>
        <w:tc>
          <w:tcPr>
            <w:tcW w:w="7000" w:type="dxa"/>
            <w:vAlign w:val="bottom"/>
          </w:tcPr>
          <w:p>
            <w:pPr>
              <w:ind w:left="20"/>
              <w:spacing w:after="0"/>
              <w:rPr>
                <w:sz w:val="20"/>
                <w:szCs w:val="20"/>
                <w:color w:val="auto"/>
              </w:rPr>
            </w:pPr>
            <w:r>
              <w:rPr>
                <w:rFonts w:ascii="Arial" w:cs="Arial" w:eastAsia="Arial" w:hAnsi="Arial"/>
                <w:sz w:val="12"/>
                <w:szCs w:val="12"/>
                <w:color w:val="auto"/>
              </w:rPr>
              <w:t>Expected return on assets</w:t>
            </w:r>
          </w:p>
        </w:tc>
        <w:tc>
          <w:tcPr>
            <w:tcW w:w="1500" w:type="dxa"/>
            <w:vAlign w:val="bottom"/>
          </w:tcPr>
          <w:p>
            <w:pPr>
              <w:jc w:val="right"/>
              <w:ind w:right="18"/>
              <w:spacing w:after="0"/>
              <w:rPr>
                <w:sz w:val="20"/>
                <w:szCs w:val="20"/>
                <w:color w:val="auto"/>
              </w:rPr>
            </w:pPr>
            <w:r>
              <w:rPr>
                <w:rFonts w:ascii="Arial" w:cs="Arial" w:eastAsia="Arial" w:hAnsi="Arial"/>
                <w:sz w:val="12"/>
                <w:szCs w:val="12"/>
                <w:color w:val="4F8ABE"/>
              </w:rPr>
              <w:t>(10.9)</w:t>
            </w:r>
          </w:p>
        </w:tc>
        <w:tc>
          <w:tcPr>
            <w:tcW w:w="1980" w:type="dxa"/>
            <w:vAlign w:val="bottom"/>
          </w:tcPr>
          <w:p>
            <w:pPr>
              <w:jc w:val="right"/>
              <w:ind w:right="498"/>
              <w:spacing w:after="0"/>
              <w:rPr>
                <w:sz w:val="20"/>
                <w:szCs w:val="20"/>
                <w:color w:val="auto"/>
              </w:rPr>
            </w:pPr>
            <w:r>
              <w:rPr>
                <w:rFonts w:ascii="Arial" w:cs="Arial" w:eastAsia="Arial" w:hAnsi="Arial"/>
                <w:sz w:val="12"/>
                <w:szCs w:val="12"/>
                <w:color w:val="auto"/>
              </w:rPr>
              <w:t>(12.9)</w:t>
            </w:r>
          </w:p>
        </w:tc>
        <w:tc>
          <w:tcPr>
            <w:tcW w:w="980" w:type="dxa"/>
            <w:vAlign w:val="bottom"/>
          </w:tcPr>
          <w:p>
            <w:pPr>
              <w:jc w:val="right"/>
              <w:spacing w:after="0"/>
              <w:rPr>
                <w:sz w:val="20"/>
                <w:szCs w:val="20"/>
                <w:color w:val="auto"/>
              </w:rPr>
            </w:pPr>
            <w:r>
              <w:rPr>
                <w:rFonts w:ascii="Arial" w:cs="Arial" w:eastAsia="Arial" w:hAnsi="Arial"/>
                <w:sz w:val="12"/>
                <w:szCs w:val="12"/>
                <w:color w:val="auto"/>
              </w:rPr>
              <w:t>(15.6)</w:t>
            </w:r>
          </w:p>
        </w:tc>
      </w:tr>
      <w:tr>
        <w:trPr>
          <w:trHeight w:val="186"/>
        </w:trPr>
        <w:tc>
          <w:tcPr>
            <w:tcW w:w="7000" w:type="dxa"/>
            <w:vAlign w:val="bottom"/>
          </w:tcPr>
          <w:p>
            <w:pPr>
              <w:ind w:left="20"/>
              <w:spacing w:after="0"/>
              <w:rPr>
                <w:sz w:val="20"/>
                <w:szCs w:val="20"/>
                <w:color w:val="auto"/>
              </w:rPr>
            </w:pPr>
            <w:r>
              <w:rPr>
                <w:rFonts w:ascii="Arial" w:cs="Arial" w:eastAsia="Arial" w:hAnsi="Arial"/>
                <w:sz w:val="12"/>
                <w:szCs w:val="12"/>
                <w:color w:val="auto"/>
              </w:rPr>
              <w:t>Curtailment and settlement</w:t>
            </w:r>
          </w:p>
        </w:tc>
        <w:tc>
          <w:tcPr>
            <w:tcW w:w="1500" w:type="dxa"/>
            <w:vAlign w:val="bottom"/>
          </w:tcPr>
          <w:p>
            <w:pPr>
              <w:jc w:val="right"/>
              <w:ind w:right="18"/>
              <w:spacing w:after="0"/>
              <w:rPr>
                <w:sz w:val="20"/>
                <w:szCs w:val="20"/>
                <w:color w:val="auto"/>
              </w:rPr>
            </w:pPr>
            <w:r>
              <w:rPr>
                <w:rFonts w:ascii="Arial" w:cs="Arial" w:eastAsia="Arial" w:hAnsi="Arial"/>
                <w:sz w:val="12"/>
                <w:szCs w:val="12"/>
                <w:color w:val="4F8ABE"/>
              </w:rPr>
              <w:t>(6.9)</w:t>
            </w:r>
          </w:p>
        </w:tc>
        <w:tc>
          <w:tcPr>
            <w:tcW w:w="1980" w:type="dxa"/>
            <w:vAlign w:val="bottom"/>
          </w:tcPr>
          <w:p>
            <w:pPr>
              <w:jc w:val="right"/>
              <w:ind w:right="53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186"/>
        </w:trPr>
        <w:tc>
          <w:tcPr>
            <w:tcW w:w="70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500" w:type="dxa"/>
            <w:vAlign w:val="bottom"/>
          </w:tcPr>
          <w:p>
            <w:pPr>
              <w:jc w:val="right"/>
              <w:ind w:right="58"/>
              <w:spacing w:after="0"/>
              <w:rPr>
                <w:sz w:val="20"/>
                <w:szCs w:val="20"/>
                <w:color w:val="auto"/>
              </w:rPr>
            </w:pPr>
            <w:r>
              <w:rPr>
                <w:rFonts w:ascii="Arial" w:cs="Arial" w:eastAsia="Arial" w:hAnsi="Arial"/>
                <w:sz w:val="12"/>
                <w:szCs w:val="12"/>
                <w:color w:val="4F8ABE"/>
              </w:rPr>
              <w:t>1.0</w:t>
            </w:r>
          </w:p>
        </w:tc>
        <w:tc>
          <w:tcPr>
            <w:tcW w:w="1980" w:type="dxa"/>
            <w:vAlign w:val="bottom"/>
          </w:tcPr>
          <w:p>
            <w:pPr>
              <w:jc w:val="right"/>
              <w:ind w:right="538"/>
              <w:spacing w:after="0"/>
              <w:rPr>
                <w:sz w:val="20"/>
                <w:szCs w:val="20"/>
                <w:color w:val="auto"/>
              </w:rPr>
            </w:pPr>
            <w:r>
              <w:rPr>
                <w:rFonts w:ascii="Arial" w:cs="Arial" w:eastAsia="Arial" w:hAnsi="Arial"/>
                <w:sz w:val="12"/>
                <w:szCs w:val="12"/>
                <w:color w:val="auto"/>
              </w:rPr>
              <w:t>4.0</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3.5</w:t>
            </w:r>
          </w:p>
        </w:tc>
      </w:tr>
      <w:tr>
        <w:trPr>
          <w:trHeight w:val="194"/>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Prior service cost</w:t>
            </w:r>
          </w:p>
        </w:tc>
        <w:tc>
          <w:tcPr>
            <w:tcW w:w="15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0.4</w:t>
            </w:r>
          </w:p>
        </w:tc>
        <w:tc>
          <w:tcPr>
            <w:tcW w:w="1980" w:type="dxa"/>
            <w:vAlign w:val="bottom"/>
            <w:tcBorders>
              <w:bottom w:val="single" w:sz="8" w:color="auto"/>
            </w:tcBorders>
          </w:tcPr>
          <w:p>
            <w:pPr>
              <w:jc w:val="right"/>
              <w:ind w:right="538"/>
              <w:spacing w:after="0"/>
              <w:rPr>
                <w:sz w:val="20"/>
                <w:szCs w:val="20"/>
                <w:color w:val="auto"/>
              </w:rPr>
            </w:pPr>
            <w:r>
              <w:rPr>
                <w:rFonts w:ascii="Arial" w:cs="Arial" w:eastAsia="Arial" w:hAnsi="Arial"/>
                <w:sz w:val="12"/>
                <w:szCs w:val="12"/>
                <w:color w:val="auto"/>
              </w:rPr>
              <w:t>0.4</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0.6</w:t>
            </w:r>
          </w:p>
        </w:tc>
      </w:tr>
      <w:tr>
        <w:trPr>
          <w:trHeight w:val="311"/>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Net periodic benefit cost</w:t>
            </w:r>
          </w:p>
        </w:tc>
        <w:tc>
          <w:tcPr>
            <w:tcW w:w="15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3.4</w:t>
            </w:r>
          </w:p>
        </w:tc>
        <w:tc>
          <w:tcPr>
            <w:tcW w:w="1980" w:type="dxa"/>
            <w:vAlign w:val="bottom"/>
            <w:tcBorders>
              <w:bottom w:val="single" w:sz="8" w:color="auto"/>
            </w:tcBorders>
          </w:tcPr>
          <w:p>
            <w:pPr>
              <w:jc w:val="right"/>
              <w:ind w:right="538"/>
              <w:spacing w:after="0"/>
              <w:rPr>
                <w:sz w:val="20"/>
                <w:szCs w:val="20"/>
                <w:color w:val="auto"/>
              </w:rPr>
            </w:pPr>
            <w:r>
              <w:rPr>
                <w:rFonts w:ascii="Arial" w:cs="Arial" w:eastAsia="Arial" w:hAnsi="Arial"/>
                <w:sz w:val="12"/>
                <w:szCs w:val="12"/>
                <w:color w:val="auto"/>
              </w:rPr>
              <w:t>11.4</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12.6</w:t>
            </w:r>
          </w:p>
        </w:tc>
      </w:tr>
      <w:tr>
        <w:trPr>
          <w:trHeight w:val="220"/>
        </w:trPr>
        <w:tc>
          <w:tcPr>
            <w:tcW w:w="7000" w:type="dxa"/>
            <w:vAlign w:val="bottom"/>
          </w:tcPr>
          <w:p>
            <w:pPr>
              <w:ind w:left="20"/>
              <w:spacing w:after="0"/>
              <w:rPr>
                <w:sz w:val="20"/>
                <w:szCs w:val="20"/>
                <w:color w:val="auto"/>
              </w:rPr>
            </w:pPr>
            <w:r>
              <w:rPr>
                <w:rFonts w:ascii="Arial" w:cs="Arial" w:eastAsia="Arial" w:hAnsi="Arial"/>
                <w:sz w:val="12"/>
                <w:szCs w:val="12"/>
                <w:color w:val="4F8ABE"/>
              </w:rPr>
              <w:t>Other Changes in Plan Assets and Benefit Obligation Recognized in Other Comprehensive Loss</w:t>
            </w:r>
          </w:p>
        </w:tc>
        <w:tc>
          <w:tcPr>
            <w:tcW w:w="1500" w:type="dxa"/>
            <w:vAlign w:val="bottom"/>
            <w:shd w:val="clear" w:color="auto" w:fill="E1F4FD"/>
          </w:tcPr>
          <w:p>
            <w:pPr>
              <w:spacing w:after="0"/>
              <w:rPr>
                <w:sz w:val="19"/>
                <w:szCs w:val="19"/>
                <w:color w:val="auto"/>
              </w:rPr>
            </w:pPr>
          </w:p>
        </w:tc>
        <w:tc>
          <w:tcPr>
            <w:tcW w:w="19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2"/>
        </w:trPr>
        <w:tc>
          <w:tcPr>
            <w:tcW w:w="7000" w:type="dxa"/>
            <w:vAlign w:val="bottom"/>
          </w:tcPr>
          <w:p>
            <w:pPr>
              <w:ind w:left="20"/>
              <w:spacing w:after="0"/>
              <w:rPr>
                <w:sz w:val="20"/>
                <w:szCs w:val="20"/>
                <w:color w:val="auto"/>
              </w:rPr>
            </w:pPr>
            <w:r>
              <w:rPr>
                <w:rFonts w:ascii="Arial" w:cs="Arial" w:eastAsia="Arial" w:hAnsi="Arial"/>
                <w:sz w:val="12"/>
                <w:szCs w:val="12"/>
                <w:color w:val="auto"/>
              </w:rPr>
              <w:t>Net loss (gain)</w:t>
            </w:r>
          </w:p>
        </w:tc>
        <w:tc>
          <w:tcPr>
            <w:tcW w:w="15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24.7</w:t>
            </w:r>
          </w:p>
        </w:tc>
        <w:tc>
          <w:tcPr>
            <w:tcW w:w="1980" w:type="dxa"/>
            <w:vAlign w:val="bottom"/>
          </w:tcPr>
          <w:p>
            <w:pPr>
              <w:jc w:val="right"/>
              <w:ind w:right="498"/>
              <w:spacing w:after="0"/>
              <w:rPr>
                <w:sz w:val="20"/>
                <w:szCs w:val="20"/>
                <w:color w:val="auto"/>
              </w:rPr>
            </w:pPr>
            <w:r>
              <w:rPr>
                <w:rFonts w:ascii="Arial" w:cs="Arial" w:eastAsia="Arial" w:hAnsi="Arial"/>
                <w:sz w:val="12"/>
                <w:szCs w:val="12"/>
                <w:color w:val="auto"/>
              </w:rPr>
              <w:t>(22.9)</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23.5</w:t>
            </w:r>
          </w:p>
        </w:tc>
      </w:tr>
      <w:tr>
        <w:trPr>
          <w:trHeight w:val="170"/>
        </w:trPr>
        <w:tc>
          <w:tcPr>
            <w:tcW w:w="7000" w:type="dxa"/>
            <w:vAlign w:val="bottom"/>
          </w:tcPr>
          <w:p>
            <w:pPr>
              <w:ind w:left="20"/>
              <w:spacing w:after="0"/>
              <w:rPr>
                <w:sz w:val="20"/>
                <w:szCs w:val="20"/>
                <w:color w:val="auto"/>
              </w:rPr>
            </w:pPr>
            <w:r>
              <w:rPr>
                <w:rFonts w:ascii="Arial" w:cs="Arial" w:eastAsia="Arial" w:hAnsi="Arial"/>
                <w:sz w:val="12"/>
                <w:szCs w:val="12"/>
                <w:color w:val="auto"/>
              </w:rPr>
              <w:t>Prior service cost</w:t>
            </w:r>
          </w:p>
        </w:tc>
        <w:tc>
          <w:tcPr>
            <w:tcW w:w="1500" w:type="dxa"/>
            <w:vAlign w:val="bottom"/>
          </w:tcPr>
          <w:p>
            <w:pPr>
              <w:jc w:val="right"/>
              <w:ind w:right="58"/>
              <w:spacing w:after="0"/>
              <w:rPr>
                <w:sz w:val="20"/>
                <w:szCs w:val="20"/>
                <w:color w:val="auto"/>
              </w:rPr>
            </w:pPr>
            <w:r>
              <w:rPr>
                <w:rFonts w:ascii="Arial" w:cs="Arial" w:eastAsia="Arial" w:hAnsi="Arial"/>
                <w:sz w:val="12"/>
                <w:szCs w:val="12"/>
                <w:color w:val="4F8ABE"/>
              </w:rPr>
              <w:t>—</w:t>
            </w:r>
          </w:p>
        </w:tc>
        <w:tc>
          <w:tcPr>
            <w:tcW w:w="1980" w:type="dxa"/>
            <w:vAlign w:val="bottom"/>
          </w:tcPr>
          <w:p>
            <w:pPr>
              <w:jc w:val="right"/>
              <w:ind w:right="53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1.3</w:t>
            </w:r>
          </w:p>
        </w:tc>
      </w:tr>
      <w:tr>
        <w:trPr>
          <w:trHeight w:val="186"/>
        </w:trPr>
        <w:tc>
          <w:tcPr>
            <w:tcW w:w="7000" w:type="dxa"/>
            <w:vAlign w:val="bottom"/>
          </w:tcPr>
          <w:p>
            <w:pPr>
              <w:ind w:left="20"/>
              <w:spacing w:after="0"/>
              <w:rPr>
                <w:sz w:val="20"/>
                <w:szCs w:val="20"/>
                <w:color w:val="auto"/>
              </w:rPr>
            </w:pPr>
            <w:r>
              <w:rPr>
                <w:rFonts w:ascii="Arial" w:cs="Arial" w:eastAsia="Arial" w:hAnsi="Arial"/>
                <w:sz w:val="12"/>
                <w:szCs w:val="12"/>
                <w:color w:val="auto"/>
              </w:rPr>
              <w:t>Amortization of net loss</w:t>
            </w:r>
          </w:p>
        </w:tc>
        <w:tc>
          <w:tcPr>
            <w:tcW w:w="1500" w:type="dxa"/>
            <w:vAlign w:val="bottom"/>
          </w:tcPr>
          <w:p>
            <w:pPr>
              <w:jc w:val="right"/>
              <w:ind w:right="18"/>
              <w:spacing w:after="0"/>
              <w:rPr>
                <w:sz w:val="20"/>
                <w:szCs w:val="20"/>
                <w:color w:val="auto"/>
              </w:rPr>
            </w:pPr>
            <w:r>
              <w:rPr>
                <w:rFonts w:ascii="Arial" w:cs="Arial" w:eastAsia="Arial" w:hAnsi="Arial"/>
                <w:sz w:val="12"/>
                <w:szCs w:val="12"/>
                <w:color w:val="4F8ABE"/>
              </w:rPr>
              <w:t>(1.0)</w:t>
            </w:r>
          </w:p>
        </w:tc>
        <w:tc>
          <w:tcPr>
            <w:tcW w:w="1980" w:type="dxa"/>
            <w:vAlign w:val="bottom"/>
          </w:tcPr>
          <w:p>
            <w:pPr>
              <w:jc w:val="right"/>
              <w:ind w:right="498"/>
              <w:spacing w:after="0"/>
              <w:rPr>
                <w:sz w:val="20"/>
                <w:szCs w:val="20"/>
                <w:color w:val="auto"/>
              </w:rPr>
            </w:pPr>
            <w:r>
              <w:rPr>
                <w:rFonts w:ascii="Arial" w:cs="Arial" w:eastAsia="Arial" w:hAnsi="Arial"/>
                <w:sz w:val="12"/>
                <w:szCs w:val="12"/>
                <w:color w:val="auto"/>
              </w:rPr>
              <w:t>(4.0)</w:t>
            </w:r>
          </w:p>
        </w:tc>
        <w:tc>
          <w:tcPr>
            <w:tcW w:w="98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94"/>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Amortization of prior service cost</w:t>
            </w:r>
          </w:p>
        </w:tc>
        <w:tc>
          <w:tcPr>
            <w:tcW w:w="15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4F8ABE"/>
              </w:rPr>
              <w:t>(0.4)</w:t>
            </w:r>
          </w:p>
        </w:tc>
        <w:tc>
          <w:tcPr>
            <w:tcW w:w="198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(0.4)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r>
      <w:tr>
        <w:trPr>
          <w:trHeight w:val="311"/>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recognized in other comprehensive loss</w:t>
            </w:r>
          </w:p>
        </w:tc>
        <w:tc>
          <w:tcPr>
            <w:tcW w:w="15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23.3</w:t>
            </w:r>
          </w:p>
        </w:tc>
        <w:tc>
          <w:tcPr>
            <w:tcW w:w="198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(27.3)</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20.7</w:t>
            </w:r>
          </w:p>
        </w:tc>
      </w:tr>
      <w:tr>
        <w:trPr>
          <w:trHeight w:val="197"/>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recognized in net periodic benefit cost and other comprehensive loss</w:t>
            </w:r>
          </w:p>
        </w:tc>
        <w:tc>
          <w:tcPr>
            <w:tcW w:w="15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$26.7</w:t>
            </w:r>
          </w:p>
        </w:tc>
        <w:tc>
          <w:tcPr>
            <w:tcW w:w="198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($15.9)</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$33.3</w:t>
            </w:r>
          </w:p>
        </w:tc>
      </w:tr>
      <w:tr>
        <w:trPr>
          <w:trHeight w:val="91"/>
        </w:trPr>
        <w:tc>
          <w:tcPr>
            <w:tcW w:w="7000" w:type="dxa"/>
            <w:vAlign w:val="bottom"/>
          </w:tcPr>
          <w:p>
            <w:pPr>
              <w:spacing w:after="0"/>
              <w:rPr>
                <w:sz w:val="7"/>
                <w:szCs w:val="7"/>
                <w:color w:val="auto"/>
              </w:rPr>
            </w:pPr>
          </w:p>
        </w:tc>
        <w:tc>
          <w:tcPr>
            <w:tcW w:w="1500" w:type="dxa"/>
            <w:vAlign w:val="bottom"/>
            <w:shd w:val="clear" w:color="auto" w:fill="2989B9"/>
          </w:tcPr>
          <w:p>
            <w:pPr>
              <w:spacing w:after="0"/>
              <w:rPr>
                <w:sz w:val="7"/>
                <w:szCs w:val="7"/>
                <w:color w:val="auto"/>
              </w:rPr>
            </w:pPr>
          </w:p>
        </w:tc>
        <w:tc>
          <w:tcPr>
            <w:tcW w:w="1980" w:type="dxa"/>
            <w:vAlign w:val="bottom"/>
          </w:tcPr>
          <w:p>
            <w:pPr>
              <w:spacing w:after="0"/>
              <w:rPr>
                <w:sz w:val="7"/>
                <w:szCs w:val="7"/>
                <w:color w:val="auto"/>
              </w:rPr>
            </w:pPr>
          </w:p>
        </w:tc>
        <w:tc>
          <w:tcPr>
            <w:tcW w:w="9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-1976755</wp:posOffset>
            </wp:positionV>
            <wp:extent cx="958850" cy="722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8850" cy="72263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-886460</wp:posOffset>
            </wp:positionV>
            <wp:extent cx="958850" cy="473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8850" cy="47307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282A32"/>
        </w:rPr>
        <w:t>Effective July 1, 2016, we terminated a defined benefit plan in Northern Europe and transitioned our employees to a defined contribution plan, resulting in a curtailment and settlement gain of $6.9.</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The estimated net loss and prior service cost for the defined benefit pension plans that will be amortized from accumulated other comprehensive loss into net periodic benefit cost during 2017 are $1.8 and $0.4,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282A32"/>
        </w:rPr>
        <w:t>The weighted-average assumptions used in the measurement of the benefit obligation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1"/>
                <w:szCs w:val="11"/>
                <w:color w:val="auto"/>
              </w:rPr>
              <w:t>United States Plans</w:t>
            </w:r>
          </w:p>
        </w:tc>
        <w:tc>
          <w:tcPr>
            <w:tcW w:w="1180" w:type="dxa"/>
            <w:vAlign w:val="bottom"/>
          </w:tcPr>
          <w:p>
            <w:pPr>
              <w:spacing w:after="0"/>
              <w:rPr>
                <w:sz w:val="11"/>
                <w:szCs w:val="11"/>
                <w:color w:val="auto"/>
              </w:rPr>
            </w:pPr>
          </w:p>
        </w:tc>
        <w:tc>
          <w:tcPr>
            <w:tcW w:w="1360" w:type="dxa"/>
            <w:vAlign w:val="bottom"/>
          </w:tcPr>
          <w:p>
            <w:pPr>
              <w:jc w:val="right"/>
              <w:ind w:right="65"/>
              <w:spacing w:after="0"/>
              <w:rPr>
                <w:sz w:val="20"/>
                <w:szCs w:val="20"/>
                <w:color w:val="auto"/>
              </w:rPr>
            </w:pPr>
            <w:r>
              <w:rPr>
                <w:rFonts w:ascii="Arial" w:cs="Arial" w:eastAsia="Arial" w:hAnsi="Arial"/>
                <w:sz w:val="11"/>
                <w:szCs w:val="11"/>
                <w:color w:val="auto"/>
              </w:rPr>
              <w:t>Non-United States Plans</w:t>
            </w:r>
          </w:p>
        </w:tc>
      </w:tr>
      <w:tr>
        <w:trPr>
          <w:trHeight w:val="187"/>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30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1"/>
                <w:szCs w:val="11"/>
                <w:color w:val="4F8ABE"/>
              </w:rPr>
              <w:t>2016</w:t>
            </w:r>
          </w:p>
        </w:tc>
        <w:tc>
          <w:tcPr>
            <w:tcW w:w="12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2015</w:t>
            </w:r>
          </w:p>
        </w:tc>
        <w:tc>
          <w:tcPr>
            <w:tcW w:w="120" w:type="dxa"/>
            <w:vAlign w:val="bottom"/>
            <w:tcBorders>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F8ABE"/>
              </w:rPr>
              <w:t>2016</w:t>
            </w:r>
          </w:p>
        </w:tc>
        <w:tc>
          <w:tcPr>
            <w:tcW w:w="13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-137160</wp:posOffset>
            </wp:positionV>
            <wp:extent cx="807720" cy="4864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7720" cy="48641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-137160</wp:posOffset>
            </wp:positionV>
            <wp:extent cx="807720" cy="486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7720" cy="48641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Pr>
          <w:p>
            <w:pPr>
              <w:ind w:left="20"/>
              <w:spacing w:after="0"/>
              <w:rPr>
                <w:sz w:val="20"/>
                <w:szCs w:val="20"/>
                <w:color w:val="auto"/>
              </w:rPr>
            </w:pPr>
            <w:r>
              <w:rPr>
                <w:rFonts w:ascii="Arial" w:cs="Arial" w:eastAsia="Arial" w:hAnsi="Arial"/>
                <w:sz w:val="12"/>
                <w:szCs w:val="12"/>
                <w:color w:val="auto"/>
              </w:rPr>
              <w:t>Discount rate</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jc w:val="right"/>
              <w:ind w:right="399"/>
              <w:spacing w:after="0"/>
              <w:rPr>
                <w:sz w:val="20"/>
                <w:szCs w:val="20"/>
                <w:color w:val="auto"/>
              </w:rPr>
            </w:pPr>
            <w:r>
              <w:rPr>
                <w:rFonts w:ascii="Arial" w:cs="Arial" w:eastAsia="Arial" w:hAnsi="Arial"/>
                <w:sz w:val="12"/>
                <w:szCs w:val="12"/>
                <w:color w:val="2989B9"/>
              </w:rPr>
              <w:t>4.0%</w:t>
            </w:r>
          </w:p>
        </w:tc>
        <w:tc>
          <w:tcPr>
            <w:tcW w:w="120" w:type="dxa"/>
            <w:vAlign w:val="bottom"/>
          </w:tcPr>
          <w:p>
            <w:pPr>
              <w:spacing w:after="0"/>
              <w:rPr>
                <w:sz w:val="16"/>
                <w:szCs w:val="16"/>
                <w:color w:val="auto"/>
              </w:rPr>
            </w:pPr>
          </w:p>
        </w:tc>
        <w:tc>
          <w:tcPr>
            <w:tcW w:w="1040" w:type="dxa"/>
            <w:vAlign w:val="bottom"/>
          </w:tcPr>
          <w:p>
            <w:pPr>
              <w:jc w:val="right"/>
              <w:ind w:right="299"/>
              <w:spacing w:after="0"/>
              <w:rPr>
                <w:sz w:val="20"/>
                <w:szCs w:val="20"/>
                <w:color w:val="auto"/>
              </w:rPr>
            </w:pPr>
            <w:r>
              <w:rPr>
                <w:rFonts w:ascii="Arial" w:cs="Arial" w:eastAsia="Arial" w:hAnsi="Arial"/>
                <w:sz w:val="12"/>
                <w:szCs w:val="12"/>
                <w:color w:val="auto"/>
              </w:rPr>
              <w:t>4.3%</w:t>
            </w:r>
          </w:p>
        </w:tc>
        <w:tc>
          <w:tcPr>
            <w:tcW w:w="1540" w:type="dxa"/>
            <w:vAlign w:val="bottom"/>
          </w:tcPr>
          <w:p>
            <w:pPr>
              <w:jc w:val="right"/>
              <w:ind w:right="460"/>
              <w:spacing w:after="0"/>
              <w:rPr>
                <w:sz w:val="20"/>
                <w:szCs w:val="20"/>
                <w:color w:val="auto"/>
              </w:rPr>
            </w:pPr>
            <w:r>
              <w:rPr>
                <w:rFonts w:ascii="Arial" w:cs="Arial" w:eastAsia="Arial" w:hAnsi="Arial"/>
                <w:sz w:val="12"/>
                <w:szCs w:val="12"/>
                <w:color w:val="2989B9"/>
              </w:rPr>
              <w:t>2.2%</w:t>
            </w:r>
          </w:p>
        </w:tc>
        <w:tc>
          <w:tcPr>
            <w:tcW w:w="7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21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Rate of compensation increase</w:t>
            </w: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2989B9"/>
              </w:rPr>
              <w:t>3.0%</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3.0%</w:t>
            </w:r>
          </w:p>
        </w:tc>
        <w:tc>
          <w:tcPr>
            <w:tcW w:w="15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2989B9"/>
              </w:rPr>
              <w:t>1.7%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r>
      <w:tr>
        <w:trPr>
          <w:trHeight w:val="293"/>
        </w:trPr>
        <w:tc>
          <w:tcPr>
            <w:tcW w:w="6260" w:type="dxa"/>
            <w:vAlign w:val="bottom"/>
            <w:gridSpan w:val="3"/>
          </w:tcPr>
          <w:p>
            <w:pPr>
              <w:spacing w:after="0"/>
              <w:rPr>
                <w:sz w:val="20"/>
                <w:szCs w:val="20"/>
                <w:color w:val="auto"/>
              </w:rPr>
            </w:pPr>
            <w:r>
              <w:rPr>
                <w:rFonts w:ascii="Arial" w:cs="Arial" w:eastAsia="Arial" w:hAnsi="Arial"/>
                <w:sz w:val="12"/>
                <w:szCs w:val="12"/>
                <w:color w:val="282A32"/>
              </w:rPr>
              <w:t>The weighted-average assumptions used in the measurement of the net periodic benefit cost were as follows:</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1"/>
        </w:trPr>
        <w:tc>
          <w:tcPr>
            <w:tcW w:w="4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ind w:left="620"/>
              <w:spacing w:after="0"/>
              <w:rPr>
                <w:sz w:val="20"/>
                <w:szCs w:val="20"/>
                <w:color w:val="auto"/>
              </w:rPr>
            </w:pPr>
            <w:r>
              <w:rPr>
                <w:rFonts w:ascii="Arial" w:cs="Arial" w:eastAsia="Arial" w:hAnsi="Arial"/>
                <w:sz w:val="11"/>
                <w:szCs w:val="11"/>
                <w:color w:val="auto"/>
              </w:rPr>
              <w:t>United States Plans</w:t>
            </w:r>
          </w:p>
        </w:tc>
        <w:tc>
          <w:tcPr>
            <w:tcW w:w="1040" w:type="dxa"/>
            <w:vAlign w:val="bottom"/>
          </w:tcPr>
          <w:p>
            <w:pPr>
              <w:spacing w:after="0"/>
              <w:rPr>
                <w:sz w:val="24"/>
                <w:szCs w:val="24"/>
                <w:color w:val="auto"/>
              </w:rPr>
            </w:pPr>
          </w:p>
        </w:tc>
        <w:tc>
          <w:tcPr>
            <w:tcW w:w="2320" w:type="dxa"/>
            <w:vAlign w:val="bottom"/>
            <w:gridSpan w:val="2"/>
          </w:tcPr>
          <w:p>
            <w:pPr>
              <w:jc w:val="right"/>
              <w:ind w:right="59"/>
              <w:spacing w:after="0"/>
              <w:rPr>
                <w:sz w:val="20"/>
                <w:szCs w:val="20"/>
                <w:color w:val="auto"/>
              </w:rPr>
            </w:pPr>
            <w:r>
              <w:rPr>
                <w:rFonts w:ascii="Arial" w:cs="Arial" w:eastAsia="Arial" w:hAnsi="Arial"/>
                <w:sz w:val="11"/>
                <w:szCs w:val="11"/>
                <w:color w:val="auto"/>
              </w:rPr>
              <w:t>Non-United States Plans</w:t>
            </w:r>
          </w:p>
        </w:tc>
      </w:tr>
      <w:tr>
        <w:trPr>
          <w:trHeight w:val="18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040" w:type="dxa"/>
            <w:vAlign w:val="bottom"/>
            <w:tcBorders>
              <w:top w:val="single" w:sz="8" w:color="auto"/>
              <w:bottom w:val="single" w:sz="8" w:color="auto"/>
            </w:tcBorders>
            <w:shd w:val="clear" w:color="auto" w:fill="E1F4FD"/>
          </w:tcPr>
          <w:p>
            <w:pPr>
              <w:jc w:val="right"/>
              <w:ind w:right="79"/>
              <w:spacing w:after="0"/>
              <w:rPr>
                <w:sz w:val="20"/>
                <w:szCs w:val="20"/>
                <w:color w:val="auto"/>
              </w:rPr>
            </w:pPr>
            <w:r>
              <w:rPr>
                <w:rFonts w:ascii="Arial" w:cs="Arial" w:eastAsia="Arial" w:hAnsi="Arial"/>
                <w:sz w:val="11"/>
                <w:szCs w:val="11"/>
                <w:color w:val="4F8ABE"/>
              </w:rPr>
              <w:t>2016</w:t>
            </w:r>
          </w:p>
        </w:tc>
        <w:tc>
          <w:tcPr>
            <w:tcW w:w="3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1"/>
                <w:szCs w:val="11"/>
                <w:color w:val="auto"/>
              </w:rPr>
              <w:t>2015</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1"/>
                <w:szCs w:val="11"/>
                <w:color w:val="auto"/>
              </w:rPr>
              <w:t>2014</w:t>
            </w:r>
          </w:p>
        </w:tc>
        <w:tc>
          <w:tcPr>
            <w:tcW w:w="12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5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1"/>
                <w:szCs w:val="11"/>
                <w:color w:val="auto"/>
              </w:rPr>
              <w:t>2015</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1"/>
                <w:szCs w:val="11"/>
                <w:color w:val="auto"/>
              </w:rPr>
              <w:t>2014</w:t>
            </w:r>
          </w:p>
        </w:tc>
      </w:tr>
      <w:tr>
        <w:trPr>
          <w:trHeight w:val="336"/>
        </w:trPr>
        <w:tc>
          <w:tcPr>
            <w:tcW w:w="4860" w:type="dxa"/>
            <w:vAlign w:val="bottom"/>
          </w:tcPr>
          <w:p>
            <w:pPr>
              <w:ind w:left="20"/>
              <w:spacing w:after="0"/>
              <w:rPr>
                <w:sz w:val="20"/>
                <w:szCs w:val="20"/>
                <w:color w:val="auto"/>
              </w:rPr>
            </w:pPr>
            <w:r>
              <w:rPr>
                <w:rFonts w:ascii="Arial" w:cs="Arial" w:eastAsia="Arial" w:hAnsi="Arial"/>
                <w:sz w:val="12"/>
                <w:szCs w:val="12"/>
                <w:color w:val="auto"/>
              </w:rPr>
              <w:t>Discount rate - service cost</w:t>
            </w:r>
          </w:p>
        </w:tc>
        <w:tc>
          <w:tcPr>
            <w:tcW w:w="104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4.4%</w:t>
            </w:r>
          </w:p>
        </w:tc>
        <w:tc>
          <w:tcPr>
            <w:tcW w:w="360" w:type="dxa"/>
            <w:vAlign w:val="bottom"/>
          </w:tcPr>
          <w:p>
            <w:pPr>
              <w:spacing w:after="0"/>
              <w:rPr>
                <w:sz w:val="24"/>
                <w:szCs w:val="24"/>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3.9%</w:t>
            </w:r>
          </w:p>
        </w:tc>
        <w:tc>
          <w:tcPr>
            <w:tcW w:w="900" w:type="dxa"/>
            <w:vAlign w:val="bottom"/>
          </w:tcPr>
          <w:p>
            <w:pPr>
              <w:jc w:val="right"/>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24"/>
                <w:szCs w:val="24"/>
                <w:color w:val="auto"/>
              </w:rPr>
            </w:pPr>
          </w:p>
        </w:tc>
        <w:tc>
          <w:tcPr>
            <w:tcW w:w="104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3.2%</w:t>
            </w:r>
          </w:p>
        </w:tc>
        <w:tc>
          <w:tcPr>
            <w:tcW w:w="1540" w:type="dxa"/>
            <w:vAlign w:val="bottom"/>
          </w:tcPr>
          <w:p>
            <w:pPr>
              <w:jc w:val="right"/>
              <w:ind w:right="340"/>
              <w:spacing w:after="0"/>
              <w:rPr>
                <w:sz w:val="20"/>
                <w:szCs w:val="20"/>
                <w:color w:val="auto"/>
              </w:rPr>
            </w:pPr>
            <w:r>
              <w:rPr>
                <w:rFonts w:ascii="Arial" w:cs="Arial" w:eastAsia="Arial" w:hAnsi="Arial"/>
                <w:sz w:val="12"/>
                <w:szCs w:val="12"/>
                <w:color w:val="auto"/>
              </w:rPr>
              <w:t>2.9%</w:t>
            </w:r>
          </w:p>
        </w:tc>
        <w:tc>
          <w:tcPr>
            <w:tcW w:w="7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91"/>
        </w:trPr>
        <w:tc>
          <w:tcPr>
            <w:tcW w:w="4860" w:type="dxa"/>
            <w:vAlign w:val="bottom"/>
          </w:tcPr>
          <w:p>
            <w:pPr>
              <w:ind w:left="20"/>
              <w:spacing w:after="0"/>
              <w:rPr>
                <w:sz w:val="20"/>
                <w:szCs w:val="20"/>
                <w:color w:val="auto"/>
              </w:rPr>
            </w:pPr>
            <w:r>
              <w:rPr>
                <w:rFonts w:ascii="Arial" w:cs="Arial" w:eastAsia="Arial" w:hAnsi="Arial"/>
                <w:sz w:val="12"/>
                <w:szCs w:val="12"/>
                <w:color w:val="auto"/>
              </w:rPr>
              <w:t>Discount rate - interest cost</w:t>
            </w:r>
          </w:p>
        </w:tc>
        <w:tc>
          <w:tcPr>
            <w:tcW w:w="1040" w:type="dxa"/>
            <w:vAlign w:val="bottom"/>
          </w:tcPr>
          <w:p>
            <w:pPr>
              <w:jc w:val="right"/>
              <w:spacing w:after="0"/>
              <w:rPr>
                <w:sz w:val="20"/>
                <w:szCs w:val="20"/>
                <w:color w:val="auto"/>
              </w:rPr>
            </w:pPr>
            <w:r>
              <w:rPr>
                <w:rFonts w:ascii="Arial" w:cs="Arial" w:eastAsia="Arial" w:hAnsi="Arial"/>
                <w:sz w:val="12"/>
                <w:szCs w:val="12"/>
                <w:color w:val="4F8ABE"/>
              </w:rPr>
              <w:t>3.4%</w:t>
            </w:r>
          </w:p>
        </w:tc>
        <w:tc>
          <w:tcPr>
            <w:tcW w:w="36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3.9%</w:t>
            </w:r>
          </w:p>
        </w:tc>
        <w:tc>
          <w:tcPr>
            <w:tcW w:w="900" w:type="dxa"/>
            <w:vAlign w:val="bottom"/>
          </w:tcPr>
          <w:p>
            <w:pPr>
              <w:jc w:val="right"/>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4F8ABE"/>
              </w:rPr>
              <w:t>3.2%</w:t>
            </w:r>
          </w:p>
        </w:tc>
        <w:tc>
          <w:tcPr>
            <w:tcW w:w="1540" w:type="dxa"/>
            <w:vAlign w:val="bottom"/>
          </w:tcPr>
          <w:p>
            <w:pPr>
              <w:jc w:val="right"/>
              <w:ind w:right="340"/>
              <w:spacing w:after="0"/>
              <w:rPr>
                <w:sz w:val="20"/>
                <w:szCs w:val="20"/>
                <w:color w:val="auto"/>
              </w:rPr>
            </w:pPr>
            <w:r>
              <w:rPr>
                <w:rFonts w:ascii="Arial" w:cs="Arial" w:eastAsia="Arial" w:hAnsi="Arial"/>
                <w:sz w:val="12"/>
                <w:szCs w:val="12"/>
                <w:color w:val="auto"/>
              </w:rPr>
              <w:t>2.9%</w:t>
            </w:r>
          </w:p>
        </w:tc>
        <w:tc>
          <w:tcPr>
            <w:tcW w:w="7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07"/>
        </w:trPr>
        <w:tc>
          <w:tcPr>
            <w:tcW w:w="4860" w:type="dxa"/>
            <w:vAlign w:val="bottom"/>
          </w:tcPr>
          <w:p>
            <w:pPr>
              <w:ind w:left="20"/>
              <w:spacing w:after="0"/>
              <w:rPr>
                <w:sz w:val="20"/>
                <w:szCs w:val="20"/>
                <w:color w:val="auto"/>
              </w:rPr>
            </w:pPr>
            <w:r>
              <w:rPr>
                <w:rFonts w:ascii="Arial" w:cs="Arial" w:eastAsia="Arial" w:hAnsi="Arial"/>
                <w:sz w:val="12"/>
                <w:szCs w:val="12"/>
                <w:color w:val="auto"/>
              </w:rPr>
              <w:t>Expected long-term return on plan assets</w:t>
            </w:r>
          </w:p>
        </w:tc>
        <w:tc>
          <w:tcPr>
            <w:tcW w:w="1040" w:type="dxa"/>
            <w:vAlign w:val="bottom"/>
          </w:tcPr>
          <w:p>
            <w:pPr>
              <w:jc w:val="right"/>
              <w:spacing w:after="0"/>
              <w:rPr>
                <w:sz w:val="20"/>
                <w:szCs w:val="20"/>
                <w:color w:val="auto"/>
              </w:rPr>
            </w:pPr>
            <w:r>
              <w:rPr>
                <w:rFonts w:ascii="Arial" w:cs="Arial" w:eastAsia="Arial" w:hAnsi="Arial"/>
                <w:sz w:val="12"/>
                <w:szCs w:val="12"/>
                <w:color w:val="4F8ABE"/>
              </w:rPr>
              <w:t>5.3%</w:t>
            </w:r>
          </w:p>
        </w:tc>
        <w:tc>
          <w:tcPr>
            <w:tcW w:w="360" w:type="dxa"/>
            <w:vAlign w:val="bottom"/>
          </w:tcPr>
          <w:p>
            <w:pPr>
              <w:spacing w:after="0"/>
              <w:rPr>
                <w:sz w:val="17"/>
                <w:szCs w:val="17"/>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5.5%</w:t>
            </w:r>
          </w:p>
        </w:tc>
        <w:tc>
          <w:tcPr>
            <w:tcW w:w="900" w:type="dxa"/>
            <w:vAlign w:val="bottom"/>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4F8ABE"/>
              </w:rPr>
              <w:t>3.4%</w:t>
            </w:r>
          </w:p>
        </w:tc>
        <w:tc>
          <w:tcPr>
            <w:tcW w:w="1540" w:type="dxa"/>
            <w:vAlign w:val="bottom"/>
          </w:tcPr>
          <w:p>
            <w:pPr>
              <w:jc w:val="right"/>
              <w:ind w:right="340"/>
              <w:spacing w:after="0"/>
              <w:rPr>
                <w:sz w:val="20"/>
                <w:szCs w:val="20"/>
                <w:color w:val="auto"/>
              </w:rPr>
            </w:pPr>
            <w:r>
              <w:rPr>
                <w:rFonts w:ascii="Arial" w:cs="Arial" w:eastAsia="Arial" w:hAnsi="Arial"/>
                <w:sz w:val="12"/>
                <w:szCs w:val="12"/>
                <w:color w:val="auto"/>
              </w:rPr>
              <w:t>3.2%</w:t>
            </w:r>
          </w:p>
        </w:tc>
        <w:tc>
          <w:tcPr>
            <w:tcW w:w="78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21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Rate of compensation increase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4F8ABE"/>
              </w:rPr>
              <w:t>3.0%</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4F8ABE"/>
              </w:rPr>
              <w:t>2.2%</w:t>
            </w:r>
          </w:p>
        </w:tc>
        <w:tc>
          <w:tcPr>
            <w:tcW w:w="15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-531495</wp:posOffset>
            </wp:positionV>
            <wp:extent cx="663575" cy="525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3575" cy="525780"/>
                    </a:xfrm>
                    <a:prstGeom prst="rect">
                      <a:avLst/>
                    </a:prstGeom>
                    <a:noFill/>
                  </pic:spPr>
                </pic:pic>
              </a:graphicData>
            </a:graphic>
          </wp:anchor>
        </w:drawing>
        <w:drawing>
          <wp:anchor simplePos="0" relativeHeight="251657728" behindDoc="1" locked="0" layoutInCell="0" allowOverlap="1">
            <wp:simplePos x="0" y="0"/>
            <wp:positionH relativeFrom="column">
              <wp:posOffset>5145405</wp:posOffset>
            </wp:positionH>
            <wp:positionV relativeFrom="paragraph">
              <wp:posOffset>-531495</wp:posOffset>
            </wp:positionV>
            <wp:extent cx="663575" cy="525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3575" cy="52578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282A32"/>
        </w:rPr>
        <w:t>We determine our assumption for the discount rate based on an index of high-quality corporate bond yields and matched-funding yield curve analysis as of the end of each fiscal year.</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Our overall expected long-term rate of return used in the measurement of the 2016 net periodic benefit cost on United States plan assets was 5.3%, while the rates of return on our non-United States plans varied by country and ranged from 1.7% to 4.3%. For a majority of our plans, a building block approach has been employed to establish this return. Historical markets are studied and long-term historical relationships between equity securities and fixed income instruments are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71</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96" w:name="page97"/>
    <w:bookmarkEnd w:id="96"/>
    <w:p>
      <w:pPr>
        <w:jc w:val="both"/>
        <w:spacing w:after="0" w:line="260" w:lineRule="auto"/>
        <w:rPr>
          <w:sz w:val="20"/>
          <w:szCs w:val="20"/>
          <w:color w:val="auto"/>
        </w:rPr>
      </w:pPr>
      <w:r>
        <w:rPr>
          <w:rFonts w:ascii="Arial" w:cs="Arial" w:eastAsia="Arial" w:hAnsi="Arial"/>
          <w:sz w:val="12"/>
          <w:szCs w:val="12"/>
          <w:color w:val="282A32"/>
        </w:rPr>
        <w:t>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282A32"/>
        </w:rPr>
        <w:t>Projected salary levels utilized in the determination of the projected benefit obligation for the pension plans are based upon historical experience and the future expectations for each respective country.</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2016 allocations, are determined based on the favorable risk tolerance characteristics of the plan and, at times, may be adjusted within a specified range to advance our overall objective.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The fair values of our pension plan assets are primarily determined by using market quotes and other relevant information that is generated by market transactions involving identical or comparable assets, except for the insurance contracts and common contractual funds. The insurance contracts are measured at the present value of expected future benefit payments primarily using the Deutsche National Bank interest curve. For the common contractual funds, total fair value is based on significant unobservable inputs including assumptions where there is little, if any, market activity for the investment. Trust managers provide valuations of the investment. These valuations are reviewed for reasonableness and adjusted where appropriate, based on applicable market data.</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282A32"/>
        </w:rPr>
        <w:t>The fair value of our pension plan assets by asset category was as follows:</w:t>
      </w:r>
    </w:p>
    <w:p>
      <w:pPr>
        <w:sectPr>
          <w:pgSz w:w="11900" w:h="16838" w:orient="portrait"/>
          <w:cols w:equalWidth="0" w:num="1">
            <w:col w:w="11460"/>
          </w:cols>
          <w:pgMar w:left="220" w:top="327" w:right="219" w:bottom="1440" w:gutter="0" w:footer="0" w:header="0"/>
        </w:sectPr>
      </w:pPr>
    </w:p>
    <w:p>
      <w:pPr>
        <w:spacing w:after="0" w:line="175" w:lineRule="exact"/>
        <w:rPr>
          <w:sz w:val="20"/>
          <w:szCs w:val="20"/>
          <w:color w:val="auto"/>
        </w:rPr>
      </w:pPr>
    </w:p>
    <w:p>
      <w:pPr>
        <w:jc w:val="right"/>
        <w:ind w:right="1920"/>
        <w:spacing w:after="0"/>
        <w:rPr>
          <w:sz w:val="20"/>
          <w:szCs w:val="20"/>
          <w:color w:val="auto"/>
        </w:rPr>
      </w:pPr>
      <w:r>
        <w:rPr>
          <w:rFonts w:ascii="Arial" w:cs="Arial" w:eastAsia="Arial" w:hAnsi="Arial"/>
          <w:sz w:val="11"/>
          <w:szCs w:val="11"/>
          <w:color w:val="auto"/>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9525</wp:posOffset>
            </wp:positionV>
            <wp:extent cx="263398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Fair Value Measurements Using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1"/>
          <w:szCs w:val="11"/>
          <w:color w:val="auto"/>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9525</wp:posOffset>
            </wp:positionV>
            <wp:extent cx="26015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1595" cy="635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Fair Value Measurements Using</w:t>
      </w:r>
    </w:p>
    <w:p>
      <w:pPr>
        <w:spacing w:after="0" w:line="5" w:lineRule="exact"/>
        <w:rPr>
          <w:sz w:val="20"/>
          <w:szCs w:val="20"/>
          <w:color w:val="auto"/>
        </w:rPr>
      </w:pPr>
    </w:p>
    <w:p>
      <w:pPr>
        <w:sectPr>
          <w:pgSz w:w="11900" w:h="16838" w:orient="portrait"/>
          <w:cols w:equalWidth="0" w:num="2">
            <w:col w:w="9060" w:space="720"/>
            <w:col w:w="1680"/>
          </w:cols>
          <w:pgMar w:left="220" w:top="327" w:right="21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tcPr>
          <w:p>
            <w:pPr>
              <w:jc w:val="right"/>
              <w:ind w:right="444"/>
              <w:spacing w:after="0"/>
              <w:rPr>
                <w:sz w:val="20"/>
                <w:szCs w:val="20"/>
                <w:color w:val="auto"/>
              </w:rPr>
            </w:pPr>
            <w:r>
              <w:rPr>
                <w:rFonts w:ascii="Arial" w:cs="Arial" w:eastAsia="Arial" w:hAnsi="Arial"/>
                <w:sz w:val="9"/>
                <w:szCs w:val="9"/>
                <w:color w:val="auto"/>
              </w:rPr>
              <w:t>Quoted</w:t>
            </w:r>
          </w:p>
        </w:tc>
        <w:tc>
          <w:tcPr>
            <w:tcW w:w="8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tcPr>
          <w:p>
            <w:pPr>
              <w:jc w:val="right"/>
              <w:ind w:right="244"/>
              <w:spacing w:after="0"/>
              <w:rPr>
                <w:sz w:val="20"/>
                <w:szCs w:val="20"/>
                <w:color w:val="auto"/>
              </w:rPr>
            </w:pPr>
            <w:r>
              <w:rPr>
                <w:rFonts w:ascii="Arial" w:cs="Arial" w:eastAsia="Arial" w:hAnsi="Arial"/>
                <w:sz w:val="9"/>
                <w:szCs w:val="9"/>
                <w:color w:val="auto"/>
              </w:rPr>
              <w:t>Quoted</w:t>
            </w:r>
          </w:p>
        </w:tc>
        <w:tc>
          <w:tcPr>
            <w:tcW w:w="9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r>
      <w:tr>
        <w:trPr>
          <w:trHeight w:val="103"/>
        </w:trPr>
        <w:tc>
          <w:tcPr>
            <w:tcW w:w="3100" w:type="dxa"/>
            <w:vAlign w:val="bottom"/>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0" w:type="dxa"/>
            <w:vAlign w:val="bottom"/>
          </w:tcPr>
          <w:p>
            <w:pPr>
              <w:jc w:val="right"/>
              <w:ind w:right="444"/>
              <w:spacing w:after="0"/>
              <w:rPr>
                <w:sz w:val="20"/>
                <w:szCs w:val="20"/>
                <w:color w:val="auto"/>
              </w:rPr>
            </w:pPr>
            <w:r>
              <w:rPr>
                <w:rFonts w:ascii="Arial" w:cs="Arial" w:eastAsia="Arial" w:hAnsi="Arial"/>
                <w:sz w:val="9"/>
                <w:szCs w:val="9"/>
                <w:color w:val="auto"/>
              </w:rPr>
              <w:t>Prices</w:t>
            </w: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980" w:type="dxa"/>
            <w:vAlign w:val="bottom"/>
          </w:tcPr>
          <w:p>
            <w:pPr>
              <w:jc w:val="right"/>
              <w:ind w:right="244"/>
              <w:spacing w:after="0"/>
              <w:rPr>
                <w:sz w:val="20"/>
                <w:szCs w:val="20"/>
                <w:color w:val="auto"/>
              </w:rPr>
            </w:pPr>
            <w:r>
              <w:rPr>
                <w:rFonts w:ascii="Arial" w:cs="Arial" w:eastAsia="Arial" w:hAnsi="Arial"/>
                <w:sz w:val="9"/>
                <w:szCs w:val="9"/>
                <w:color w:val="auto"/>
              </w:rPr>
              <w:t>Prices</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03"/>
        </w:trPr>
        <w:tc>
          <w:tcPr>
            <w:tcW w:w="3100" w:type="dxa"/>
            <w:vAlign w:val="bottom"/>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0" w:type="dxa"/>
            <w:vAlign w:val="bottom"/>
          </w:tcPr>
          <w:p>
            <w:pPr>
              <w:jc w:val="right"/>
              <w:ind w:right="444"/>
              <w:spacing w:after="0"/>
              <w:rPr>
                <w:sz w:val="20"/>
                <w:szCs w:val="20"/>
                <w:color w:val="auto"/>
              </w:rPr>
            </w:pPr>
            <w:r>
              <w:rPr>
                <w:rFonts w:ascii="Arial" w:cs="Arial" w:eastAsia="Arial" w:hAnsi="Arial"/>
                <w:sz w:val="9"/>
                <w:szCs w:val="9"/>
                <w:color w:val="auto"/>
              </w:rPr>
              <w:t>in Active</w:t>
            </w:r>
          </w:p>
        </w:tc>
        <w:tc>
          <w:tcPr>
            <w:tcW w:w="820" w:type="dxa"/>
            <w:vAlign w:val="bottom"/>
          </w:tcPr>
          <w:p>
            <w:pPr>
              <w:jc w:val="right"/>
              <w:ind w:right="243"/>
              <w:spacing w:after="0"/>
              <w:rPr>
                <w:sz w:val="20"/>
                <w:szCs w:val="20"/>
                <w:color w:val="auto"/>
              </w:rPr>
            </w:pPr>
            <w:r>
              <w:rPr>
                <w:rFonts w:ascii="Arial" w:cs="Arial" w:eastAsia="Arial" w:hAnsi="Arial"/>
                <w:sz w:val="9"/>
                <w:szCs w:val="9"/>
                <w:color w:val="auto"/>
              </w:rPr>
              <w:t>Significant</w:t>
            </w: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980" w:type="dxa"/>
            <w:vAlign w:val="bottom"/>
          </w:tcPr>
          <w:p>
            <w:pPr>
              <w:jc w:val="right"/>
              <w:ind w:right="244"/>
              <w:spacing w:after="0"/>
              <w:rPr>
                <w:sz w:val="20"/>
                <w:szCs w:val="20"/>
                <w:color w:val="auto"/>
              </w:rPr>
            </w:pPr>
            <w:r>
              <w:rPr>
                <w:rFonts w:ascii="Arial" w:cs="Arial" w:eastAsia="Arial" w:hAnsi="Arial"/>
                <w:sz w:val="9"/>
                <w:szCs w:val="9"/>
                <w:color w:val="auto"/>
              </w:rPr>
              <w:t>in Active</w:t>
            </w:r>
          </w:p>
        </w:tc>
        <w:tc>
          <w:tcPr>
            <w:tcW w:w="920" w:type="dxa"/>
            <w:vAlign w:val="bottom"/>
          </w:tcPr>
          <w:p>
            <w:pPr>
              <w:jc w:val="right"/>
              <w:ind w:right="123"/>
              <w:spacing w:after="0"/>
              <w:rPr>
                <w:sz w:val="20"/>
                <w:szCs w:val="20"/>
                <w:color w:val="auto"/>
              </w:rPr>
            </w:pPr>
            <w:r>
              <w:rPr>
                <w:rFonts w:ascii="Arial" w:cs="Arial" w:eastAsia="Arial" w:hAnsi="Arial"/>
                <w:sz w:val="9"/>
                <w:szCs w:val="9"/>
                <w:color w:val="auto"/>
              </w:rPr>
              <w:t>Significant</w:t>
            </w:r>
          </w:p>
        </w:tc>
        <w:tc>
          <w:tcPr>
            <w:tcW w:w="1060" w:type="dxa"/>
            <w:vAlign w:val="bottom"/>
          </w:tcPr>
          <w:p>
            <w:pPr>
              <w:spacing w:after="0"/>
              <w:rPr>
                <w:sz w:val="8"/>
                <w:szCs w:val="8"/>
                <w:color w:val="auto"/>
              </w:rPr>
            </w:pPr>
          </w:p>
        </w:tc>
      </w:tr>
      <w:tr>
        <w:trPr>
          <w:trHeight w:val="103"/>
        </w:trPr>
        <w:tc>
          <w:tcPr>
            <w:tcW w:w="3100" w:type="dxa"/>
            <w:vAlign w:val="bottom"/>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0" w:type="dxa"/>
            <w:vAlign w:val="bottom"/>
          </w:tcPr>
          <w:p>
            <w:pPr>
              <w:jc w:val="right"/>
              <w:ind w:right="444"/>
              <w:spacing w:after="0"/>
              <w:rPr>
                <w:sz w:val="20"/>
                <w:szCs w:val="20"/>
                <w:color w:val="auto"/>
              </w:rPr>
            </w:pPr>
            <w:r>
              <w:rPr>
                <w:rFonts w:ascii="Arial" w:cs="Arial" w:eastAsia="Arial" w:hAnsi="Arial"/>
                <w:sz w:val="9"/>
                <w:szCs w:val="9"/>
                <w:color w:val="auto"/>
              </w:rPr>
              <w:t>Markets for</w:t>
            </w:r>
          </w:p>
        </w:tc>
        <w:tc>
          <w:tcPr>
            <w:tcW w:w="820" w:type="dxa"/>
            <w:vAlign w:val="bottom"/>
          </w:tcPr>
          <w:p>
            <w:pPr>
              <w:jc w:val="right"/>
              <w:ind w:right="243"/>
              <w:spacing w:after="0"/>
              <w:rPr>
                <w:sz w:val="20"/>
                <w:szCs w:val="20"/>
                <w:color w:val="auto"/>
              </w:rPr>
            </w:pPr>
            <w:r>
              <w:rPr>
                <w:rFonts w:ascii="Arial" w:cs="Arial" w:eastAsia="Arial" w:hAnsi="Arial"/>
                <w:sz w:val="9"/>
                <w:szCs w:val="9"/>
                <w:color w:val="auto"/>
              </w:rPr>
              <w:t>Other</w:t>
            </w:r>
          </w:p>
        </w:tc>
        <w:tc>
          <w:tcPr>
            <w:tcW w:w="1060" w:type="dxa"/>
            <w:vAlign w:val="bottom"/>
            <w:gridSpan w:val="2"/>
          </w:tcPr>
          <w:p>
            <w:pPr>
              <w:jc w:val="right"/>
              <w:ind w:right="220"/>
              <w:spacing w:after="0"/>
              <w:rPr>
                <w:sz w:val="20"/>
                <w:szCs w:val="20"/>
                <w:color w:val="auto"/>
              </w:rPr>
            </w:pPr>
            <w:r>
              <w:rPr>
                <w:rFonts w:ascii="Arial" w:cs="Arial" w:eastAsia="Arial" w:hAnsi="Arial"/>
                <w:sz w:val="9"/>
                <w:szCs w:val="9"/>
                <w:color w:val="auto"/>
              </w:rPr>
              <w:t>Significant</w:t>
            </w:r>
          </w:p>
        </w:tc>
        <w:tc>
          <w:tcPr>
            <w:tcW w:w="1140" w:type="dxa"/>
            <w:vAlign w:val="bottom"/>
            <w:shd w:val="clear" w:color="auto" w:fill="CCEEFF"/>
          </w:tcPr>
          <w:p>
            <w:pPr>
              <w:spacing w:after="0"/>
              <w:rPr>
                <w:sz w:val="8"/>
                <w:szCs w:val="8"/>
                <w:color w:val="auto"/>
              </w:rPr>
            </w:pPr>
          </w:p>
        </w:tc>
        <w:tc>
          <w:tcPr>
            <w:tcW w:w="980" w:type="dxa"/>
            <w:vAlign w:val="bottom"/>
          </w:tcPr>
          <w:p>
            <w:pPr>
              <w:jc w:val="right"/>
              <w:ind w:right="244"/>
              <w:spacing w:after="0"/>
              <w:rPr>
                <w:sz w:val="20"/>
                <w:szCs w:val="20"/>
                <w:color w:val="auto"/>
              </w:rPr>
            </w:pPr>
            <w:r>
              <w:rPr>
                <w:rFonts w:ascii="Arial" w:cs="Arial" w:eastAsia="Arial" w:hAnsi="Arial"/>
                <w:sz w:val="9"/>
                <w:szCs w:val="9"/>
                <w:color w:val="auto"/>
              </w:rPr>
              <w:t>Markets for</w:t>
            </w:r>
          </w:p>
        </w:tc>
        <w:tc>
          <w:tcPr>
            <w:tcW w:w="920" w:type="dxa"/>
            <w:vAlign w:val="bottom"/>
          </w:tcPr>
          <w:p>
            <w:pPr>
              <w:jc w:val="right"/>
              <w:ind w:right="123"/>
              <w:spacing w:after="0"/>
              <w:rPr>
                <w:sz w:val="20"/>
                <w:szCs w:val="20"/>
                <w:color w:val="auto"/>
              </w:rPr>
            </w:pPr>
            <w:r>
              <w:rPr>
                <w:rFonts w:ascii="Arial" w:cs="Arial" w:eastAsia="Arial" w:hAnsi="Arial"/>
                <w:sz w:val="9"/>
                <w:szCs w:val="9"/>
                <w:color w:val="auto"/>
              </w:rPr>
              <w:t>Other</w:t>
            </w:r>
          </w:p>
        </w:tc>
        <w:tc>
          <w:tcPr>
            <w:tcW w:w="1060" w:type="dxa"/>
            <w:vAlign w:val="bottom"/>
          </w:tcPr>
          <w:p>
            <w:pPr>
              <w:jc w:val="right"/>
              <w:ind w:right="43"/>
              <w:spacing w:after="0"/>
              <w:rPr>
                <w:sz w:val="20"/>
                <w:szCs w:val="20"/>
                <w:color w:val="auto"/>
              </w:rPr>
            </w:pPr>
            <w:r>
              <w:rPr>
                <w:rFonts w:ascii="Arial" w:cs="Arial" w:eastAsia="Arial" w:hAnsi="Arial"/>
                <w:sz w:val="9"/>
                <w:szCs w:val="9"/>
                <w:color w:val="auto"/>
              </w:rPr>
              <w:t>Significant</w:t>
            </w:r>
          </w:p>
        </w:tc>
      </w:tr>
      <w:tr>
        <w:trPr>
          <w:trHeight w:val="103"/>
        </w:trPr>
        <w:tc>
          <w:tcPr>
            <w:tcW w:w="3100" w:type="dxa"/>
            <w:vAlign w:val="bottom"/>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0" w:type="dxa"/>
            <w:vAlign w:val="bottom"/>
          </w:tcPr>
          <w:p>
            <w:pPr>
              <w:jc w:val="right"/>
              <w:ind w:right="444"/>
              <w:spacing w:after="0"/>
              <w:rPr>
                <w:sz w:val="20"/>
                <w:szCs w:val="20"/>
                <w:color w:val="auto"/>
              </w:rPr>
            </w:pPr>
            <w:r>
              <w:rPr>
                <w:rFonts w:ascii="Arial" w:cs="Arial" w:eastAsia="Arial" w:hAnsi="Arial"/>
                <w:sz w:val="9"/>
                <w:szCs w:val="9"/>
                <w:color w:val="auto"/>
              </w:rPr>
              <w:t>Identical</w:t>
            </w:r>
          </w:p>
        </w:tc>
        <w:tc>
          <w:tcPr>
            <w:tcW w:w="820" w:type="dxa"/>
            <w:vAlign w:val="bottom"/>
          </w:tcPr>
          <w:p>
            <w:pPr>
              <w:jc w:val="right"/>
              <w:ind w:right="243"/>
              <w:spacing w:after="0"/>
              <w:rPr>
                <w:sz w:val="20"/>
                <w:szCs w:val="20"/>
                <w:color w:val="auto"/>
              </w:rPr>
            </w:pPr>
            <w:r>
              <w:rPr>
                <w:rFonts w:ascii="Arial" w:cs="Arial" w:eastAsia="Arial" w:hAnsi="Arial"/>
                <w:sz w:val="9"/>
                <w:szCs w:val="9"/>
                <w:color w:val="auto"/>
              </w:rPr>
              <w:t>Observable</w:t>
            </w:r>
          </w:p>
        </w:tc>
        <w:tc>
          <w:tcPr>
            <w:tcW w:w="1060" w:type="dxa"/>
            <w:vAlign w:val="bottom"/>
            <w:gridSpan w:val="2"/>
          </w:tcPr>
          <w:p>
            <w:pPr>
              <w:jc w:val="right"/>
              <w:ind w:right="220"/>
              <w:spacing w:after="0"/>
              <w:rPr>
                <w:sz w:val="20"/>
                <w:szCs w:val="20"/>
                <w:color w:val="auto"/>
              </w:rPr>
            </w:pPr>
            <w:r>
              <w:rPr>
                <w:rFonts w:ascii="Arial" w:cs="Arial" w:eastAsia="Arial" w:hAnsi="Arial"/>
                <w:sz w:val="9"/>
                <w:szCs w:val="9"/>
                <w:color w:val="auto"/>
              </w:rPr>
              <w:t>Unobservable</w:t>
            </w:r>
          </w:p>
        </w:tc>
        <w:tc>
          <w:tcPr>
            <w:tcW w:w="1140" w:type="dxa"/>
            <w:vAlign w:val="bottom"/>
            <w:shd w:val="clear" w:color="auto" w:fill="CCEEFF"/>
          </w:tcPr>
          <w:p>
            <w:pPr>
              <w:spacing w:after="0"/>
              <w:rPr>
                <w:sz w:val="8"/>
                <w:szCs w:val="8"/>
                <w:color w:val="auto"/>
              </w:rPr>
            </w:pPr>
          </w:p>
        </w:tc>
        <w:tc>
          <w:tcPr>
            <w:tcW w:w="980" w:type="dxa"/>
            <w:vAlign w:val="bottom"/>
          </w:tcPr>
          <w:p>
            <w:pPr>
              <w:jc w:val="right"/>
              <w:ind w:right="244"/>
              <w:spacing w:after="0"/>
              <w:rPr>
                <w:sz w:val="20"/>
                <w:szCs w:val="20"/>
                <w:color w:val="auto"/>
              </w:rPr>
            </w:pPr>
            <w:r>
              <w:rPr>
                <w:rFonts w:ascii="Arial" w:cs="Arial" w:eastAsia="Arial" w:hAnsi="Arial"/>
                <w:sz w:val="9"/>
                <w:szCs w:val="9"/>
                <w:color w:val="auto"/>
              </w:rPr>
              <w:t>Identical</w:t>
            </w:r>
          </w:p>
        </w:tc>
        <w:tc>
          <w:tcPr>
            <w:tcW w:w="920" w:type="dxa"/>
            <w:vAlign w:val="bottom"/>
          </w:tcPr>
          <w:p>
            <w:pPr>
              <w:jc w:val="right"/>
              <w:ind w:right="123"/>
              <w:spacing w:after="0"/>
              <w:rPr>
                <w:sz w:val="20"/>
                <w:szCs w:val="20"/>
                <w:color w:val="auto"/>
              </w:rPr>
            </w:pPr>
            <w:r>
              <w:rPr>
                <w:rFonts w:ascii="Arial" w:cs="Arial" w:eastAsia="Arial" w:hAnsi="Arial"/>
                <w:sz w:val="9"/>
                <w:szCs w:val="9"/>
                <w:color w:val="auto"/>
              </w:rPr>
              <w:t>Observable</w:t>
            </w:r>
          </w:p>
        </w:tc>
        <w:tc>
          <w:tcPr>
            <w:tcW w:w="1060" w:type="dxa"/>
            <w:vAlign w:val="bottom"/>
          </w:tcPr>
          <w:p>
            <w:pPr>
              <w:jc w:val="right"/>
              <w:ind w:right="43"/>
              <w:spacing w:after="0"/>
              <w:rPr>
                <w:sz w:val="20"/>
                <w:szCs w:val="20"/>
                <w:color w:val="auto"/>
              </w:rPr>
            </w:pPr>
            <w:r>
              <w:rPr>
                <w:rFonts w:ascii="Arial" w:cs="Arial" w:eastAsia="Arial" w:hAnsi="Arial"/>
                <w:sz w:val="9"/>
                <w:szCs w:val="9"/>
                <w:color w:val="auto"/>
              </w:rPr>
              <w:t>Unobservable</w:t>
            </w:r>
          </w:p>
        </w:tc>
      </w:tr>
      <w:tr>
        <w:trPr>
          <w:trHeight w:val="103"/>
        </w:trPr>
        <w:tc>
          <w:tcPr>
            <w:tcW w:w="3100" w:type="dxa"/>
            <w:vAlign w:val="bottom"/>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9"/>
                <w:szCs w:val="9"/>
                <w:color w:val="2989B9"/>
              </w:rPr>
              <w:t>December 31,</w:t>
            </w:r>
          </w:p>
        </w:tc>
        <w:tc>
          <w:tcPr>
            <w:tcW w:w="1200" w:type="dxa"/>
            <w:vAlign w:val="bottom"/>
          </w:tcPr>
          <w:p>
            <w:pPr>
              <w:jc w:val="right"/>
              <w:ind w:right="444"/>
              <w:spacing w:after="0"/>
              <w:rPr>
                <w:sz w:val="20"/>
                <w:szCs w:val="20"/>
                <w:color w:val="auto"/>
              </w:rPr>
            </w:pPr>
            <w:r>
              <w:rPr>
                <w:rFonts w:ascii="Arial" w:cs="Arial" w:eastAsia="Arial" w:hAnsi="Arial"/>
                <w:sz w:val="9"/>
                <w:szCs w:val="9"/>
                <w:color w:val="auto"/>
              </w:rPr>
              <w:t>Assets</w:t>
            </w:r>
          </w:p>
        </w:tc>
        <w:tc>
          <w:tcPr>
            <w:tcW w:w="820" w:type="dxa"/>
            <w:vAlign w:val="bottom"/>
          </w:tcPr>
          <w:p>
            <w:pPr>
              <w:jc w:val="right"/>
              <w:ind w:right="243"/>
              <w:spacing w:after="0"/>
              <w:rPr>
                <w:sz w:val="20"/>
                <w:szCs w:val="20"/>
                <w:color w:val="auto"/>
              </w:rPr>
            </w:pPr>
            <w:r>
              <w:rPr>
                <w:rFonts w:ascii="Arial" w:cs="Arial" w:eastAsia="Arial" w:hAnsi="Arial"/>
                <w:sz w:val="9"/>
                <w:szCs w:val="9"/>
                <w:color w:val="auto"/>
              </w:rPr>
              <w:t>Inputs</w:t>
            </w:r>
          </w:p>
        </w:tc>
        <w:tc>
          <w:tcPr>
            <w:tcW w:w="1060" w:type="dxa"/>
            <w:vAlign w:val="bottom"/>
            <w:gridSpan w:val="2"/>
          </w:tcPr>
          <w:p>
            <w:pPr>
              <w:jc w:val="right"/>
              <w:ind w:right="220"/>
              <w:spacing w:after="0"/>
              <w:rPr>
                <w:sz w:val="20"/>
                <w:szCs w:val="20"/>
                <w:color w:val="auto"/>
              </w:rPr>
            </w:pPr>
            <w:r>
              <w:rPr>
                <w:rFonts w:ascii="Arial" w:cs="Arial" w:eastAsia="Arial" w:hAnsi="Arial"/>
                <w:sz w:val="9"/>
                <w:szCs w:val="9"/>
                <w:color w:val="auto"/>
              </w:rPr>
              <w:t>Inputs</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9"/>
                <w:szCs w:val="9"/>
                <w:color w:val="2989B9"/>
              </w:rPr>
              <w:t>December 31,</w:t>
            </w:r>
          </w:p>
        </w:tc>
        <w:tc>
          <w:tcPr>
            <w:tcW w:w="980" w:type="dxa"/>
            <w:vAlign w:val="bottom"/>
          </w:tcPr>
          <w:p>
            <w:pPr>
              <w:jc w:val="right"/>
              <w:ind w:right="244"/>
              <w:spacing w:after="0"/>
              <w:rPr>
                <w:sz w:val="20"/>
                <w:szCs w:val="20"/>
                <w:color w:val="auto"/>
              </w:rPr>
            </w:pPr>
            <w:r>
              <w:rPr>
                <w:rFonts w:ascii="Arial" w:cs="Arial" w:eastAsia="Arial" w:hAnsi="Arial"/>
                <w:sz w:val="9"/>
                <w:szCs w:val="9"/>
                <w:color w:val="auto"/>
              </w:rPr>
              <w:t>Assets</w:t>
            </w:r>
          </w:p>
        </w:tc>
        <w:tc>
          <w:tcPr>
            <w:tcW w:w="920" w:type="dxa"/>
            <w:vAlign w:val="bottom"/>
          </w:tcPr>
          <w:p>
            <w:pPr>
              <w:jc w:val="right"/>
              <w:ind w:right="123"/>
              <w:spacing w:after="0"/>
              <w:rPr>
                <w:sz w:val="20"/>
                <w:szCs w:val="20"/>
                <w:color w:val="auto"/>
              </w:rPr>
            </w:pPr>
            <w:r>
              <w:rPr>
                <w:rFonts w:ascii="Arial" w:cs="Arial" w:eastAsia="Arial" w:hAnsi="Arial"/>
                <w:sz w:val="9"/>
                <w:szCs w:val="9"/>
                <w:color w:val="auto"/>
              </w:rPr>
              <w:t>Inputs</w:t>
            </w:r>
          </w:p>
        </w:tc>
        <w:tc>
          <w:tcPr>
            <w:tcW w:w="1060" w:type="dxa"/>
            <w:vAlign w:val="bottom"/>
          </w:tcPr>
          <w:p>
            <w:pPr>
              <w:jc w:val="right"/>
              <w:ind w:right="43"/>
              <w:spacing w:after="0"/>
              <w:rPr>
                <w:sz w:val="20"/>
                <w:szCs w:val="20"/>
                <w:color w:val="auto"/>
              </w:rPr>
            </w:pPr>
            <w:r>
              <w:rPr>
                <w:rFonts w:ascii="Arial" w:cs="Arial" w:eastAsia="Arial" w:hAnsi="Arial"/>
                <w:sz w:val="9"/>
                <w:szCs w:val="9"/>
                <w:color w:val="auto"/>
              </w:rPr>
              <w:t>Inputs</w:t>
            </w:r>
          </w:p>
        </w:tc>
      </w:tr>
      <w:tr>
        <w:trPr>
          <w:trHeight w:val="115"/>
        </w:trPr>
        <w:tc>
          <w:tcPr>
            <w:tcW w:w="3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9"/>
                <w:szCs w:val="9"/>
                <w:color w:val="2989B9"/>
              </w:rPr>
              <w:t>2016</w:t>
            </w: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9"/>
                <w:szCs w:val="9"/>
                <w:color w:val="auto"/>
              </w:rPr>
              <w:t>(Level 1)</w:t>
            </w: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9"/>
                <w:szCs w:val="9"/>
                <w:color w:val="auto"/>
              </w:rPr>
              <w:t>(Level 2)</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color w:val="auto"/>
              </w:rPr>
              <w:t>(Level 3)</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9"/>
                <w:szCs w:val="9"/>
                <w:color w:val="2989B9"/>
              </w:rPr>
              <w:t>2016</w:t>
            </w: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9"/>
                <w:szCs w:val="9"/>
                <w:color w:val="auto"/>
              </w:rPr>
              <w:t>(Level 1)</w:t>
            </w: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9"/>
                <w:szCs w:val="9"/>
                <w:color w:val="auto"/>
              </w:rPr>
              <w:t>(Level 2)</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color w:val="auto"/>
              </w:rPr>
              <w:t>(Level 3)</w:t>
            </w:r>
          </w:p>
        </w:tc>
      </w:tr>
      <w:tr>
        <w:trPr>
          <w:trHeight w:val="355"/>
        </w:trPr>
        <w:tc>
          <w:tcPr>
            <w:tcW w:w="3100" w:type="dxa"/>
            <w:vAlign w:val="bottom"/>
          </w:tcPr>
          <w:p>
            <w:pPr>
              <w:ind w:left="20"/>
              <w:spacing w:after="0"/>
              <w:rPr>
                <w:sz w:val="20"/>
                <w:szCs w:val="20"/>
                <w:color w:val="auto"/>
              </w:rPr>
            </w:pPr>
            <w:r>
              <w:rPr>
                <w:rFonts w:ascii="Arial" w:cs="Arial" w:eastAsia="Arial" w:hAnsi="Arial"/>
                <w:sz w:val="12"/>
                <w:szCs w:val="12"/>
                <w:color w:val="4F8ABE"/>
              </w:rPr>
              <w:t>Asset Category</w:t>
            </w:r>
          </w:p>
        </w:tc>
        <w:tc>
          <w:tcPr>
            <w:tcW w:w="380" w:type="dxa"/>
            <w:vAlign w:val="bottom"/>
            <w:shd w:val="clear" w:color="auto" w:fill="E1F4FD"/>
          </w:tcPr>
          <w:p>
            <w:pPr>
              <w:spacing w:after="0"/>
              <w:rPr>
                <w:sz w:val="24"/>
                <w:szCs w:val="24"/>
                <w:color w:val="auto"/>
              </w:rPr>
            </w:pPr>
          </w:p>
        </w:tc>
        <w:tc>
          <w:tcPr>
            <w:tcW w:w="800" w:type="dxa"/>
            <w:vAlign w:val="bottom"/>
            <w:shd w:val="clear" w:color="auto" w:fill="E1F4FD"/>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shd w:val="clear" w:color="auto" w:fill="E1F4FD"/>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3100" w:type="dxa"/>
            <w:vAlign w:val="bottom"/>
          </w:tcPr>
          <w:p>
            <w:pPr>
              <w:ind w:left="20"/>
              <w:spacing w:after="0"/>
              <w:rPr>
                <w:sz w:val="20"/>
                <w:szCs w:val="20"/>
                <w:color w:val="auto"/>
              </w:rPr>
            </w:pPr>
            <w:r>
              <w:rPr>
                <w:rFonts w:ascii="Arial" w:cs="Arial" w:eastAsia="Arial" w:hAnsi="Arial"/>
                <w:sz w:val="12"/>
                <w:szCs w:val="12"/>
                <w:color w:val="auto"/>
              </w:rPr>
              <w:t>Cash and cash equivalents</w:t>
            </w:r>
            <w:r>
              <w:rPr>
                <w:rFonts w:ascii="Arial" w:cs="Arial" w:eastAsia="Arial" w:hAnsi="Arial"/>
                <w:sz w:val="16"/>
                <w:szCs w:val="16"/>
                <w:color w:val="auto"/>
                <w:vertAlign w:val="superscript"/>
              </w:rPr>
              <w:t>(1)</w:t>
            </w:r>
          </w:p>
        </w:tc>
        <w:tc>
          <w:tcPr>
            <w:tcW w:w="380" w:type="dxa"/>
            <w:vAlign w:val="bottom"/>
            <w:shd w:val="clear" w:color="auto" w:fill="E1F4FD"/>
          </w:tcPr>
          <w:p>
            <w:pPr>
              <w:spacing w:after="0"/>
              <w:rPr>
                <w:sz w:val="23"/>
                <w:szCs w:val="23"/>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$0.2</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$0.2</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$9.7</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$9.2</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$0.5</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tcPr>
          <w:p>
            <w:pPr>
              <w:ind w:left="20"/>
              <w:spacing w:after="0"/>
              <w:rPr>
                <w:sz w:val="20"/>
                <w:szCs w:val="20"/>
                <w:color w:val="auto"/>
              </w:rPr>
            </w:pPr>
            <w:r>
              <w:rPr>
                <w:rFonts w:ascii="Arial" w:cs="Arial" w:eastAsia="Arial" w:hAnsi="Arial"/>
                <w:sz w:val="12"/>
                <w:szCs w:val="12"/>
                <w:color w:val="auto"/>
              </w:rPr>
              <w:t>Equity securities:</w:t>
            </w:r>
          </w:p>
        </w:tc>
        <w:tc>
          <w:tcPr>
            <w:tcW w:w="380" w:type="dxa"/>
            <w:vAlign w:val="bottom"/>
            <w:shd w:val="clear" w:color="auto" w:fill="E1F4FD"/>
          </w:tcPr>
          <w:p>
            <w:pPr>
              <w:spacing w:after="0"/>
              <w:rPr>
                <w:sz w:val="12"/>
                <w:szCs w:val="12"/>
                <w:color w:val="auto"/>
              </w:rPr>
            </w:pPr>
          </w:p>
        </w:tc>
        <w:tc>
          <w:tcPr>
            <w:tcW w:w="800" w:type="dxa"/>
            <w:vAlign w:val="bottom"/>
            <w:shd w:val="clear" w:color="auto" w:fill="E1F4FD"/>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shd w:val="clear" w:color="auto" w:fill="E1F4FD"/>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7"/>
        </w:trPr>
        <w:tc>
          <w:tcPr>
            <w:tcW w:w="3100" w:type="dxa"/>
            <w:vAlign w:val="bottom"/>
          </w:tcPr>
          <w:p>
            <w:pPr>
              <w:ind w:left="240"/>
              <w:spacing w:after="0"/>
              <w:rPr>
                <w:sz w:val="20"/>
                <w:szCs w:val="20"/>
                <w:color w:val="auto"/>
              </w:rPr>
            </w:pPr>
            <w:r>
              <w:rPr>
                <w:rFonts w:ascii="Arial" w:cs="Arial" w:eastAsia="Arial" w:hAnsi="Arial"/>
                <w:sz w:val="12"/>
                <w:szCs w:val="12"/>
                <w:color w:val="auto"/>
              </w:rPr>
              <w:t>United States companies</w:t>
            </w:r>
          </w:p>
        </w:tc>
        <w:tc>
          <w:tcPr>
            <w:tcW w:w="380" w:type="dxa"/>
            <w:vAlign w:val="bottom"/>
            <w:shd w:val="clear" w:color="auto" w:fill="E1F4FD"/>
          </w:tcPr>
          <w:p>
            <w:pPr>
              <w:spacing w:after="0"/>
              <w:rPr>
                <w:sz w:val="17"/>
                <w:szCs w:val="17"/>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12.1</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12.1</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207"/>
        </w:trPr>
        <w:tc>
          <w:tcPr>
            <w:tcW w:w="3100" w:type="dxa"/>
            <w:vAlign w:val="bottom"/>
          </w:tcPr>
          <w:p>
            <w:pPr>
              <w:ind w:left="240"/>
              <w:spacing w:after="0"/>
              <w:rPr>
                <w:sz w:val="20"/>
                <w:szCs w:val="20"/>
                <w:color w:val="auto"/>
              </w:rPr>
            </w:pPr>
            <w:r>
              <w:rPr>
                <w:rFonts w:ascii="Arial" w:cs="Arial" w:eastAsia="Arial" w:hAnsi="Arial"/>
                <w:sz w:val="12"/>
                <w:szCs w:val="12"/>
                <w:color w:val="auto"/>
              </w:rPr>
              <w:t>International companies</w:t>
            </w:r>
          </w:p>
        </w:tc>
        <w:tc>
          <w:tcPr>
            <w:tcW w:w="380" w:type="dxa"/>
            <w:vAlign w:val="bottom"/>
            <w:shd w:val="clear" w:color="auto" w:fill="E1F4FD"/>
          </w:tcPr>
          <w:p>
            <w:pPr>
              <w:spacing w:after="0"/>
              <w:rPr>
                <w:sz w:val="17"/>
                <w:szCs w:val="17"/>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17.7</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17.7</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207"/>
        </w:trPr>
        <w:tc>
          <w:tcPr>
            <w:tcW w:w="3100" w:type="dxa"/>
            <w:vAlign w:val="bottom"/>
          </w:tcPr>
          <w:p>
            <w:pPr>
              <w:ind w:left="20"/>
              <w:spacing w:after="0"/>
              <w:rPr>
                <w:sz w:val="20"/>
                <w:szCs w:val="20"/>
                <w:color w:val="auto"/>
              </w:rPr>
            </w:pPr>
            <w:r>
              <w:rPr>
                <w:rFonts w:ascii="Arial" w:cs="Arial" w:eastAsia="Arial" w:hAnsi="Arial"/>
                <w:sz w:val="12"/>
                <w:szCs w:val="12"/>
                <w:color w:val="auto"/>
              </w:rPr>
              <w:t>Fixed income securities:</w:t>
            </w:r>
          </w:p>
        </w:tc>
        <w:tc>
          <w:tcPr>
            <w:tcW w:w="380" w:type="dxa"/>
            <w:vAlign w:val="bottom"/>
            <w:shd w:val="clear" w:color="auto" w:fill="E1F4FD"/>
          </w:tcPr>
          <w:p>
            <w:pPr>
              <w:spacing w:after="0"/>
              <w:rPr>
                <w:sz w:val="17"/>
                <w:szCs w:val="17"/>
                <w:color w:val="auto"/>
              </w:rPr>
            </w:pPr>
          </w:p>
        </w:tc>
        <w:tc>
          <w:tcPr>
            <w:tcW w:w="800" w:type="dxa"/>
            <w:vAlign w:val="bottom"/>
            <w:shd w:val="clear" w:color="auto" w:fill="E1F4FD"/>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shd w:val="clear" w:color="auto" w:fill="E1F4FD"/>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100" w:type="dxa"/>
            <w:vAlign w:val="bottom"/>
          </w:tcPr>
          <w:p>
            <w:pPr>
              <w:ind w:left="240"/>
              <w:spacing w:after="0"/>
              <w:rPr>
                <w:sz w:val="20"/>
                <w:szCs w:val="20"/>
                <w:color w:val="auto"/>
              </w:rPr>
            </w:pPr>
            <w:r>
              <w:rPr>
                <w:rFonts w:ascii="Arial" w:cs="Arial" w:eastAsia="Arial" w:hAnsi="Arial"/>
                <w:sz w:val="12"/>
                <w:szCs w:val="12"/>
                <w:color w:val="auto"/>
              </w:rPr>
              <w:t>Government bonds</w:t>
            </w:r>
            <w:r>
              <w:rPr>
                <w:rFonts w:ascii="Arial" w:cs="Arial" w:eastAsia="Arial" w:hAnsi="Arial"/>
                <w:sz w:val="16"/>
                <w:szCs w:val="16"/>
                <w:color w:val="auto"/>
                <w:vertAlign w:val="superscript"/>
              </w:rPr>
              <w:t>(2)</w:t>
            </w:r>
          </w:p>
        </w:tc>
        <w:tc>
          <w:tcPr>
            <w:tcW w:w="380" w:type="dxa"/>
            <w:vAlign w:val="bottom"/>
            <w:shd w:val="clear" w:color="auto" w:fill="E1F4FD"/>
          </w:tcPr>
          <w:p>
            <w:pPr>
              <w:spacing w:after="0"/>
              <w:rPr>
                <w:sz w:val="19"/>
                <w:szCs w:val="19"/>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14.7</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14.7</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27.5</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27.5</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91"/>
        </w:trPr>
        <w:tc>
          <w:tcPr>
            <w:tcW w:w="3100" w:type="dxa"/>
            <w:vAlign w:val="bottom"/>
          </w:tcPr>
          <w:p>
            <w:pPr>
              <w:ind w:left="240"/>
              <w:spacing w:after="0"/>
              <w:rPr>
                <w:sz w:val="20"/>
                <w:szCs w:val="20"/>
                <w:color w:val="auto"/>
              </w:rPr>
            </w:pPr>
            <w:r>
              <w:rPr>
                <w:rFonts w:ascii="Arial" w:cs="Arial" w:eastAsia="Arial" w:hAnsi="Arial"/>
                <w:sz w:val="12"/>
                <w:szCs w:val="12"/>
                <w:color w:val="auto"/>
              </w:rPr>
              <w:t>Corporate bonds</w:t>
            </w:r>
          </w:p>
        </w:tc>
        <w:tc>
          <w:tcPr>
            <w:tcW w:w="3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10.3</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10.3</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49.6</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49.6</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207"/>
        </w:trPr>
        <w:tc>
          <w:tcPr>
            <w:tcW w:w="3100" w:type="dxa"/>
            <w:vAlign w:val="bottom"/>
          </w:tcPr>
          <w:p>
            <w:pPr>
              <w:ind w:left="240"/>
              <w:spacing w:after="0"/>
              <w:rPr>
                <w:sz w:val="20"/>
                <w:szCs w:val="20"/>
                <w:color w:val="auto"/>
              </w:rPr>
            </w:pPr>
            <w:r>
              <w:rPr>
                <w:rFonts w:ascii="Arial" w:cs="Arial" w:eastAsia="Arial" w:hAnsi="Arial"/>
                <w:sz w:val="12"/>
                <w:szCs w:val="12"/>
                <w:color w:val="auto"/>
              </w:rPr>
              <w:t>Guaranteed insurance contracts</w:t>
            </w:r>
          </w:p>
        </w:tc>
        <w:tc>
          <w:tcPr>
            <w:tcW w:w="380" w:type="dxa"/>
            <w:vAlign w:val="bottom"/>
            <w:shd w:val="clear" w:color="auto" w:fill="E1F4FD"/>
          </w:tcPr>
          <w:p>
            <w:pPr>
              <w:spacing w:after="0"/>
              <w:rPr>
                <w:sz w:val="17"/>
                <w:szCs w:val="17"/>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14.2</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14.2</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207"/>
        </w:trPr>
        <w:tc>
          <w:tcPr>
            <w:tcW w:w="3100" w:type="dxa"/>
            <w:vAlign w:val="bottom"/>
          </w:tcPr>
          <w:p>
            <w:pPr>
              <w:ind w:left="240"/>
              <w:spacing w:after="0"/>
              <w:rPr>
                <w:sz w:val="20"/>
                <w:szCs w:val="20"/>
                <w:color w:val="auto"/>
              </w:rPr>
            </w:pPr>
            <w:r>
              <w:rPr>
                <w:rFonts w:ascii="Arial" w:cs="Arial" w:eastAsia="Arial" w:hAnsi="Arial"/>
                <w:sz w:val="12"/>
                <w:szCs w:val="12"/>
                <w:color w:val="auto"/>
              </w:rPr>
              <w:t>Annuity contract</w:t>
            </w:r>
          </w:p>
        </w:tc>
        <w:tc>
          <w:tcPr>
            <w:tcW w:w="380" w:type="dxa"/>
            <w:vAlign w:val="bottom"/>
            <w:shd w:val="clear" w:color="auto" w:fill="E1F4FD"/>
          </w:tcPr>
          <w:p>
            <w:pPr>
              <w:spacing w:after="0"/>
              <w:rPr>
                <w:sz w:val="17"/>
                <w:szCs w:val="17"/>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49.5</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49.5</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207"/>
        </w:trPr>
        <w:tc>
          <w:tcPr>
            <w:tcW w:w="3100" w:type="dxa"/>
            <w:vAlign w:val="bottom"/>
          </w:tcPr>
          <w:p>
            <w:pPr>
              <w:ind w:left="20"/>
              <w:spacing w:after="0"/>
              <w:rPr>
                <w:sz w:val="20"/>
                <w:szCs w:val="20"/>
                <w:color w:val="auto"/>
              </w:rPr>
            </w:pPr>
            <w:r>
              <w:rPr>
                <w:rFonts w:ascii="Arial" w:cs="Arial" w:eastAsia="Arial" w:hAnsi="Arial"/>
                <w:sz w:val="12"/>
                <w:szCs w:val="12"/>
                <w:color w:val="auto"/>
              </w:rPr>
              <w:t>Other types of investments:</w:t>
            </w:r>
          </w:p>
        </w:tc>
        <w:tc>
          <w:tcPr>
            <w:tcW w:w="380" w:type="dxa"/>
            <w:vAlign w:val="bottom"/>
            <w:shd w:val="clear" w:color="auto" w:fill="E1F4FD"/>
          </w:tcPr>
          <w:p>
            <w:pPr>
              <w:spacing w:after="0"/>
              <w:rPr>
                <w:sz w:val="17"/>
                <w:szCs w:val="17"/>
                <w:color w:val="auto"/>
              </w:rPr>
            </w:pPr>
          </w:p>
        </w:tc>
        <w:tc>
          <w:tcPr>
            <w:tcW w:w="800" w:type="dxa"/>
            <w:vAlign w:val="bottom"/>
            <w:shd w:val="clear" w:color="auto" w:fill="E1F4FD"/>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shd w:val="clear" w:color="auto" w:fill="E1F4FD"/>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100" w:type="dxa"/>
            <w:vAlign w:val="bottom"/>
          </w:tcPr>
          <w:p>
            <w:pPr>
              <w:ind w:left="240"/>
              <w:spacing w:after="0"/>
              <w:rPr>
                <w:sz w:val="20"/>
                <w:szCs w:val="20"/>
                <w:color w:val="auto"/>
              </w:rPr>
            </w:pPr>
            <w:r>
              <w:rPr>
                <w:rFonts w:ascii="Arial" w:cs="Arial" w:eastAsia="Arial" w:hAnsi="Arial"/>
                <w:sz w:val="12"/>
                <w:szCs w:val="12"/>
                <w:color w:val="auto"/>
              </w:rPr>
              <w:t>Unitized funds</w:t>
            </w:r>
            <w:r>
              <w:rPr>
                <w:rFonts w:ascii="Arial" w:cs="Arial" w:eastAsia="Arial" w:hAnsi="Arial"/>
                <w:sz w:val="16"/>
                <w:szCs w:val="16"/>
                <w:color w:val="auto"/>
                <w:vertAlign w:val="superscript"/>
              </w:rPr>
              <w:t>(3)</w:t>
            </w:r>
          </w:p>
        </w:tc>
        <w:tc>
          <w:tcPr>
            <w:tcW w:w="380" w:type="dxa"/>
            <w:vAlign w:val="bottom"/>
            <w:shd w:val="clear" w:color="auto" w:fill="E1F4FD"/>
          </w:tcPr>
          <w:p>
            <w:pPr>
              <w:spacing w:after="0"/>
              <w:rPr>
                <w:sz w:val="19"/>
                <w:szCs w:val="19"/>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23.1</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23.1</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91"/>
        </w:trPr>
        <w:tc>
          <w:tcPr>
            <w:tcW w:w="3100" w:type="dxa"/>
            <w:vAlign w:val="bottom"/>
          </w:tcPr>
          <w:p>
            <w:pPr>
              <w:ind w:left="240"/>
              <w:spacing w:after="0"/>
              <w:rPr>
                <w:sz w:val="20"/>
                <w:szCs w:val="20"/>
                <w:color w:val="auto"/>
              </w:rPr>
            </w:pPr>
            <w:r>
              <w:rPr>
                <w:rFonts w:ascii="Arial" w:cs="Arial" w:eastAsia="Arial" w:hAnsi="Arial"/>
                <w:sz w:val="12"/>
                <w:szCs w:val="12"/>
                <w:color w:val="auto"/>
              </w:rPr>
              <w:t>Real estate funds</w:t>
            </w:r>
          </w:p>
        </w:tc>
        <w:tc>
          <w:tcPr>
            <w:tcW w:w="3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7.0</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7.0</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207"/>
        </w:trPr>
        <w:tc>
          <w:tcPr>
            <w:tcW w:w="3100" w:type="dxa"/>
            <w:vAlign w:val="bottom"/>
          </w:tcPr>
          <w:p>
            <w:pPr>
              <w:ind w:left="240"/>
              <w:spacing w:after="0"/>
              <w:rPr>
                <w:sz w:val="20"/>
                <w:szCs w:val="20"/>
                <w:color w:val="auto"/>
              </w:rPr>
            </w:pPr>
            <w:r>
              <w:rPr>
                <w:rFonts w:ascii="Arial" w:cs="Arial" w:eastAsia="Arial" w:hAnsi="Arial"/>
                <w:sz w:val="12"/>
                <w:szCs w:val="12"/>
                <w:color w:val="auto"/>
              </w:rPr>
              <w:t>Common contractual funds</w:t>
            </w:r>
          </w:p>
        </w:tc>
        <w:tc>
          <w:tcPr>
            <w:tcW w:w="380" w:type="dxa"/>
            <w:vAlign w:val="bottom"/>
            <w:shd w:val="clear" w:color="auto" w:fill="E1F4FD"/>
          </w:tcPr>
          <w:p>
            <w:pPr>
              <w:spacing w:after="0"/>
              <w:rPr>
                <w:sz w:val="17"/>
                <w:szCs w:val="17"/>
                <w:color w:val="auto"/>
              </w:rPr>
            </w:pPr>
          </w:p>
        </w:tc>
        <w:tc>
          <w:tcPr>
            <w:tcW w:w="800" w:type="dxa"/>
            <w:vAlign w:val="bottom"/>
            <w:shd w:val="clear" w:color="auto" w:fill="E1F4FD"/>
          </w:tcPr>
          <w:p>
            <w:pPr>
              <w:jc w:val="right"/>
              <w:ind w:right="60"/>
              <w:spacing w:after="0"/>
              <w:rPr>
                <w:sz w:val="20"/>
                <w:szCs w:val="20"/>
                <w:color w:val="auto"/>
              </w:rPr>
            </w:pPr>
            <w:r>
              <w:rPr>
                <w:rFonts w:ascii="Arial" w:cs="Arial" w:eastAsia="Arial" w:hAnsi="Arial"/>
                <w:sz w:val="12"/>
                <w:szCs w:val="12"/>
                <w:color w:val="2989B9"/>
              </w:rPr>
              <w:t>—</w:t>
            </w:r>
          </w:p>
        </w:tc>
        <w:tc>
          <w:tcPr>
            <w:tcW w:w="1200" w:type="dxa"/>
            <w:vAlign w:val="bottom"/>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1F4FD"/>
          </w:tcPr>
          <w:p>
            <w:pPr>
              <w:jc w:val="right"/>
              <w:ind w:right="40"/>
              <w:spacing w:after="0"/>
              <w:rPr>
                <w:sz w:val="20"/>
                <w:szCs w:val="20"/>
                <w:color w:val="auto"/>
              </w:rPr>
            </w:pPr>
            <w:r>
              <w:rPr>
                <w:rFonts w:ascii="Arial" w:cs="Arial" w:eastAsia="Arial" w:hAnsi="Arial"/>
                <w:sz w:val="12"/>
                <w:szCs w:val="12"/>
                <w:color w:val="2989B9"/>
              </w:rPr>
              <w:t>25.9</w:t>
            </w:r>
          </w:p>
        </w:tc>
        <w:tc>
          <w:tcPr>
            <w:tcW w:w="980" w:type="dxa"/>
            <w:vAlign w:val="bottom"/>
          </w:tcPr>
          <w:p>
            <w:pPr>
              <w:jc w:val="right"/>
              <w:ind w:right="244"/>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25.9</w:t>
            </w:r>
          </w:p>
        </w:tc>
      </w:tr>
      <w:tr>
        <w:trPr>
          <w:trHeight w:val="215"/>
        </w:trPr>
        <w:tc>
          <w:tcPr>
            <w:tcW w:w="31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Insurance contracts</w:t>
            </w:r>
          </w:p>
        </w:tc>
        <w:tc>
          <w:tcPr>
            <w:tcW w:w="380" w:type="dxa"/>
            <w:vAlign w:val="bottom"/>
            <w:tcBorders>
              <w:bottom w:val="single" w:sz="8" w:color="auto"/>
            </w:tcBorders>
            <w:shd w:val="clear" w:color="auto" w:fill="E1F4FD"/>
          </w:tcPr>
          <w:p>
            <w:pPr>
              <w:spacing w:after="0"/>
              <w:rPr>
                <w:sz w:val="18"/>
                <w:szCs w:val="18"/>
                <w:color w:val="auto"/>
              </w:rPr>
            </w:pPr>
          </w:p>
        </w:tc>
        <w:tc>
          <w:tcPr>
            <w:tcW w:w="800" w:type="dxa"/>
            <w:vAlign w:val="bottom"/>
            <w:tcBorders>
              <w:bottom w:val="single" w:sz="8" w:color="auto"/>
            </w:tcBorders>
            <w:shd w:val="clear" w:color="auto" w:fill="E1F4FD"/>
          </w:tcPr>
          <w:p>
            <w:pPr>
              <w:jc w:val="right"/>
              <w:ind w:right="60"/>
              <w:spacing w:after="0"/>
              <w:rPr>
                <w:sz w:val="20"/>
                <w:szCs w:val="20"/>
                <w:color w:val="auto"/>
              </w:rPr>
            </w:pPr>
            <w:r>
              <w:rPr>
                <w:rFonts w:ascii="Arial" w:cs="Arial" w:eastAsia="Arial" w:hAnsi="Arial"/>
                <w:sz w:val="12"/>
                <w:szCs w:val="12"/>
                <w:color w:val="2989B9"/>
              </w:rPr>
              <w:t>—</w:t>
            </w: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2"/>
                <w:szCs w:val="12"/>
                <w:color w:val="2989B9"/>
              </w:rPr>
              <w:t>100.3</w:t>
            </w: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100.3</w:t>
            </w:r>
          </w:p>
        </w:tc>
      </w:tr>
      <w:tr>
        <w:trPr>
          <w:trHeight w:val="197"/>
        </w:trPr>
        <w:tc>
          <w:tcPr>
            <w:tcW w:w="3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shd w:val="clear" w:color="auto" w:fill="E1F4FD"/>
          </w:tcPr>
          <w:p>
            <w:pPr>
              <w:spacing w:after="0"/>
              <w:rPr>
                <w:sz w:val="17"/>
                <w:szCs w:val="17"/>
                <w:color w:val="auto"/>
              </w:rPr>
            </w:pPr>
          </w:p>
        </w:tc>
        <w:tc>
          <w:tcPr>
            <w:tcW w:w="800" w:type="dxa"/>
            <w:vAlign w:val="bottom"/>
            <w:tcBorders>
              <w:bottom w:val="single" w:sz="8" w:color="auto"/>
            </w:tcBorders>
            <w:shd w:val="clear" w:color="auto" w:fill="E1F4FD"/>
          </w:tcPr>
          <w:p>
            <w:pPr>
              <w:jc w:val="right"/>
              <w:ind w:right="60"/>
              <w:spacing w:after="0"/>
              <w:rPr>
                <w:sz w:val="20"/>
                <w:szCs w:val="20"/>
                <w:color w:val="auto"/>
              </w:rPr>
            </w:pPr>
            <w:r>
              <w:rPr>
                <w:rFonts w:ascii="Arial" w:cs="Arial" w:eastAsia="Arial" w:hAnsi="Arial"/>
                <w:sz w:val="12"/>
                <w:szCs w:val="12"/>
                <w:color w:val="2989B9"/>
              </w:rPr>
              <w:t>$37.3</w:t>
            </w: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2"/>
                <w:szCs w:val="12"/>
                <w:color w:val="auto"/>
              </w:rPr>
              <w:t>$12.1</w:t>
            </w: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color w:val="auto"/>
              </w:rPr>
              <w:t>$25.2</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1F4FD"/>
          </w:tcPr>
          <w:p>
            <w:pPr>
              <w:jc w:val="right"/>
              <w:ind w:right="40"/>
              <w:spacing w:after="0"/>
              <w:rPr>
                <w:sz w:val="20"/>
                <w:szCs w:val="20"/>
                <w:color w:val="auto"/>
              </w:rPr>
            </w:pPr>
            <w:r>
              <w:rPr>
                <w:rFonts w:ascii="Arial" w:cs="Arial" w:eastAsia="Arial" w:hAnsi="Arial"/>
                <w:sz w:val="12"/>
                <w:szCs w:val="12"/>
                <w:color w:val="2989B9"/>
              </w:rPr>
              <w:t>$324.5</w:t>
            </w: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2"/>
                <w:szCs w:val="12"/>
                <w:color w:val="auto"/>
              </w:rPr>
              <w:t>$50.0</w:t>
            </w: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color w:val="auto"/>
              </w:rPr>
              <w:t>$148.3</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$126.2</w:t>
            </w:r>
          </w:p>
        </w:tc>
      </w:tr>
      <w:tr>
        <w:trPr>
          <w:trHeight w:val="91"/>
        </w:trPr>
        <w:tc>
          <w:tcPr>
            <w:tcW w:w="3100" w:type="dxa"/>
            <w:vAlign w:val="bottom"/>
          </w:tcPr>
          <w:p>
            <w:pPr>
              <w:spacing w:after="0"/>
              <w:rPr>
                <w:sz w:val="7"/>
                <w:szCs w:val="7"/>
                <w:color w:val="auto"/>
              </w:rPr>
            </w:pPr>
          </w:p>
        </w:tc>
        <w:tc>
          <w:tcPr>
            <w:tcW w:w="380" w:type="dxa"/>
            <w:vAlign w:val="bottom"/>
            <w:shd w:val="clear" w:color="auto" w:fill="2989B9"/>
          </w:tcPr>
          <w:p>
            <w:pPr>
              <w:spacing w:after="0"/>
              <w:rPr>
                <w:sz w:val="7"/>
                <w:szCs w:val="7"/>
                <w:color w:val="auto"/>
              </w:rPr>
            </w:pPr>
          </w:p>
        </w:tc>
        <w:tc>
          <w:tcPr>
            <w:tcW w:w="800" w:type="dxa"/>
            <w:vAlign w:val="bottom"/>
            <w:shd w:val="clear" w:color="auto" w:fill="2989B9"/>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shd w:val="clear" w:color="auto" w:fill="2989B9"/>
          </w:tcPr>
          <w:p>
            <w:pPr>
              <w:spacing w:after="0"/>
              <w:rPr>
                <w:sz w:val="7"/>
                <w:szCs w:val="7"/>
                <w:color w:val="auto"/>
              </w:rPr>
            </w:pP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77"/>
        </w:trPr>
        <w:tc>
          <w:tcPr>
            <w:tcW w:w="3480" w:type="dxa"/>
            <w:vAlign w:val="bottom"/>
            <w:gridSpan w:val="2"/>
          </w:tcPr>
          <w:p>
            <w:pPr>
              <w:spacing w:after="0"/>
              <w:rPr>
                <w:sz w:val="20"/>
                <w:szCs w:val="20"/>
                <w:color w:val="auto"/>
              </w:rPr>
            </w:pPr>
            <w:r>
              <w:rPr>
                <w:rFonts w:ascii="Arial" w:cs="Arial" w:eastAsia="Arial" w:hAnsi="Arial"/>
                <w:sz w:val="11"/>
                <w:szCs w:val="11"/>
                <w:color w:val="282A32"/>
              </w:rPr>
              <w:t>(1)This category includes a prime obligations money market portfolio.</w:t>
            </w: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7"/>
        </w:trPr>
        <w:tc>
          <w:tcPr>
            <w:tcW w:w="5480" w:type="dxa"/>
            <w:vAlign w:val="bottom"/>
            <w:gridSpan w:val="4"/>
          </w:tcPr>
          <w:p>
            <w:pPr>
              <w:spacing w:after="0"/>
              <w:rPr>
                <w:sz w:val="20"/>
                <w:szCs w:val="20"/>
                <w:color w:val="auto"/>
              </w:rPr>
            </w:pPr>
            <w:r>
              <w:rPr>
                <w:rFonts w:ascii="Arial" w:cs="Arial" w:eastAsia="Arial" w:hAnsi="Arial"/>
                <w:sz w:val="11"/>
                <w:szCs w:val="11"/>
                <w:color w:val="282A32"/>
              </w:rPr>
              <w:t>(2)This category includes United States Treasury/Federal agency securities and foreign government securities.</w:t>
            </w: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6300" w:type="dxa"/>
            <w:vAlign w:val="bottom"/>
            <w:gridSpan w:val="5"/>
          </w:tcPr>
          <w:p>
            <w:pPr>
              <w:spacing w:after="0"/>
              <w:rPr>
                <w:sz w:val="20"/>
                <w:szCs w:val="20"/>
                <w:color w:val="auto"/>
              </w:rPr>
            </w:pPr>
            <w:r>
              <w:rPr>
                <w:rFonts w:ascii="Arial" w:cs="Arial" w:eastAsia="Arial" w:hAnsi="Arial"/>
                <w:sz w:val="11"/>
                <w:szCs w:val="11"/>
                <w:color w:val="282A32"/>
              </w:rPr>
              <w:t>(3)This category includes investments in approximately 60% equity securities, 30% fixed income securities and 10% cash.</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22"/>
        </w:trPr>
        <w:tc>
          <w:tcPr>
            <w:tcW w:w="3480" w:type="dxa"/>
            <w:vAlign w:val="bottom"/>
            <w:gridSpan w:val="2"/>
          </w:tcPr>
          <w:p>
            <w:pPr>
              <w:ind w:left="40"/>
              <w:spacing w:after="0"/>
              <w:rPr>
                <w:sz w:val="20"/>
                <w:szCs w:val="20"/>
                <w:color w:val="auto"/>
              </w:rPr>
            </w:pPr>
            <w:r>
              <w:rPr>
                <w:rFonts w:ascii="Arial" w:cs="Arial" w:eastAsia="Arial" w:hAnsi="Arial"/>
                <w:sz w:val="9"/>
                <w:szCs w:val="9"/>
                <w:color w:val="auto"/>
              </w:rPr>
              <w:t>Notes to Consolidated Financial Statements</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9"/>
                <w:szCs w:val="9"/>
                <w:b w:val="1"/>
                <w:bCs w:val="1"/>
                <w:color w:val="auto"/>
              </w:rPr>
              <w:t xml:space="preserve">72 </w:t>
            </w:r>
            <w:r>
              <w:rPr>
                <w:rFonts w:ascii="Arial" w:cs="Arial" w:eastAsia="Arial" w:hAnsi="Arial"/>
                <w:sz w:val="9"/>
                <w:szCs w:val="9"/>
                <w:color w:val="auto"/>
              </w:rPr>
              <w:t>| ManpowerGroup</w:t>
            </w:r>
          </w:p>
        </w:tc>
      </w:tr>
    </w:tbl>
    <w:p>
      <w:pPr>
        <w:sectPr>
          <w:pgSz w:w="11900" w:h="16838" w:orient="portrait"/>
          <w:cols w:equalWidth="0" w:num="1">
            <w:col w:w="11460"/>
          </w:cols>
          <w:pgMar w:left="220" w:top="327" w:right="21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color w:val="2989B9"/>
        </w:rPr>
        <w:t>NOTES TO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ectPr>
          <w:pgSz w:w="11900" w:h="16838" w:orient="portrait"/>
          <w:cols w:equalWidth="0" w:num="1">
            <w:col w:w="11460"/>
          </w:cols>
          <w:pgMar w:left="220" w:top="38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9525</wp:posOffset>
            </wp:positionV>
            <wp:extent cx="263398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9525</wp:posOffset>
            </wp:positionV>
            <wp:extent cx="263398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spacing w:after="0" w:line="27" w:lineRule="exact"/>
        <w:rPr>
          <w:sz w:val="20"/>
          <w:szCs w:val="20"/>
          <w:color w:val="auto"/>
        </w:rPr>
      </w:pPr>
    </w:p>
    <w:tbl>
      <w:tblPr>
        <w:tblLayout w:type="fixed"/>
        <w:tblInd w:w="3480" w:type="dxa"/>
        <w:tblCellMar>
          <w:top w:w="0" w:type="dxa"/>
          <w:left w:w="0" w:type="dxa"/>
          <w:bottom w:w="0" w:type="dxa"/>
          <w:right w:w="0" w:type="dxa"/>
        </w:tblCellMar>
      </w:tblPr>
      <w:tr>
        <w:trPr>
          <w:trHeight w:val="103"/>
        </w:trPr>
        <w:tc>
          <w:tcPr>
            <w:tcW w:w="740" w:type="dxa"/>
            <w:vAlign w:val="bottom"/>
          </w:tcPr>
          <w:p>
            <w:pPr>
              <w:spacing w:after="0"/>
              <w:rPr>
                <w:sz w:val="8"/>
                <w:szCs w:val="8"/>
                <w:color w:val="auto"/>
              </w:rPr>
            </w:pPr>
          </w:p>
        </w:tc>
        <w:tc>
          <w:tcPr>
            <w:tcW w:w="920" w:type="dxa"/>
            <w:vAlign w:val="bottom"/>
          </w:tcPr>
          <w:p>
            <w:pPr>
              <w:jc w:val="right"/>
              <w:ind w:right="235"/>
              <w:spacing w:after="0"/>
              <w:rPr>
                <w:sz w:val="20"/>
                <w:szCs w:val="20"/>
                <w:color w:val="auto"/>
              </w:rPr>
            </w:pPr>
            <w:r>
              <w:rPr>
                <w:rFonts w:ascii="Arial" w:cs="Arial" w:eastAsia="Arial" w:hAnsi="Arial"/>
                <w:sz w:val="9"/>
                <w:szCs w:val="9"/>
                <w:color w:val="auto"/>
              </w:rPr>
              <w:t>Quoted</w:t>
            </w: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03"/>
        </w:trPr>
        <w:tc>
          <w:tcPr>
            <w:tcW w:w="740" w:type="dxa"/>
            <w:vAlign w:val="bottom"/>
          </w:tcPr>
          <w:p>
            <w:pPr>
              <w:spacing w:after="0"/>
              <w:rPr>
                <w:sz w:val="8"/>
                <w:szCs w:val="8"/>
                <w:color w:val="auto"/>
              </w:rPr>
            </w:pPr>
          </w:p>
        </w:tc>
        <w:tc>
          <w:tcPr>
            <w:tcW w:w="920" w:type="dxa"/>
            <w:vAlign w:val="bottom"/>
          </w:tcPr>
          <w:p>
            <w:pPr>
              <w:jc w:val="right"/>
              <w:ind w:right="235"/>
              <w:spacing w:after="0"/>
              <w:rPr>
                <w:sz w:val="20"/>
                <w:szCs w:val="20"/>
                <w:color w:val="auto"/>
              </w:rPr>
            </w:pPr>
            <w:r>
              <w:rPr>
                <w:rFonts w:ascii="Arial" w:cs="Arial" w:eastAsia="Arial" w:hAnsi="Arial"/>
                <w:sz w:val="9"/>
                <w:szCs w:val="9"/>
                <w:color w:val="auto"/>
              </w:rPr>
              <w:t>Prices</w:t>
            </w: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03"/>
        </w:trPr>
        <w:tc>
          <w:tcPr>
            <w:tcW w:w="740" w:type="dxa"/>
            <w:vAlign w:val="bottom"/>
          </w:tcPr>
          <w:p>
            <w:pPr>
              <w:spacing w:after="0"/>
              <w:rPr>
                <w:sz w:val="8"/>
                <w:szCs w:val="8"/>
                <w:color w:val="auto"/>
              </w:rPr>
            </w:pPr>
          </w:p>
        </w:tc>
        <w:tc>
          <w:tcPr>
            <w:tcW w:w="920" w:type="dxa"/>
            <w:vAlign w:val="bottom"/>
          </w:tcPr>
          <w:p>
            <w:pPr>
              <w:jc w:val="right"/>
              <w:ind w:right="235"/>
              <w:spacing w:after="0"/>
              <w:rPr>
                <w:sz w:val="20"/>
                <w:szCs w:val="20"/>
                <w:color w:val="auto"/>
              </w:rPr>
            </w:pPr>
            <w:r>
              <w:rPr>
                <w:rFonts w:ascii="Arial" w:cs="Arial" w:eastAsia="Arial" w:hAnsi="Arial"/>
                <w:sz w:val="9"/>
                <w:szCs w:val="9"/>
                <w:color w:val="auto"/>
              </w:rPr>
              <w:t>in Active</w:t>
            </w:r>
          </w:p>
        </w:tc>
        <w:tc>
          <w:tcPr>
            <w:tcW w:w="1040" w:type="dxa"/>
            <w:vAlign w:val="bottom"/>
          </w:tcPr>
          <w:p>
            <w:pPr>
              <w:jc w:val="right"/>
              <w:ind w:right="255"/>
              <w:spacing w:after="0"/>
              <w:rPr>
                <w:sz w:val="20"/>
                <w:szCs w:val="20"/>
                <w:color w:val="auto"/>
              </w:rPr>
            </w:pPr>
            <w:r>
              <w:rPr>
                <w:rFonts w:ascii="Arial" w:cs="Arial" w:eastAsia="Arial" w:hAnsi="Arial"/>
                <w:sz w:val="9"/>
                <w:szCs w:val="9"/>
                <w:color w:val="auto"/>
              </w:rPr>
              <w:t>Significant</w:t>
            </w:r>
          </w:p>
        </w:tc>
        <w:tc>
          <w:tcPr>
            <w:tcW w:w="840" w:type="dxa"/>
            <w:vAlign w:val="bottom"/>
          </w:tcPr>
          <w:p>
            <w:pPr>
              <w:spacing w:after="0"/>
              <w:rPr>
                <w:sz w:val="8"/>
                <w:szCs w:val="8"/>
                <w:color w:val="auto"/>
              </w:rPr>
            </w:pPr>
          </w:p>
        </w:tc>
      </w:tr>
      <w:tr>
        <w:trPr>
          <w:trHeight w:val="103"/>
        </w:trPr>
        <w:tc>
          <w:tcPr>
            <w:tcW w:w="740" w:type="dxa"/>
            <w:vAlign w:val="bottom"/>
          </w:tcPr>
          <w:p>
            <w:pPr>
              <w:spacing w:after="0"/>
              <w:rPr>
                <w:sz w:val="8"/>
                <w:szCs w:val="8"/>
                <w:color w:val="auto"/>
              </w:rPr>
            </w:pPr>
          </w:p>
        </w:tc>
        <w:tc>
          <w:tcPr>
            <w:tcW w:w="920" w:type="dxa"/>
            <w:vAlign w:val="bottom"/>
          </w:tcPr>
          <w:p>
            <w:pPr>
              <w:jc w:val="right"/>
              <w:ind w:right="235"/>
              <w:spacing w:after="0"/>
              <w:rPr>
                <w:sz w:val="20"/>
                <w:szCs w:val="20"/>
                <w:color w:val="auto"/>
              </w:rPr>
            </w:pPr>
            <w:r>
              <w:rPr>
                <w:rFonts w:ascii="Arial" w:cs="Arial" w:eastAsia="Arial" w:hAnsi="Arial"/>
                <w:sz w:val="9"/>
                <w:szCs w:val="9"/>
                <w:color w:val="auto"/>
              </w:rPr>
              <w:t>Markets for</w:t>
            </w:r>
          </w:p>
        </w:tc>
        <w:tc>
          <w:tcPr>
            <w:tcW w:w="1040" w:type="dxa"/>
            <w:vAlign w:val="bottom"/>
          </w:tcPr>
          <w:p>
            <w:pPr>
              <w:jc w:val="right"/>
              <w:ind w:right="255"/>
              <w:spacing w:after="0"/>
              <w:rPr>
                <w:sz w:val="20"/>
                <w:szCs w:val="20"/>
                <w:color w:val="auto"/>
              </w:rPr>
            </w:pPr>
            <w:r>
              <w:rPr>
                <w:rFonts w:ascii="Arial" w:cs="Arial" w:eastAsia="Arial" w:hAnsi="Arial"/>
                <w:sz w:val="9"/>
                <w:szCs w:val="9"/>
                <w:color w:val="auto"/>
              </w:rPr>
              <w:t>Other</w:t>
            </w:r>
          </w:p>
        </w:tc>
        <w:tc>
          <w:tcPr>
            <w:tcW w:w="840" w:type="dxa"/>
            <w:vAlign w:val="bottom"/>
          </w:tcPr>
          <w:p>
            <w:pPr>
              <w:jc w:val="right"/>
              <w:spacing w:after="0"/>
              <w:rPr>
                <w:sz w:val="20"/>
                <w:szCs w:val="20"/>
                <w:color w:val="auto"/>
              </w:rPr>
            </w:pPr>
            <w:r>
              <w:rPr>
                <w:rFonts w:ascii="Arial" w:cs="Arial" w:eastAsia="Arial" w:hAnsi="Arial"/>
                <w:sz w:val="9"/>
                <w:szCs w:val="9"/>
                <w:color w:val="auto"/>
              </w:rPr>
              <w:t>Significant</w:t>
            </w:r>
          </w:p>
        </w:tc>
      </w:tr>
      <w:tr>
        <w:trPr>
          <w:trHeight w:val="103"/>
        </w:trPr>
        <w:tc>
          <w:tcPr>
            <w:tcW w:w="740" w:type="dxa"/>
            <w:vAlign w:val="bottom"/>
          </w:tcPr>
          <w:p>
            <w:pPr>
              <w:spacing w:after="0"/>
              <w:rPr>
                <w:sz w:val="8"/>
                <w:szCs w:val="8"/>
                <w:color w:val="auto"/>
              </w:rPr>
            </w:pPr>
          </w:p>
        </w:tc>
        <w:tc>
          <w:tcPr>
            <w:tcW w:w="920" w:type="dxa"/>
            <w:vAlign w:val="bottom"/>
          </w:tcPr>
          <w:p>
            <w:pPr>
              <w:jc w:val="right"/>
              <w:ind w:right="235"/>
              <w:spacing w:after="0"/>
              <w:rPr>
                <w:sz w:val="20"/>
                <w:szCs w:val="20"/>
                <w:color w:val="auto"/>
              </w:rPr>
            </w:pPr>
            <w:r>
              <w:rPr>
                <w:rFonts w:ascii="Arial" w:cs="Arial" w:eastAsia="Arial" w:hAnsi="Arial"/>
                <w:sz w:val="9"/>
                <w:szCs w:val="9"/>
                <w:color w:val="auto"/>
              </w:rPr>
              <w:t>Identical</w:t>
            </w:r>
          </w:p>
        </w:tc>
        <w:tc>
          <w:tcPr>
            <w:tcW w:w="1040" w:type="dxa"/>
            <w:vAlign w:val="bottom"/>
          </w:tcPr>
          <w:p>
            <w:pPr>
              <w:jc w:val="right"/>
              <w:ind w:right="255"/>
              <w:spacing w:after="0"/>
              <w:rPr>
                <w:sz w:val="20"/>
                <w:szCs w:val="20"/>
                <w:color w:val="auto"/>
              </w:rPr>
            </w:pPr>
            <w:r>
              <w:rPr>
                <w:rFonts w:ascii="Arial" w:cs="Arial" w:eastAsia="Arial" w:hAnsi="Arial"/>
                <w:sz w:val="9"/>
                <w:szCs w:val="9"/>
                <w:color w:val="auto"/>
              </w:rPr>
              <w:t>Observable</w:t>
            </w:r>
          </w:p>
        </w:tc>
        <w:tc>
          <w:tcPr>
            <w:tcW w:w="840" w:type="dxa"/>
            <w:vAlign w:val="bottom"/>
          </w:tcPr>
          <w:p>
            <w:pPr>
              <w:jc w:val="right"/>
              <w:spacing w:after="0"/>
              <w:rPr>
                <w:sz w:val="20"/>
                <w:szCs w:val="20"/>
                <w:color w:val="auto"/>
              </w:rPr>
            </w:pPr>
            <w:r>
              <w:rPr>
                <w:rFonts w:ascii="Arial" w:cs="Arial" w:eastAsia="Arial" w:hAnsi="Arial"/>
                <w:sz w:val="9"/>
                <w:szCs w:val="9"/>
                <w:color w:val="auto"/>
              </w:rPr>
              <w:t>Unobservable</w:t>
            </w:r>
          </w:p>
        </w:tc>
      </w:tr>
      <w:tr>
        <w:trPr>
          <w:trHeight w:val="103"/>
        </w:trPr>
        <w:tc>
          <w:tcPr>
            <w:tcW w:w="740" w:type="dxa"/>
            <w:vAlign w:val="bottom"/>
          </w:tcPr>
          <w:p>
            <w:pPr>
              <w:jc w:val="right"/>
              <w:ind w:right="135"/>
              <w:spacing w:after="0"/>
              <w:rPr>
                <w:sz w:val="20"/>
                <w:szCs w:val="20"/>
                <w:color w:val="auto"/>
              </w:rPr>
            </w:pPr>
            <w:r>
              <w:rPr>
                <w:rFonts w:ascii="Arial" w:cs="Arial" w:eastAsia="Arial" w:hAnsi="Arial"/>
                <w:sz w:val="9"/>
                <w:szCs w:val="9"/>
                <w:color w:val="auto"/>
                <w:w w:val="95"/>
              </w:rPr>
              <w:t>December 31,</w:t>
            </w:r>
          </w:p>
        </w:tc>
        <w:tc>
          <w:tcPr>
            <w:tcW w:w="920" w:type="dxa"/>
            <w:vAlign w:val="bottom"/>
          </w:tcPr>
          <w:p>
            <w:pPr>
              <w:jc w:val="right"/>
              <w:ind w:right="235"/>
              <w:spacing w:after="0"/>
              <w:rPr>
                <w:sz w:val="20"/>
                <w:szCs w:val="20"/>
                <w:color w:val="auto"/>
              </w:rPr>
            </w:pPr>
            <w:r>
              <w:rPr>
                <w:rFonts w:ascii="Arial" w:cs="Arial" w:eastAsia="Arial" w:hAnsi="Arial"/>
                <w:sz w:val="9"/>
                <w:szCs w:val="9"/>
                <w:color w:val="auto"/>
              </w:rPr>
              <w:t>Assets</w:t>
            </w:r>
          </w:p>
        </w:tc>
        <w:tc>
          <w:tcPr>
            <w:tcW w:w="1040" w:type="dxa"/>
            <w:vAlign w:val="bottom"/>
          </w:tcPr>
          <w:p>
            <w:pPr>
              <w:jc w:val="right"/>
              <w:ind w:right="255"/>
              <w:spacing w:after="0"/>
              <w:rPr>
                <w:sz w:val="20"/>
                <w:szCs w:val="20"/>
                <w:color w:val="auto"/>
              </w:rPr>
            </w:pPr>
            <w:r>
              <w:rPr>
                <w:rFonts w:ascii="Arial" w:cs="Arial" w:eastAsia="Arial" w:hAnsi="Arial"/>
                <w:sz w:val="9"/>
                <w:szCs w:val="9"/>
                <w:color w:val="auto"/>
              </w:rPr>
              <w:t>Inputs</w:t>
            </w:r>
          </w:p>
        </w:tc>
        <w:tc>
          <w:tcPr>
            <w:tcW w:w="840" w:type="dxa"/>
            <w:vAlign w:val="bottom"/>
          </w:tcPr>
          <w:p>
            <w:pPr>
              <w:jc w:val="right"/>
              <w:spacing w:after="0"/>
              <w:rPr>
                <w:sz w:val="20"/>
                <w:szCs w:val="20"/>
                <w:color w:val="auto"/>
              </w:rPr>
            </w:pPr>
            <w:r>
              <w:rPr>
                <w:rFonts w:ascii="Arial" w:cs="Arial" w:eastAsia="Arial" w:hAnsi="Arial"/>
                <w:sz w:val="9"/>
                <w:szCs w:val="9"/>
                <w:color w:val="auto"/>
              </w:rPr>
              <w:t>Inputs</w:t>
            </w:r>
          </w:p>
        </w:tc>
      </w:tr>
      <w:tr>
        <w:trPr>
          <w:trHeight w:val="107"/>
        </w:trPr>
        <w:tc>
          <w:tcPr>
            <w:tcW w:w="740" w:type="dxa"/>
            <w:vAlign w:val="bottom"/>
          </w:tcPr>
          <w:p>
            <w:pPr>
              <w:jc w:val="right"/>
              <w:ind w:right="135"/>
              <w:spacing w:after="0"/>
              <w:rPr>
                <w:sz w:val="20"/>
                <w:szCs w:val="20"/>
                <w:color w:val="auto"/>
              </w:rPr>
            </w:pPr>
            <w:r>
              <w:rPr>
                <w:rFonts w:ascii="Arial" w:cs="Arial" w:eastAsia="Arial" w:hAnsi="Arial"/>
                <w:sz w:val="9"/>
                <w:szCs w:val="9"/>
                <w:color w:val="auto"/>
              </w:rPr>
              <w:t>2015</w:t>
            </w:r>
          </w:p>
        </w:tc>
        <w:tc>
          <w:tcPr>
            <w:tcW w:w="920" w:type="dxa"/>
            <w:vAlign w:val="bottom"/>
          </w:tcPr>
          <w:p>
            <w:pPr>
              <w:jc w:val="right"/>
              <w:ind w:right="235"/>
              <w:spacing w:after="0"/>
              <w:rPr>
                <w:sz w:val="20"/>
                <w:szCs w:val="20"/>
                <w:color w:val="auto"/>
              </w:rPr>
            </w:pPr>
            <w:r>
              <w:rPr>
                <w:rFonts w:ascii="Arial" w:cs="Arial" w:eastAsia="Arial" w:hAnsi="Arial"/>
                <w:sz w:val="9"/>
                <w:szCs w:val="9"/>
                <w:color w:val="auto"/>
              </w:rPr>
              <w:t>(Level 1)</w:t>
            </w:r>
          </w:p>
        </w:tc>
        <w:tc>
          <w:tcPr>
            <w:tcW w:w="1040" w:type="dxa"/>
            <w:vAlign w:val="bottom"/>
          </w:tcPr>
          <w:p>
            <w:pPr>
              <w:jc w:val="right"/>
              <w:ind w:right="255"/>
              <w:spacing w:after="0"/>
              <w:rPr>
                <w:sz w:val="20"/>
                <w:szCs w:val="20"/>
                <w:color w:val="auto"/>
              </w:rPr>
            </w:pPr>
            <w:r>
              <w:rPr>
                <w:rFonts w:ascii="Arial" w:cs="Arial" w:eastAsia="Arial" w:hAnsi="Arial"/>
                <w:sz w:val="9"/>
                <w:szCs w:val="9"/>
                <w:color w:val="auto"/>
              </w:rPr>
              <w:t>(Level 2)</w:t>
            </w:r>
          </w:p>
        </w:tc>
        <w:tc>
          <w:tcPr>
            <w:tcW w:w="840" w:type="dxa"/>
            <w:vAlign w:val="bottom"/>
          </w:tcPr>
          <w:p>
            <w:pPr>
              <w:jc w:val="right"/>
              <w:spacing w:after="0"/>
              <w:rPr>
                <w:sz w:val="20"/>
                <w:szCs w:val="20"/>
                <w:color w:val="auto"/>
              </w:rPr>
            </w:pPr>
            <w:r>
              <w:rPr>
                <w:rFonts w:ascii="Arial" w:cs="Arial" w:eastAsia="Arial" w:hAnsi="Arial"/>
                <w:sz w:val="9"/>
                <w:szCs w:val="9"/>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27837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100"/>
        <w:spacing w:after="0"/>
        <w:rPr>
          <w:sz w:val="20"/>
          <w:szCs w:val="20"/>
          <w:color w:val="auto"/>
        </w:rPr>
      </w:pPr>
      <w:r>
        <w:rPr>
          <w:rFonts w:ascii="Arial" w:cs="Arial" w:eastAsia="Arial" w:hAnsi="Arial"/>
          <w:sz w:val="11"/>
          <w:szCs w:val="11"/>
          <w:color w:val="auto"/>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9525</wp:posOffset>
            </wp:positionV>
            <wp:extent cx="267335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73350" cy="6350"/>
                    </a:xfrm>
                    <a:prstGeom prst="rect">
                      <a:avLst/>
                    </a:prstGeom>
                    <a:noFill/>
                  </pic:spPr>
                </pic:pic>
              </a:graphicData>
            </a:graphic>
          </wp:anchor>
        </w:drawing>
      </w:r>
    </w:p>
    <w:p>
      <w:pPr>
        <w:spacing w:after="0" w:line="60" w:lineRule="exact"/>
        <w:rPr>
          <w:sz w:val="20"/>
          <w:szCs w:val="20"/>
          <w:color w:val="auto"/>
        </w:rPr>
      </w:pPr>
    </w:p>
    <w:p>
      <w:pPr>
        <w:jc w:val="right"/>
        <w:ind w:right="100"/>
        <w:spacing w:after="0"/>
        <w:rPr>
          <w:sz w:val="20"/>
          <w:szCs w:val="20"/>
          <w:color w:val="auto"/>
        </w:rPr>
      </w:pPr>
      <w:r>
        <w:rPr>
          <w:rFonts w:ascii="Arial" w:cs="Arial" w:eastAsia="Arial" w:hAnsi="Arial"/>
          <w:sz w:val="11"/>
          <w:szCs w:val="1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9525</wp:posOffset>
            </wp:positionV>
            <wp:extent cx="267335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3350" cy="6350"/>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800" w:type="dxa"/>
            <w:vAlign w:val="bottom"/>
          </w:tcPr>
          <w:p>
            <w:pPr>
              <w:spacing w:after="0"/>
              <w:rPr>
                <w:sz w:val="8"/>
                <w:szCs w:val="8"/>
                <w:color w:val="auto"/>
              </w:rPr>
            </w:pPr>
          </w:p>
        </w:tc>
        <w:tc>
          <w:tcPr>
            <w:tcW w:w="960" w:type="dxa"/>
            <w:vAlign w:val="bottom"/>
          </w:tcPr>
          <w:p>
            <w:pPr>
              <w:jc w:val="right"/>
              <w:ind w:right="255"/>
              <w:spacing w:after="0"/>
              <w:rPr>
                <w:sz w:val="20"/>
                <w:szCs w:val="20"/>
                <w:color w:val="auto"/>
              </w:rPr>
            </w:pPr>
            <w:r>
              <w:rPr>
                <w:rFonts w:ascii="Arial" w:cs="Arial" w:eastAsia="Arial" w:hAnsi="Arial"/>
                <w:sz w:val="9"/>
                <w:szCs w:val="9"/>
                <w:color w:val="auto"/>
              </w:rPr>
              <w:t>Quoted</w:t>
            </w:r>
          </w:p>
        </w:tc>
        <w:tc>
          <w:tcPr>
            <w:tcW w:w="102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03"/>
        </w:trPr>
        <w:tc>
          <w:tcPr>
            <w:tcW w:w="800" w:type="dxa"/>
            <w:vAlign w:val="bottom"/>
          </w:tcPr>
          <w:p>
            <w:pPr>
              <w:spacing w:after="0"/>
              <w:rPr>
                <w:sz w:val="8"/>
                <w:szCs w:val="8"/>
                <w:color w:val="auto"/>
              </w:rPr>
            </w:pPr>
          </w:p>
        </w:tc>
        <w:tc>
          <w:tcPr>
            <w:tcW w:w="960" w:type="dxa"/>
            <w:vAlign w:val="bottom"/>
          </w:tcPr>
          <w:p>
            <w:pPr>
              <w:jc w:val="right"/>
              <w:ind w:right="255"/>
              <w:spacing w:after="0"/>
              <w:rPr>
                <w:sz w:val="20"/>
                <w:szCs w:val="20"/>
                <w:color w:val="auto"/>
              </w:rPr>
            </w:pPr>
            <w:r>
              <w:rPr>
                <w:rFonts w:ascii="Arial" w:cs="Arial" w:eastAsia="Arial" w:hAnsi="Arial"/>
                <w:sz w:val="9"/>
                <w:szCs w:val="9"/>
                <w:color w:val="auto"/>
              </w:rPr>
              <w:t>Prices</w:t>
            </w:r>
          </w:p>
        </w:tc>
        <w:tc>
          <w:tcPr>
            <w:tcW w:w="102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03"/>
        </w:trPr>
        <w:tc>
          <w:tcPr>
            <w:tcW w:w="800" w:type="dxa"/>
            <w:vAlign w:val="bottom"/>
          </w:tcPr>
          <w:p>
            <w:pPr>
              <w:spacing w:after="0"/>
              <w:rPr>
                <w:sz w:val="8"/>
                <w:szCs w:val="8"/>
                <w:color w:val="auto"/>
              </w:rPr>
            </w:pPr>
          </w:p>
        </w:tc>
        <w:tc>
          <w:tcPr>
            <w:tcW w:w="960" w:type="dxa"/>
            <w:vAlign w:val="bottom"/>
          </w:tcPr>
          <w:p>
            <w:pPr>
              <w:jc w:val="right"/>
              <w:ind w:right="255"/>
              <w:spacing w:after="0"/>
              <w:rPr>
                <w:sz w:val="20"/>
                <w:szCs w:val="20"/>
                <w:color w:val="auto"/>
              </w:rPr>
            </w:pPr>
            <w:r>
              <w:rPr>
                <w:rFonts w:ascii="Arial" w:cs="Arial" w:eastAsia="Arial" w:hAnsi="Arial"/>
                <w:sz w:val="9"/>
                <w:szCs w:val="9"/>
                <w:color w:val="auto"/>
              </w:rPr>
              <w:t>in Active</w:t>
            </w:r>
          </w:p>
        </w:tc>
        <w:tc>
          <w:tcPr>
            <w:tcW w:w="1020" w:type="dxa"/>
            <w:vAlign w:val="bottom"/>
          </w:tcPr>
          <w:p>
            <w:pPr>
              <w:jc w:val="right"/>
              <w:ind w:right="235"/>
              <w:spacing w:after="0"/>
              <w:rPr>
                <w:sz w:val="20"/>
                <w:szCs w:val="20"/>
                <w:color w:val="auto"/>
              </w:rPr>
            </w:pPr>
            <w:r>
              <w:rPr>
                <w:rFonts w:ascii="Arial" w:cs="Arial" w:eastAsia="Arial" w:hAnsi="Arial"/>
                <w:sz w:val="9"/>
                <w:szCs w:val="9"/>
                <w:color w:val="auto"/>
              </w:rPr>
              <w:t>Significant</w:t>
            </w:r>
          </w:p>
        </w:tc>
        <w:tc>
          <w:tcPr>
            <w:tcW w:w="860" w:type="dxa"/>
            <w:vAlign w:val="bottom"/>
          </w:tcPr>
          <w:p>
            <w:pPr>
              <w:spacing w:after="0"/>
              <w:rPr>
                <w:sz w:val="8"/>
                <w:szCs w:val="8"/>
                <w:color w:val="auto"/>
              </w:rPr>
            </w:pPr>
          </w:p>
        </w:tc>
      </w:tr>
      <w:tr>
        <w:trPr>
          <w:trHeight w:val="103"/>
        </w:trPr>
        <w:tc>
          <w:tcPr>
            <w:tcW w:w="800" w:type="dxa"/>
            <w:vAlign w:val="bottom"/>
          </w:tcPr>
          <w:p>
            <w:pPr>
              <w:spacing w:after="0"/>
              <w:rPr>
                <w:sz w:val="8"/>
                <w:szCs w:val="8"/>
                <w:color w:val="auto"/>
              </w:rPr>
            </w:pPr>
          </w:p>
        </w:tc>
        <w:tc>
          <w:tcPr>
            <w:tcW w:w="960" w:type="dxa"/>
            <w:vAlign w:val="bottom"/>
          </w:tcPr>
          <w:p>
            <w:pPr>
              <w:jc w:val="right"/>
              <w:ind w:right="255"/>
              <w:spacing w:after="0"/>
              <w:rPr>
                <w:sz w:val="20"/>
                <w:szCs w:val="20"/>
                <w:color w:val="auto"/>
              </w:rPr>
            </w:pPr>
            <w:r>
              <w:rPr>
                <w:rFonts w:ascii="Arial" w:cs="Arial" w:eastAsia="Arial" w:hAnsi="Arial"/>
                <w:sz w:val="9"/>
                <w:szCs w:val="9"/>
                <w:color w:val="auto"/>
              </w:rPr>
              <w:t>Markets for</w:t>
            </w:r>
          </w:p>
        </w:tc>
        <w:tc>
          <w:tcPr>
            <w:tcW w:w="1020" w:type="dxa"/>
            <w:vAlign w:val="bottom"/>
          </w:tcPr>
          <w:p>
            <w:pPr>
              <w:jc w:val="right"/>
              <w:ind w:right="235"/>
              <w:spacing w:after="0"/>
              <w:rPr>
                <w:sz w:val="20"/>
                <w:szCs w:val="20"/>
                <w:color w:val="auto"/>
              </w:rPr>
            </w:pPr>
            <w:r>
              <w:rPr>
                <w:rFonts w:ascii="Arial" w:cs="Arial" w:eastAsia="Arial" w:hAnsi="Arial"/>
                <w:sz w:val="9"/>
                <w:szCs w:val="9"/>
                <w:color w:val="auto"/>
              </w:rPr>
              <w:t>Other</w:t>
            </w:r>
          </w:p>
        </w:tc>
        <w:tc>
          <w:tcPr>
            <w:tcW w:w="860" w:type="dxa"/>
            <w:vAlign w:val="bottom"/>
          </w:tcPr>
          <w:p>
            <w:pPr>
              <w:jc w:val="right"/>
              <w:spacing w:after="0"/>
              <w:rPr>
                <w:sz w:val="20"/>
                <w:szCs w:val="20"/>
                <w:color w:val="auto"/>
              </w:rPr>
            </w:pPr>
            <w:r>
              <w:rPr>
                <w:rFonts w:ascii="Arial" w:cs="Arial" w:eastAsia="Arial" w:hAnsi="Arial"/>
                <w:sz w:val="9"/>
                <w:szCs w:val="9"/>
                <w:color w:val="auto"/>
              </w:rPr>
              <w:t>Significant</w:t>
            </w:r>
          </w:p>
        </w:tc>
      </w:tr>
      <w:tr>
        <w:trPr>
          <w:trHeight w:val="103"/>
        </w:trPr>
        <w:tc>
          <w:tcPr>
            <w:tcW w:w="800" w:type="dxa"/>
            <w:vAlign w:val="bottom"/>
          </w:tcPr>
          <w:p>
            <w:pPr>
              <w:spacing w:after="0"/>
              <w:rPr>
                <w:sz w:val="8"/>
                <w:szCs w:val="8"/>
                <w:color w:val="auto"/>
              </w:rPr>
            </w:pPr>
          </w:p>
        </w:tc>
        <w:tc>
          <w:tcPr>
            <w:tcW w:w="960" w:type="dxa"/>
            <w:vAlign w:val="bottom"/>
          </w:tcPr>
          <w:p>
            <w:pPr>
              <w:jc w:val="right"/>
              <w:ind w:right="255"/>
              <w:spacing w:after="0"/>
              <w:rPr>
                <w:sz w:val="20"/>
                <w:szCs w:val="20"/>
                <w:color w:val="auto"/>
              </w:rPr>
            </w:pPr>
            <w:r>
              <w:rPr>
                <w:rFonts w:ascii="Arial" w:cs="Arial" w:eastAsia="Arial" w:hAnsi="Arial"/>
                <w:sz w:val="9"/>
                <w:szCs w:val="9"/>
                <w:color w:val="auto"/>
              </w:rPr>
              <w:t>Identical</w:t>
            </w:r>
          </w:p>
        </w:tc>
        <w:tc>
          <w:tcPr>
            <w:tcW w:w="1020" w:type="dxa"/>
            <w:vAlign w:val="bottom"/>
          </w:tcPr>
          <w:p>
            <w:pPr>
              <w:jc w:val="right"/>
              <w:ind w:right="235"/>
              <w:spacing w:after="0"/>
              <w:rPr>
                <w:sz w:val="20"/>
                <w:szCs w:val="20"/>
                <w:color w:val="auto"/>
              </w:rPr>
            </w:pPr>
            <w:r>
              <w:rPr>
                <w:rFonts w:ascii="Arial" w:cs="Arial" w:eastAsia="Arial" w:hAnsi="Arial"/>
                <w:sz w:val="9"/>
                <w:szCs w:val="9"/>
                <w:color w:val="auto"/>
              </w:rPr>
              <w:t>Observable</w:t>
            </w:r>
          </w:p>
        </w:tc>
        <w:tc>
          <w:tcPr>
            <w:tcW w:w="860" w:type="dxa"/>
            <w:vAlign w:val="bottom"/>
          </w:tcPr>
          <w:p>
            <w:pPr>
              <w:jc w:val="right"/>
              <w:spacing w:after="0"/>
              <w:rPr>
                <w:sz w:val="20"/>
                <w:szCs w:val="20"/>
                <w:color w:val="auto"/>
              </w:rPr>
            </w:pPr>
            <w:r>
              <w:rPr>
                <w:rFonts w:ascii="Arial" w:cs="Arial" w:eastAsia="Arial" w:hAnsi="Arial"/>
                <w:sz w:val="9"/>
                <w:szCs w:val="9"/>
                <w:color w:val="auto"/>
              </w:rPr>
              <w:t>Unobservable</w:t>
            </w:r>
          </w:p>
        </w:tc>
      </w:tr>
      <w:tr>
        <w:trPr>
          <w:trHeight w:val="103"/>
        </w:trPr>
        <w:tc>
          <w:tcPr>
            <w:tcW w:w="800" w:type="dxa"/>
            <w:vAlign w:val="bottom"/>
          </w:tcPr>
          <w:p>
            <w:pPr>
              <w:jc w:val="right"/>
              <w:ind w:right="195"/>
              <w:spacing w:after="0"/>
              <w:rPr>
                <w:sz w:val="20"/>
                <w:szCs w:val="20"/>
                <w:color w:val="auto"/>
              </w:rPr>
            </w:pPr>
            <w:r>
              <w:rPr>
                <w:rFonts w:ascii="Arial" w:cs="Arial" w:eastAsia="Arial" w:hAnsi="Arial"/>
                <w:sz w:val="9"/>
                <w:szCs w:val="9"/>
                <w:color w:val="auto"/>
                <w:w w:val="95"/>
              </w:rPr>
              <w:t>December 31,</w:t>
            </w:r>
          </w:p>
        </w:tc>
        <w:tc>
          <w:tcPr>
            <w:tcW w:w="960" w:type="dxa"/>
            <w:vAlign w:val="bottom"/>
          </w:tcPr>
          <w:p>
            <w:pPr>
              <w:jc w:val="right"/>
              <w:ind w:right="255"/>
              <w:spacing w:after="0"/>
              <w:rPr>
                <w:sz w:val="20"/>
                <w:szCs w:val="20"/>
                <w:color w:val="auto"/>
              </w:rPr>
            </w:pPr>
            <w:r>
              <w:rPr>
                <w:rFonts w:ascii="Arial" w:cs="Arial" w:eastAsia="Arial" w:hAnsi="Arial"/>
                <w:sz w:val="9"/>
                <w:szCs w:val="9"/>
                <w:color w:val="auto"/>
              </w:rPr>
              <w:t>Assets</w:t>
            </w:r>
          </w:p>
        </w:tc>
        <w:tc>
          <w:tcPr>
            <w:tcW w:w="1020" w:type="dxa"/>
            <w:vAlign w:val="bottom"/>
          </w:tcPr>
          <w:p>
            <w:pPr>
              <w:jc w:val="right"/>
              <w:ind w:right="235"/>
              <w:spacing w:after="0"/>
              <w:rPr>
                <w:sz w:val="20"/>
                <w:szCs w:val="20"/>
                <w:color w:val="auto"/>
              </w:rPr>
            </w:pPr>
            <w:r>
              <w:rPr>
                <w:rFonts w:ascii="Arial" w:cs="Arial" w:eastAsia="Arial" w:hAnsi="Arial"/>
                <w:sz w:val="9"/>
                <w:szCs w:val="9"/>
                <w:color w:val="auto"/>
              </w:rPr>
              <w:t>Inputs</w:t>
            </w:r>
          </w:p>
        </w:tc>
        <w:tc>
          <w:tcPr>
            <w:tcW w:w="860" w:type="dxa"/>
            <w:vAlign w:val="bottom"/>
          </w:tcPr>
          <w:p>
            <w:pPr>
              <w:jc w:val="right"/>
              <w:spacing w:after="0"/>
              <w:rPr>
                <w:sz w:val="20"/>
                <w:szCs w:val="20"/>
                <w:color w:val="auto"/>
              </w:rPr>
            </w:pPr>
            <w:r>
              <w:rPr>
                <w:rFonts w:ascii="Arial" w:cs="Arial" w:eastAsia="Arial" w:hAnsi="Arial"/>
                <w:sz w:val="9"/>
                <w:szCs w:val="9"/>
                <w:color w:val="auto"/>
              </w:rPr>
              <w:t>Inputs</w:t>
            </w:r>
          </w:p>
        </w:tc>
      </w:tr>
      <w:tr>
        <w:trPr>
          <w:trHeight w:val="107"/>
        </w:trPr>
        <w:tc>
          <w:tcPr>
            <w:tcW w:w="800" w:type="dxa"/>
            <w:vAlign w:val="bottom"/>
          </w:tcPr>
          <w:p>
            <w:pPr>
              <w:jc w:val="right"/>
              <w:ind w:right="195"/>
              <w:spacing w:after="0"/>
              <w:rPr>
                <w:sz w:val="20"/>
                <w:szCs w:val="20"/>
                <w:color w:val="auto"/>
              </w:rPr>
            </w:pPr>
            <w:r>
              <w:rPr>
                <w:rFonts w:ascii="Arial" w:cs="Arial" w:eastAsia="Arial" w:hAnsi="Arial"/>
                <w:sz w:val="9"/>
                <w:szCs w:val="9"/>
                <w:color w:val="auto"/>
              </w:rPr>
              <w:t>2015</w:t>
            </w:r>
          </w:p>
        </w:tc>
        <w:tc>
          <w:tcPr>
            <w:tcW w:w="960" w:type="dxa"/>
            <w:vAlign w:val="bottom"/>
          </w:tcPr>
          <w:p>
            <w:pPr>
              <w:jc w:val="right"/>
              <w:ind w:right="255"/>
              <w:spacing w:after="0"/>
              <w:rPr>
                <w:sz w:val="20"/>
                <w:szCs w:val="20"/>
                <w:color w:val="auto"/>
              </w:rPr>
            </w:pPr>
            <w:r>
              <w:rPr>
                <w:rFonts w:ascii="Arial" w:cs="Arial" w:eastAsia="Arial" w:hAnsi="Arial"/>
                <w:sz w:val="9"/>
                <w:szCs w:val="9"/>
                <w:color w:val="auto"/>
              </w:rPr>
              <w:t>(Level 1)</w:t>
            </w:r>
          </w:p>
        </w:tc>
        <w:tc>
          <w:tcPr>
            <w:tcW w:w="1020" w:type="dxa"/>
            <w:vAlign w:val="bottom"/>
          </w:tcPr>
          <w:p>
            <w:pPr>
              <w:jc w:val="right"/>
              <w:ind w:right="235"/>
              <w:spacing w:after="0"/>
              <w:rPr>
                <w:sz w:val="20"/>
                <w:szCs w:val="20"/>
                <w:color w:val="auto"/>
              </w:rPr>
            </w:pPr>
            <w:r>
              <w:rPr>
                <w:rFonts w:ascii="Arial" w:cs="Arial" w:eastAsia="Arial" w:hAnsi="Arial"/>
                <w:sz w:val="9"/>
                <w:szCs w:val="9"/>
                <w:color w:val="auto"/>
              </w:rPr>
              <w:t>(Level 2)</w:t>
            </w:r>
          </w:p>
        </w:tc>
        <w:tc>
          <w:tcPr>
            <w:tcW w:w="860" w:type="dxa"/>
            <w:vAlign w:val="bottom"/>
          </w:tcPr>
          <w:p>
            <w:pPr>
              <w:jc w:val="right"/>
              <w:spacing w:after="0"/>
              <w:rPr>
                <w:sz w:val="20"/>
                <w:szCs w:val="20"/>
                <w:color w:val="auto"/>
              </w:rPr>
            </w:pPr>
            <w:r>
              <w:rPr>
                <w:rFonts w:ascii="Arial" w:cs="Arial" w:eastAsia="Arial" w:hAnsi="Arial"/>
                <w:sz w:val="9"/>
                <w:szCs w:val="9"/>
                <w:color w:val="auto"/>
              </w:rPr>
              <w:t>(Level 3)</w:t>
            </w:r>
          </w:p>
        </w:tc>
      </w:tr>
    </w:tbl>
    <w:p>
      <w:pPr>
        <w:spacing w:after="0" w:line="200" w:lineRule="exact"/>
        <w:rPr>
          <w:sz w:val="20"/>
          <w:szCs w:val="20"/>
          <w:color w:val="auto"/>
        </w:rPr>
      </w:pPr>
    </w:p>
    <w:p>
      <w:pPr>
        <w:sectPr>
          <w:pgSz w:w="11900" w:h="16838" w:orient="portrait"/>
          <w:cols w:equalWidth="0" w:num="2">
            <w:col w:w="7020" w:space="700"/>
            <w:col w:w="3740"/>
          </w:cols>
          <w:pgMar w:left="220" w:top="383" w:right="21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4F8ABE"/>
              </w:rPr>
              <w:t>Asset Category</w:t>
            </w:r>
          </w:p>
        </w:tc>
        <w:tc>
          <w:tcPr>
            <w:tcW w:w="1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65"/>
        </w:trPr>
        <w:tc>
          <w:tcPr>
            <w:tcW w:w="2860" w:type="dxa"/>
            <w:vAlign w:val="bottom"/>
          </w:tcPr>
          <w:p>
            <w:pPr>
              <w:ind w:left="20"/>
              <w:spacing w:after="0"/>
              <w:rPr>
                <w:sz w:val="20"/>
                <w:szCs w:val="20"/>
                <w:color w:val="auto"/>
              </w:rPr>
            </w:pPr>
            <w:r>
              <w:rPr>
                <w:rFonts w:ascii="Arial" w:cs="Arial" w:eastAsia="Arial" w:hAnsi="Arial"/>
                <w:sz w:val="12"/>
                <w:szCs w:val="12"/>
                <w:color w:val="auto"/>
              </w:rPr>
              <w:t>Cash and cash equivalents</w:t>
            </w:r>
            <w:r>
              <w:rPr>
                <w:rFonts w:ascii="Arial" w:cs="Arial" w:eastAsia="Arial" w:hAnsi="Arial"/>
                <w:sz w:val="16"/>
                <w:szCs w:val="16"/>
                <w:color w:val="auto"/>
                <w:vertAlign w:val="superscript"/>
              </w:rPr>
              <w:t>(1)</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$0.4</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$0.4</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$0.4</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$0.4</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Equity securities:</w:t>
            </w:r>
          </w:p>
        </w:tc>
        <w:tc>
          <w:tcPr>
            <w:tcW w:w="1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7"/>
        </w:trPr>
        <w:tc>
          <w:tcPr>
            <w:tcW w:w="2860" w:type="dxa"/>
            <w:vAlign w:val="bottom"/>
          </w:tcPr>
          <w:p>
            <w:pPr>
              <w:ind w:left="240"/>
              <w:spacing w:after="0"/>
              <w:rPr>
                <w:sz w:val="20"/>
                <w:szCs w:val="20"/>
                <w:color w:val="auto"/>
              </w:rPr>
            </w:pPr>
            <w:r>
              <w:rPr>
                <w:rFonts w:ascii="Arial" w:cs="Arial" w:eastAsia="Arial" w:hAnsi="Arial"/>
                <w:sz w:val="12"/>
                <w:szCs w:val="12"/>
                <w:color w:val="auto"/>
              </w:rPr>
              <w:t>United States companies</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12.7</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12.7</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2860" w:type="dxa"/>
            <w:vAlign w:val="bottom"/>
          </w:tcPr>
          <w:p>
            <w:pPr>
              <w:ind w:left="240"/>
              <w:spacing w:after="0"/>
              <w:rPr>
                <w:sz w:val="20"/>
                <w:szCs w:val="20"/>
                <w:color w:val="auto"/>
              </w:rPr>
            </w:pPr>
            <w:r>
              <w:rPr>
                <w:rFonts w:ascii="Arial" w:cs="Arial" w:eastAsia="Arial" w:hAnsi="Arial"/>
                <w:sz w:val="12"/>
                <w:szCs w:val="12"/>
                <w:color w:val="auto"/>
              </w:rPr>
              <w:t>International companies</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17.8</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17.8</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2860" w:type="dxa"/>
            <w:vAlign w:val="bottom"/>
          </w:tcPr>
          <w:p>
            <w:pPr>
              <w:ind w:left="20"/>
              <w:spacing w:after="0"/>
              <w:rPr>
                <w:sz w:val="20"/>
                <w:szCs w:val="20"/>
                <w:color w:val="auto"/>
              </w:rPr>
            </w:pPr>
            <w:r>
              <w:rPr>
                <w:rFonts w:ascii="Arial" w:cs="Arial" w:eastAsia="Arial" w:hAnsi="Arial"/>
                <w:sz w:val="12"/>
                <w:szCs w:val="12"/>
                <w:color w:val="auto"/>
              </w:rPr>
              <w:t>Fixed income securities:</w:t>
            </w: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65"/>
        </w:trPr>
        <w:tc>
          <w:tcPr>
            <w:tcW w:w="2860" w:type="dxa"/>
            <w:vAlign w:val="bottom"/>
          </w:tcPr>
          <w:p>
            <w:pPr>
              <w:ind w:left="240"/>
              <w:spacing w:after="0"/>
              <w:rPr>
                <w:sz w:val="20"/>
                <w:szCs w:val="20"/>
                <w:color w:val="auto"/>
              </w:rPr>
            </w:pPr>
            <w:r>
              <w:rPr>
                <w:rFonts w:ascii="Arial" w:cs="Arial" w:eastAsia="Arial" w:hAnsi="Arial"/>
                <w:sz w:val="12"/>
                <w:szCs w:val="12"/>
                <w:color w:val="auto"/>
              </w:rPr>
              <w:t>Government bonds</w:t>
            </w:r>
            <w:r>
              <w:rPr>
                <w:rFonts w:ascii="Arial" w:cs="Arial" w:eastAsia="Arial" w:hAnsi="Arial"/>
                <w:sz w:val="16"/>
                <w:szCs w:val="16"/>
                <w:color w:val="auto"/>
                <w:vertAlign w:val="superscript"/>
              </w:rPr>
              <w:t>(2)</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16.9</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16.9</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47.8</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47.8</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ind w:left="240"/>
              <w:spacing w:after="0"/>
              <w:rPr>
                <w:sz w:val="20"/>
                <w:szCs w:val="20"/>
                <w:color w:val="auto"/>
              </w:rPr>
            </w:pPr>
            <w:r>
              <w:rPr>
                <w:rFonts w:ascii="Arial" w:cs="Arial" w:eastAsia="Arial" w:hAnsi="Arial"/>
                <w:sz w:val="12"/>
                <w:szCs w:val="12"/>
                <w:color w:val="auto"/>
              </w:rPr>
              <w:t>Corporate bonds</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7.2</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7.2</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31.2</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31.2</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2860" w:type="dxa"/>
            <w:vAlign w:val="bottom"/>
          </w:tcPr>
          <w:p>
            <w:pPr>
              <w:ind w:left="240"/>
              <w:spacing w:after="0"/>
              <w:rPr>
                <w:sz w:val="20"/>
                <w:szCs w:val="20"/>
                <w:color w:val="auto"/>
              </w:rPr>
            </w:pPr>
            <w:r>
              <w:rPr>
                <w:rFonts w:ascii="Arial" w:cs="Arial" w:eastAsia="Arial" w:hAnsi="Arial"/>
                <w:sz w:val="12"/>
                <w:szCs w:val="12"/>
                <w:color w:val="auto"/>
              </w:rPr>
              <w:t>Guaranteed insurance contracts</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38.9</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38.9</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2860" w:type="dxa"/>
            <w:vAlign w:val="bottom"/>
          </w:tcPr>
          <w:p>
            <w:pPr>
              <w:ind w:left="240"/>
              <w:spacing w:after="0"/>
              <w:rPr>
                <w:sz w:val="20"/>
                <w:szCs w:val="20"/>
                <w:color w:val="auto"/>
              </w:rPr>
            </w:pPr>
            <w:r>
              <w:rPr>
                <w:rFonts w:ascii="Arial" w:cs="Arial" w:eastAsia="Arial" w:hAnsi="Arial"/>
                <w:sz w:val="12"/>
                <w:szCs w:val="12"/>
                <w:color w:val="auto"/>
              </w:rPr>
              <w:t>Annuity contract</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51.9</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51.9</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2860" w:type="dxa"/>
            <w:vAlign w:val="bottom"/>
          </w:tcPr>
          <w:p>
            <w:pPr>
              <w:ind w:left="20"/>
              <w:spacing w:after="0"/>
              <w:rPr>
                <w:sz w:val="20"/>
                <w:szCs w:val="20"/>
                <w:color w:val="auto"/>
              </w:rPr>
            </w:pPr>
            <w:r>
              <w:rPr>
                <w:rFonts w:ascii="Arial" w:cs="Arial" w:eastAsia="Arial" w:hAnsi="Arial"/>
                <w:sz w:val="12"/>
                <w:szCs w:val="12"/>
                <w:color w:val="auto"/>
              </w:rPr>
              <w:t>Other types of investments:</w:t>
            </w: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65"/>
        </w:trPr>
        <w:tc>
          <w:tcPr>
            <w:tcW w:w="2860" w:type="dxa"/>
            <w:vAlign w:val="bottom"/>
          </w:tcPr>
          <w:p>
            <w:pPr>
              <w:ind w:left="240"/>
              <w:spacing w:after="0"/>
              <w:rPr>
                <w:sz w:val="20"/>
                <w:szCs w:val="20"/>
                <w:color w:val="auto"/>
              </w:rPr>
            </w:pPr>
            <w:r>
              <w:rPr>
                <w:rFonts w:ascii="Arial" w:cs="Arial" w:eastAsia="Arial" w:hAnsi="Arial"/>
                <w:sz w:val="12"/>
                <w:szCs w:val="12"/>
                <w:color w:val="auto"/>
              </w:rPr>
              <w:t>Unitized funds</w:t>
            </w:r>
            <w:r>
              <w:rPr>
                <w:rFonts w:ascii="Arial" w:cs="Arial" w:eastAsia="Arial" w:hAnsi="Arial"/>
                <w:sz w:val="16"/>
                <w:szCs w:val="16"/>
                <w:color w:val="auto"/>
                <w:vertAlign w:val="superscript"/>
              </w:rPr>
              <w:t>(3)</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26.4</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26.4</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ind w:left="240"/>
              <w:spacing w:after="0"/>
              <w:rPr>
                <w:sz w:val="20"/>
                <w:szCs w:val="20"/>
                <w:color w:val="auto"/>
              </w:rPr>
            </w:pPr>
            <w:r>
              <w:rPr>
                <w:rFonts w:ascii="Arial" w:cs="Arial" w:eastAsia="Arial" w:hAnsi="Arial"/>
                <w:sz w:val="12"/>
                <w:szCs w:val="12"/>
                <w:color w:val="auto"/>
              </w:rPr>
              <w:t>Real estate funds</w:t>
            </w:r>
          </w:p>
        </w:tc>
        <w:tc>
          <w:tcPr>
            <w:tcW w:w="144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98"/>
              <w:spacing w:after="0"/>
              <w:rPr>
                <w:sz w:val="20"/>
                <w:szCs w:val="20"/>
                <w:color w:val="auto"/>
              </w:rPr>
            </w:pPr>
            <w:r>
              <w:rPr>
                <w:rFonts w:ascii="Arial" w:cs="Arial" w:eastAsia="Arial" w:hAnsi="Arial"/>
                <w:sz w:val="12"/>
                <w:szCs w:val="12"/>
                <w:color w:val="auto"/>
              </w:rPr>
              <w:t>8.3</w:t>
            </w:r>
          </w:p>
        </w:tc>
        <w:tc>
          <w:tcPr>
            <w:tcW w:w="100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38"/>
              <w:spacing w:after="0"/>
              <w:rPr>
                <w:sz w:val="20"/>
                <w:szCs w:val="20"/>
                <w:color w:val="auto"/>
              </w:rPr>
            </w:pPr>
            <w:r>
              <w:rPr>
                <w:rFonts w:ascii="Arial" w:cs="Arial" w:eastAsia="Arial" w:hAnsi="Arial"/>
                <w:sz w:val="12"/>
                <w:szCs w:val="12"/>
                <w:color w:val="auto"/>
              </w:rPr>
              <w:t>8.3</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15"/>
        </w:trPr>
        <w:tc>
          <w:tcPr>
            <w:tcW w:w="286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Insurance contracts</w:t>
            </w:r>
          </w:p>
        </w:tc>
        <w:tc>
          <w:tcPr>
            <w:tcW w:w="14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92.0</w:t>
            </w: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92.0</w:t>
            </w:r>
          </w:p>
        </w:tc>
      </w:tr>
      <w:tr>
        <w:trPr>
          <w:trHeight w:val="197"/>
        </w:trPr>
        <w:tc>
          <w:tcPr>
            <w:tcW w:w="28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$37.2</w:t>
            </w: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$12.7</w:t>
            </w: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$24.5</w:t>
            </w: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$314.7</w:t>
            </w: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$123.6</w:t>
            </w:r>
          </w:p>
        </w:tc>
        <w:tc>
          <w:tcPr>
            <w:tcW w:w="108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$99.1</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$92.0</w:t>
            </w:r>
          </w:p>
        </w:tc>
      </w:tr>
    </w:tbl>
    <w:p>
      <w:pPr>
        <w:spacing w:after="0" w:line="159" w:lineRule="exact"/>
        <w:rPr>
          <w:sz w:val="20"/>
          <w:szCs w:val="20"/>
          <w:color w:val="auto"/>
        </w:rPr>
      </w:pPr>
    </w:p>
    <w:p>
      <w:pPr>
        <w:ind w:left="160" w:hanging="157"/>
        <w:spacing w:after="0"/>
        <w:tabs>
          <w:tab w:leader="none" w:pos="160" w:val="left"/>
        </w:tabs>
        <w:numPr>
          <w:ilvl w:val="0"/>
          <w:numId w:val="57"/>
        </w:numPr>
        <w:rPr>
          <w:rFonts w:ascii="Arial" w:cs="Arial" w:eastAsia="Arial" w:hAnsi="Arial"/>
          <w:sz w:val="11"/>
          <w:szCs w:val="11"/>
          <w:color w:val="282A32"/>
        </w:rPr>
      </w:pPr>
      <w:r>
        <w:rPr>
          <w:rFonts w:ascii="Arial" w:cs="Arial" w:eastAsia="Arial" w:hAnsi="Arial"/>
          <w:sz w:val="11"/>
          <w:szCs w:val="11"/>
          <w:color w:val="282A32"/>
        </w:rPr>
        <w:t>This category includes a prime obligations money market portfolio.</w:t>
      </w:r>
    </w:p>
    <w:p>
      <w:pPr>
        <w:spacing w:after="0" w:line="80" w:lineRule="exact"/>
        <w:rPr>
          <w:rFonts w:ascii="Arial" w:cs="Arial" w:eastAsia="Arial" w:hAnsi="Arial"/>
          <w:sz w:val="11"/>
          <w:szCs w:val="11"/>
          <w:color w:val="282A32"/>
        </w:rPr>
      </w:pPr>
    </w:p>
    <w:p>
      <w:pPr>
        <w:ind w:left="160" w:hanging="157"/>
        <w:spacing w:after="0"/>
        <w:tabs>
          <w:tab w:leader="none" w:pos="160" w:val="left"/>
        </w:tabs>
        <w:numPr>
          <w:ilvl w:val="0"/>
          <w:numId w:val="57"/>
        </w:numPr>
        <w:rPr>
          <w:rFonts w:ascii="Arial" w:cs="Arial" w:eastAsia="Arial" w:hAnsi="Arial"/>
          <w:sz w:val="11"/>
          <w:szCs w:val="11"/>
          <w:color w:val="282A32"/>
        </w:rPr>
      </w:pPr>
      <w:r>
        <w:rPr>
          <w:rFonts w:ascii="Arial" w:cs="Arial" w:eastAsia="Arial" w:hAnsi="Arial"/>
          <w:sz w:val="11"/>
          <w:szCs w:val="11"/>
          <w:color w:val="282A32"/>
        </w:rPr>
        <w:t>This category includes United States Treasury/Federal agency securities and foreign government securities.</w:t>
      </w:r>
    </w:p>
    <w:p>
      <w:pPr>
        <w:spacing w:after="0" w:line="80" w:lineRule="exact"/>
        <w:rPr>
          <w:rFonts w:ascii="Arial" w:cs="Arial" w:eastAsia="Arial" w:hAnsi="Arial"/>
          <w:sz w:val="11"/>
          <w:szCs w:val="11"/>
          <w:color w:val="282A32"/>
        </w:rPr>
      </w:pPr>
    </w:p>
    <w:p>
      <w:pPr>
        <w:ind w:left="160" w:hanging="157"/>
        <w:spacing w:after="0"/>
        <w:tabs>
          <w:tab w:leader="none" w:pos="160" w:val="left"/>
        </w:tabs>
        <w:numPr>
          <w:ilvl w:val="0"/>
          <w:numId w:val="57"/>
        </w:numPr>
        <w:rPr>
          <w:rFonts w:ascii="Arial" w:cs="Arial" w:eastAsia="Arial" w:hAnsi="Arial"/>
          <w:sz w:val="11"/>
          <w:szCs w:val="11"/>
          <w:color w:val="282A32"/>
        </w:rPr>
      </w:pPr>
      <w:r>
        <w:rPr>
          <w:rFonts w:ascii="Arial" w:cs="Arial" w:eastAsia="Arial" w:hAnsi="Arial"/>
          <w:sz w:val="11"/>
          <w:szCs w:val="11"/>
          <w:color w:val="282A32"/>
        </w:rPr>
        <w:t>This category includes investments in approximately 50% equity securities, 40% fixed income securities and 10% cash.</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The following table summarizes the changes in fair value of the pension assets that are measured using Level 3 inputs. In 2016, we transferred in common contractual funds as part of the pension assets associated with the new German plan. We determine that transfers between fair-value-measurement levels occur on the date of the event that caused the transfer.</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380" w:type="dxa"/>
            <w:vAlign w:val="bottom"/>
            <w:tcBorders>
              <w:bottom w:val="single" w:sz="8" w:color="auto"/>
            </w:tcBorders>
            <w:shd w:val="clear" w:color="auto" w:fill="E1F4FD"/>
          </w:tcPr>
          <w:p>
            <w:pPr>
              <w:jc w:val="right"/>
              <w:ind w:right="61"/>
              <w:spacing w:after="0"/>
              <w:rPr>
                <w:sz w:val="20"/>
                <w:szCs w:val="20"/>
                <w:color w:val="auto"/>
              </w:rPr>
            </w:pPr>
            <w:r>
              <w:rPr>
                <w:rFonts w:ascii="Arial" w:cs="Arial" w:eastAsia="Arial" w:hAnsi="Arial"/>
                <w:sz w:val="11"/>
                <w:szCs w:val="11"/>
                <w:color w:val="4F8ABE"/>
              </w:rPr>
              <w:t>2016</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c>
          <w:tcPr>
            <w:tcW w:w="0" w:type="dxa"/>
            <w:vAlign w:val="bottom"/>
          </w:tcPr>
          <w:p>
            <w:pPr>
              <w:spacing w:after="0"/>
              <w:rPr>
                <w:sz w:val="1"/>
                <w:szCs w:val="1"/>
                <w:color w:val="auto"/>
              </w:rPr>
            </w:pPr>
          </w:p>
        </w:tc>
      </w:tr>
      <w:tr>
        <w:trPr>
          <w:trHeight w:val="336"/>
        </w:trPr>
        <w:tc>
          <w:tcPr>
            <w:tcW w:w="8720" w:type="dxa"/>
            <w:vAlign w:val="bottom"/>
          </w:tcPr>
          <w:p>
            <w:pPr>
              <w:ind w:left="20"/>
              <w:spacing w:after="0"/>
              <w:rPr>
                <w:sz w:val="20"/>
                <w:szCs w:val="20"/>
                <w:color w:val="auto"/>
              </w:rPr>
            </w:pPr>
            <w:r>
              <w:rPr>
                <w:rFonts w:ascii="Arial" w:cs="Arial" w:eastAsia="Arial" w:hAnsi="Arial"/>
                <w:sz w:val="12"/>
                <w:szCs w:val="12"/>
                <w:color w:val="auto"/>
              </w:rPr>
              <w:t>Balance, beginning of year</w:t>
            </w:r>
          </w:p>
        </w:tc>
        <w:tc>
          <w:tcPr>
            <w:tcW w:w="1380" w:type="dxa"/>
            <w:vAlign w:val="bottom"/>
            <w:shd w:val="clear" w:color="auto" w:fill="E1F4FD"/>
          </w:tcPr>
          <w:p>
            <w:pPr>
              <w:jc w:val="right"/>
              <w:ind w:right="61"/>
              <w:spacing w:after="0"/>
              <w:rPr>
                <w:sz w:val="20"/>
                <w:szCs w:val="20"/>
                <w:color w:val="auto"/>
              </w:rPr>
            </w:pPr>
            <w:r>
              <w:rPr>
                <w:rFonts w:ascii="Arial" w:cs="Arial" w:eastAsia="Arial" w:hAnsi="Arial"/>
                <w:sz w:val="12"/>
                <w:szCs w:val="12"/>
                <w:color w:val="4F8ABE"/>
              </w:rPr>
              <w:t>$92.0</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$104.9</w:t>
            </w:r>
          </w:p>
        </w:tc>
        <w:tc>
          <w:tcPr>
            <w:tcW w:w="0" w:type="dxa"/>
            <w:vAlign w:val="bottom"/>
          </w:tcPr>
          <w:p>
            <w:pPr>
              <w:spacing w:after="0"/>
              <w:rPr>
                <w:sz w:val="1"/>
                <w:szCs w:val="1"/>
                <w:color w:val="auto"/>
              </w:rPr>
            </w:pPr>
          </w:p>
        </w:tc>
      </w:tr>
      <w:tr>
        <w:trPr>
          <w:trHeight w:val="170"/>
        </w:trPr>
        <w:tc>
          <w:tcPr>
            <w:tcW w:w="8720" w:type="dxa"/>
            <w:vAlign w:val="bottom"/>
          </w:tcPr>
          <w:p>
            <w:pPr>
              <w:ind w:left="240"/>
              <w:spacing w:after="0"/>
              <w:rPr>
                <w:sz w:val="20"/>
                <w:szCs w:val="20"/>
                <w:color w:val="auto"/>
              </w:rPr>
            </w:pPr>
            <w:r>
              <w:rPr>
                <w:rFonts w:ascii="Arial" w:cs="Arial" w:eastAsia="Arial" w:hAnsi="Arial"/>
                <w:sz w:val="12"/>
                <w:szCs w:val="12"/>
                <w:color w:val="auto"/>
              </w:rPr>
              <w:t>Transfers</w:t>
            </w:r>
          </w:p>
        </w:tc>
        <w:tc>
          <w:tcPr>
            <w:tcW w:w="1380" w:type="dxa"/>
            <w:vAlign w:val="bottom"/>
          </w:tcPr>
          <w:p>
            <w:pPr>
              <w:jc w:val="right"/>
              <w:ind w:right="61"/>
              <w:spacing w:after="0"/>
              <w:rPr>
                <w:sz w:val="20"/>
                <w:szCs w:val="20"/>
                <w:color w:val="auto"/>
              </w:rPr>
            </w:pPr>
            <w:r>
              <w:rPr>
                <w:rFonts w:ascii="Arial" w:cs="Arial" w:eastAsia="Arial" w:hAnsi="Arial"/>
                <w:sz w:val="12"/>
                <w:szCs w:val="12"/>
                <w:color w:val="4F8ABE"/>
              </w:rPr>
              <w:t>27.3</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6"/>
        </w:trPr>
        <w:tc>
          <w:tcPr>
            <w:tcW w:w="8720" w:type="dxa"/>
            <w:vAlign w:val="bottom"/>
          </w:tcPr>
          <w:p>
            <w:pPr>
              <w:ind w:left="240"/>
              <w:spacing w:after="0"/>
              <w:rPr>
                <w:sz w:val="20"/>
                <w:szCs w:val="20"/>
                <w:color w:val="auto"/>
              </w:rPr>
            </w:pPr>
            <w:r>
              <w:rPr>
                <w:rFonts w:ascii="Arial" w:cs="Arial" w:eastAsia="Arial" w:hAnsi="Arial"/>
                <w:sz w:val="12"/>
                <w:szCs w:val="12"/>
                <w:color w:val="auto"/>
              </w:rPr>
              <w:t>Actual return on plan assets</w:t>
            </w:r>
          </w:p>
        </w:tc>
        <w:tc>
          <w:tcPr>
            <w:tcW w:w="1380" w:type="dxa"/>
            <w:vAlign w:val="bottom"/>
          </w:tcPr>
          <w:p>
            <w:pPr>
              <w:jc w:val="right"/>
              <w:ind w:right="61"/>
              <w:spacing w:after="0"/>
              <w:rPr>
                <w:sz w:val="20"/>
                <w:szCs w:val="20"/>
                <w:color w:val="auto"/>
              </w:rPr>
            </w:pPr>
            <w:r>
              <w:rPr>
                <w:rFonts w:ascii="Arial" w:cs="Arial" w:eastAsia="Arial" w:hAnsi="Arial"/>
                <w:sz w:val="12"/>
                <w:szCs w:val="12"/>
                <w:color w:val="4F8ABE"/>
              </w:rPr>
              <w:t>13.9</w:t>
            </w:r>
          </w:p>
        </w:tc>
        <w:tc>
          <w:tcPr>
            <w:tcW w:w="136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86"/>
        </w:trPr>
        <w:tc>
          <w:tcPr>
            <w:tcW w:w="8720" w:type="dxa"/>
            <w:vAlign w:val="bottom"/>
          </w:tcPr>
          <w:p>
            <w:pPr>
              <w:ind w:left="240"/>
              <w:spacing w:after="0"/>
              <w:rPr>
                <w:sz w:val="20"/>
                <w:szCs w:val="20"/>
                <w:color w:val="auto"/>
              </w:rPr>
            </w:pPr>
            <w:r>
              <w:rPr>
                <w:rFonts w:ascii="Arial" w:cs="Arial" w:eastAsia="Arial" w:hAnsi="Arial"/>
                <w:sz w:val="12"/>
                <w:szCs w:val="12"/>
                <w:color w:val="auto"/>
              </w:rPr>
              <w:t>Purchases, sales and settlements, net</w:t>
            </w:r>
          </w:p>
        </w:tc>
        <w:tc>
          <w:tcPr>
            <w:tcW w:w="1380" w:type="dxa"/>
            <w:vAlign w:val="bottom"/>
          </w:tcPr>
          <w:p>
            <w:pPr>
              <w:jc w:val="right"/>
              <w:ind w:right="21"/>
              <w:spacing w:after="0"/>
              <w:rPr>
                <w:sz w:val="20"/>
                <w:szCs w:val="20"/>
                <w:color w:val="auto"/>
              </w:rPr>
            </w:pPr>
            <w:r>
              <w:rPr>
                <w:rFonts w:ascii="Arial" w:cs="Arial" w:eastAsia="Arial" w:hAnsi="Arial"/>
                <w:sz w:val="12"/>
                <w:szCs w:val="12"/>
                <w:color w:val="4F8ABE"/>
              </w:rPr>
              <w:t>(2.1)</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Currency exchange rate changes</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4F8ABE"/>
              </w:rPr>
              <w:t>(4.9)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332"/>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Balance, end of year</w:t>
            </w:r>
          </w:p>
        </w:tc>
        <w:tc>
          <w:tcPr>
            <w:tcW w:w="1380" w:type="dxa"/>
            <w:vAlign w:val="bottom"/>
            <w:tcBorders>
              <w:bottom w:val="single" w:sz="8" w:color="auto"/>
            </w:tcBorders>
            <w:shd w:val="clear" w:color="auto" w:fill="E1F4FD"/>
          </w:tcPr>
          <w:p>
            <w:pPr>
              <w:jc w:val="right"/>
              <w:ind w:right="61"/>
              <w:spacing w:after="0"/>
              <w:rPr>
                <w:sz w:val="20"/>
                <w:szCs w:val="20"/>
                <w:color w:val="auto"/>
              </w:rPr>
            </w:pPr>
            <w:r>
              <w:rPr>
                <w:rFonts w:ascii="Arial" w:cs="Arial" w:eastAsia="Arial" w:hAnsi="Arial"/>
                <w:sz w:val="12"/>
                <w:szCs w:val="12"/>
                <w:color w:val="4F8ABE"/>
              </w:rPr>
              <w:t>$126.2</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$92.0</w:t>
            </w:r>
          </w:p>
        </w:tc>
        <w:tc>
          <w:tcPr>
            <w:tcW w:w="0" w:type="dxa"/>
            <w:vAlign w:val="bottom"/>
          </w:tcPr>
          <w:p>
            <w:pPr>
              <w:spacing w:after="0"/>
              <w:rPr>
                <w:sz w:val="1"/>
                <w:szCs w:val="1"/>
                <w:color w:val="auto"/>
              </w:rPr>
            </w:pPr>
          </w:p>
        </w:tc>
      </w:tr>
      <w:tr>
        <w:trPr>
          <w:trHeight w:val="91"/>
        </w:trPr>
        <w:tc>
          <w:tcPr>
            <w:tcW w:w="8720" w:type="dxa"/>
            <w:vAlign w:val="bottom"/>
            <w:vMerge w:val="restart"/>
          </w:tcPr>
          <w:p>
            <w:pPr>
              <w:ind w:left="40"/>
              <w:spacing w:after="0"/>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73</w:t>
            </w:r>
          </w:p>
        </w:tc>
        <w:tc>
          <w:tcPr>
            <w:tcW w:w="1380" w:type="dxa"/>
            <w:vAlign w:val="bottom"/>
            <w:shd w:val="clear" w:color="auto" w:fill="2989B9"/>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6"/>
        </w:trPr>
        <w:tc>
          <w:tcPr>
            <w:tcW w:w="8720" w:type="dxa"/>
            <w:vAlign w:val="bottom"/>
            <w:vMerge w:val="continue"/>
          </w:tcPr>
          <w:p>
            <w:pPr>
              <w:spacing w:after="0"/>
              <w:rPr>
                <w:sz w:val="24"/>
                <w:szCs w:val="24"/>
                <w:color w:val="auto"/>
              </w:rPr>
            </w:pPr>
          </w:p>
        </w:tc>
        <w:tc>
          <w:tcPr>
            <w:tcW w:w="2740" w:type="dxa"/>
            <w:vAlign w:val="bottom"/>
            <w:gridSpan w:val="2"/>
          </w:tcPr>
          <w:p>
            <w:pPr>
              <w:jc w:val="right"/>
              <w:spacing w:after="0"/>
              <w:rPr>
                <w:sz w:val="20"/>
                <w:szCs w:val="20"/>
                <w:color w:val="auto"/>
              </w:rPr>
            </w:pPr>
            <w:r>
              <w:rPr>
                <w:rFonts w:ascii="Arial" w:cs="Arial" w:eastAsia="Arial" w:hAnsi="Arial"/>
                <w:sz w:val="9"/>
                <w:szCs w:val="9"/>
                <w:color w:val="auto"/>
              </w:rPr>
              <w:t>Notes to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-1283970</wp:posOffset>
            </wp:positionV>
            <wp:extent cx="873760" cy="604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73760" cy="604520"/>
                    </a:xfrm>
                    <a:prstGeom prst="rect">
                      <a:avLst/>
                    </a:prstGeom>
                    <a:noFill/>
                  </pic:spPr>
                </pic:pic>
              </a:graphicData>
            </a:graphic>
          </wp:anchor>
        </w:drawing>
      </w:r>
    </w:p>
    <w:p>
      <w:pPr>
        <w:sectPr>
          <w:pgSz w:w="11900" w:h="16838" w:orient="portrait"/>
          <w:cols w:equalWidth="0" w:num="1">
            <w:col w:w="11460"/>
          </w:cols>
          <w:pgMar w:left="220" w:top="383" w:right="21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2"/>
          <w:szCs w:val="12"/>
          <w:color w:val="4F8ABE"/>
        </w:rPr>
        <w:t>Retiree Health Care Plan</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2"/>
          <w:szCs w:val="12"/>
          <w:color w:val="282A32"/>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3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r>
      <w:tr>
        <w:trPr>
          <w:trHeight w:val="352"/>
        </w:trPr>
        <w:tc>
          <w:tcPr>
            <w:tcW w:w="8720" w:type="dxa"/>
            <w:vAlign w:val="bottom"/>
          </w:tcPr>
          <w:p>
            <w:pPr>
              <w:ind w:left="20"/>
              <w:spacing w:after="0"/>
              <w:rPr>
                <w:sz w:val="20"/>
                <w:szCs w:val="20"/>
                <w:color w:val="auto"/>
              </w:rPr>
            </w:pPr>
            <w:r>
              <w:rPr>
                <w:rFonts w:ascii="Arial" w:cs="Arial" w:eastAsia="Arial" w:hAnsi="Arial"/>
                <w:sz w:val="12"/>
                <w:szCs w:val="12"/>
                <w:color w:val="4F8ABE"/>
              </w:rPr>
              <w:t>Change in Benefit Obligation</w:t>
            </w:r>
          </w:p>
        </w:tc>
        <w:tc>
          <w:tcPr>
            <w:tcW w:w="1380" w:type="dxa"/>
            <w:vAlign w:val="bottom"/>
            <w:shd w:val="clear" w:color="auto" w:fill="E1F4FD"/>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2"/>
                <w:szCs w:val="12"/>
                <w:color w:val="auto"/>
              </w:rPr>
              <w:t>Benefit obligation, beginning of year</w:t>
            </w:r>
          </w:p>
        </w:tc>
        <w:tc>
          <w:tcPr>
            <w:tcW w:w="13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$16.4</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$17.8</w:t>
            </w:r>
          </w:p>
        </w:tc>
      </w:tr>
      <w:tr>
        <w:trPr>
          <w:trHeight w:val="170"/>
        </w:trPr>
        <w:tc>
          <w:tcPr>
            <w:tcW w:w="8720" w:type="dxa"/>
            <w:vAlign w:val="bottom"/>
          </w:tcPr>
          <w:p>
            <w:pPr>
              <w:ind w:left="240"/>
              <w:spacing w:after="0"/>
              <w:rPr>
                <w:sz w:val="20"/>
                <w:szCs w:val="20"/>
                <w:color w:val="auto"/>
              </w:rPr>
            </w:pPr>
            <w:r>
              <w:rPr>
                <w:rFonts w:ascii="Arial" w:cs="Arial" w:eastAsia="Arial" w:hAnsi="Arial"/>
                <w:sz w:val="12"/>
                <w:szCs w:val="12"/>
                <w:color w:val="auto"/>
              </w:rPr>
              <w:t>Interest cost</w:t>
            </w:r>
          </w:p>
        </w:tc>
        <w:tc>
          <w:tcPr>
            <w:tcW w:w="1380" w:type="dxa"/>
            <w:vAlign w:val="bottom"/>
          </w:tcPr>
          <w:p>
            <w:pPr>
              <w:jc w:val="right"/>
              <w:ind w:right="59"/>
              <w:spacing w:after="0"/>
              <w:rPr>
                <w:sz w:val="20"/>
                <w:szCs w:val="20"/>
                <w:color w:val="auto"/>
              </w:rPr>
            </w:pPr>
            <w:r>
              <w:rPr>
                <w:rFonts w:ascii="Arial" w:cs="Arial" w:eastAsia="Arial" w:hAnsi="Arial"/>
                <w:sz w:val="12"/>
                <w:szCs w:val="12"/>
                <w:color w:val="4F8ABE"/>
              </w:rPr>
              <w:t>0.7</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0.7</w:t>
            </w:r>
          </w:p>
        </w:tc>
      </w:tr>
      <w:tr>
        <w:trPr>
          <w:trHeight w:val="186"/>
        </w:trPr>
        <w:tc>
          <w:tcPr>
            <w:tcW w:w="8720" w:type="dxa"/>
            <w:vAlign w:val="bottom"/>
          </w:tcPr>
          <w:p>
            <w:pPr>
              <w:ind w:left="240"/>
              <w:spacing w:after="0"/>
              <w:rPr>
                <w:sz w:val="20"/>
                <w:szCs w:val="20"/>
                <w:color w:val="auto"/>
              </w:rPr>
            </w:pPr>
            <w:r>
              <w:rPr>
                <w:rFonts w:ascii="Arial" w:cs="Arial" w:eastAsia="Arial" w:hAnsi="Arial"/>
                <w:sz w:val="12"/>
                <w:szCs w:val="12"/>
                <w:color w:val="auto"/>
              </w:rPr>
              <w:t>Actuarial loss (gain)</w:t>
            </w:r>
          </w:p>
        </w:tc>
        <w:tc>
          <w:tcPr>
            <w:tcW w:w="1380" w:type="dxa"/>
            <w:vAlign w:val="bottom"/>
          </w:tcPr>
          <w:p>
            <w:pPr>
              <w:jc w:val="right"/>
              <w:ind w:right="59"/>
              <w:spacing w:after="0"/>
              <w:rPr>
                <w:sz w:val="20"/>
                <w:szCs w:val="20"/>
                <w:color w:val="auto"/>
              </w:rPr>
            </w:pPr>
            <w:r>
              <w:rPr>
                <w:rFonts w:ascii="Arial" w:cs="Arial" w:eastAsia="Arial" w:hAnsi="Arial"/>
                <w:sz w:val="12"/>
                <w:szCs w:val="12"/>
                <w:color w:val="4F8ABE"/>
              </w:rPr>
              <w:t>0.2</w:t>
            </w:r>
          </w:p>
        </w:tc>
        <w:tc>
          <w:tcPr>
            <w:tcW w:w="136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194"/>
        </w:trPr>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Benefits paid</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4F8ABE"/>
              </w:rPr>
              <w:t>(1.7)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r>
      <w:tr>
        <w:trPr>
          <w:trHeight w:val="197"/>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Benefit obligation, end of year</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$15.6</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$16.4</w:t>
            </w:r>
          </w:p>
        </w:tc>
      </w:tr>
      <w:tr>
        <w:trPr>
          <w:trHeight w:val="355"/>
        </w:trPr>
        <w:tc>
          <w:tcPr>
            <w:tcW w:w="8720" w:type="dxa"/>
            <w:vAlign w:val="bottom"/>
          </w:tcPr>
          <w:p>
            <w:pPr>
              <w:ind w:left="20"/>
              <w:spacing w:after="0"/>
              <w:rPr>
                <w:sz w:val="20"/>
                <w:szCs w:val="20"/>
                <w:color w:val="auto"/>
              </w:rPr>
            </w:pPr>
            <w:r>
              <w:rPr>
                <w:rFonts w:ascii="Arial" w:cs="Arial" w:eastAsia="Arial" w:hAnsi="Arial"/>
                <w:sz w:val="12"/>
                <w:szCs w:val="12"/>
                <w:color w:val="4F8ABE"/>
              </w:rPr>
              <w:t>Funded Status at End of Year</w:t>
            </w:r>
          </w:p>
        </w:tc>
        <w:tc>
          <w:tcPr>
            <w:tcW w:w="1380" w:type="dxa"/>
            <w:vAlign w:val="bottom"/>
            <w:shd w:val="clear" w:color="auto" w:fill="E1F4FD"/>
          </w:tcPr>
          <w:p>
            <w:pPr>
              <w:spacing w:after="0"/>
              <w:rPr>
                <w:sz w:val="24"/>
                <w:szCs w:val="24"/>
                <w:color w:val="auto"/>
              </w:rPr>
            </w:pPr>
          </w:p>
        </w:tc>
        <w:tc>
          <w:tcPr>
            <w:tcW w:w="1360" w:type="dxa"/>
            <w:vAlign w:val="bottom"/>
          </w:tcPr>
          <w:p>
            <w:pPr>
              <w:spacing w:after="0"/>
              <w:rPr>
                <w:sz w:val="24"/>
                <w:szCs w:val="24"/>
                <w:color w:val="auto"/>
              </w:rPr>
            </w:pPr>
          </w:p>
        </w:tc>
      </w:tr>
      <w:tr>
        <w:trPr>
          <w:trHeight w:val="21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Funded status, end of year</w:t>
            </w:r>
          </w:p>
        </w:tc>
        <w:tc>
          <w:tcPr>
            <w:tcW w:w="13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2"/>
                <w:szCs w:val="12"/>
                <w:color w:val="4F8ABE"/>
              </w:rPr>
              <w:t>($15.6)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w:t>
            </w:r>
          </w:p>
        </w:tc>
      </w:tr>
      <w:tr>
        <w:trPr>
          <w:trHeight w:val="355"/>
        </w:trPr>
        <w:tc>
          <w:tcPr>
            <w:tcW w:w="8720" w:type="dxa"/>
            <w:vAlign w:val="bottom"/>
          </w:tcPr>
          <w:p>
            <w:pPr>
              <w:ind w:left="20"/>
              <w:spacing w:after="0"/>
              <w:rPr>
                <w:sz w:val="20"/>
                <w:szCs w:val="20"/>
                <w:color w:val="auto"/>
              </w:rPr>
            </w:pPr>
            <w:r>
              <w:rPr>
                <w:rFonts w:ascii="Arial" w:cs="Arial" w:eastAsia="Arial" w:hAnsi="Arial"/>
                <w:sz w:val="12"/>
                <w:szCs w:val="12"/>
                <w:color w:val="4F8ABE"/>
              </w:rPr>
              <w:t>Amounts Recognized</w:t>
            </w:r>
          </w:p>
        </w:tc>
        <w:tc>
          <w:tcPr>
            <w:tcW w:w="1380" w:type="dxa"/>
            <w:vAlign w:val="bottom"/>
            <w:shd w:val="clear" w:color="auto" w:fill="E1F4FD"/>
          </w:tcPr>
          <w:p>
            <w:pPr>
              <w:spacing w:after="0"/>
              <w:rPr>
                <w:sz w:val="24"/>
                <w:szCs w:val="24"/>
                <w:color w:val="auto"/>
              </w:rPr>
            </w:pPr>
          </w:p>
        </w:tc>
        <w:tc>
          <w:tcPr>
            <w:tcW w:w="1360" w:type="dxa"/>
            <w:vAlign w:val="bottom"/>
          </w:tcPr>
          <w:p>
            <w:pPr>
              <w:spacing w:after="0"/>
              <w:rPr>
                <w:sz w:val="24"/>
                <w:szCs w:val="24"/>
                <w:color w:val="auto"/>
              </w:rPr>
            </w:pPr>
          </w:p>
        </w:tc>
      </w:tr>
      <w:tr>
        <w:trPr>
          <w:trHeight w:val="207"/>
        </w:trPr>
        <w:tc>
          <w:tcPr>
            <w:tcW w:w="872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3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($1.3)</w:t>
            </w:r>
          </w:p>
        </w:tc>
        <w:tc>
          <w:tcPr>
            <w:tcW w:w="136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94"/>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Noncurrent liabilities</w:t>
            </w:r>
          </w:p>
        </w:tc>
        <w:tc>
          <w:tcPr>
            <w:tcW w:w="13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(14.3)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w:t>
            </w:r>
          </w:p>
        </w:tc>
      </w:tr>
      <w:tr>
        <w:trPr>
          <w:trHeight w:val="332"/>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Net amount recognized</w:t>
            </w:r>
          </w:p>
        </w:tc>
        <w:tc>
          <w:tcPr>
            <w:tcW w:w="1380" w:type="dxa"/>
            <w:vAlign w:val="bottom"/>
            <w:tcBorders>
              <w:bottom w:val="single" w:sz="8" w:color="auto"/>
            </w:tcBorders>
            <w:shd w:val="clear" w:color="auto" w:fill="E1F4FD"/>
          </w:tcPr>
          <w:p>
            <w:pPr>
              <w:jc w:val="right"/>
              <w:ind w:right="19"/>
              <w:spacing w:after="0"/>
              <w:rPr>
                <w:sz w:val="20"/>
                <w:szCs w:val="20"/>
                <w:color w:val="auto"/>
              </w:rPr>
            </w:pPr>
            <w:r>
              <w:rPr>
                <w:rFonts w:ascii="Arial" w:cs="Arial" w:eastAsia="Arial" w:hAnsi="Arial"/>
                <w:sz w:val="12"/>
                <w:szCs w:val="12"/>
                <w:color w:val="4F8ABE"/>
              </w:rPr>
              <w:t>($15.6)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w:t>
            </w:r>
          </w:p>
        </w:tc>
      </w:tr>
      <w:tr>
        <w:trPr>
          <w:trHeight w:val="91"/>
        </w:trPr>
        <w:tc>
          <w:tcPr>
            <w:tcW w:w="8720" w:type="dxa"/>
            <w:vAlign w:val="bottom"/>
          </w:tcPr>
          <w:p>
            <w:pPr>
              <w:spacing w:after="0"/>
              <w:rPr>
                <w:sz w:val="7"/>
                <w:szCs w:val="7"/>
                <w:color w:val="auto"/>
              </w:rPr>
            </w:pPr>
          </w:p>
        </w:tc>
        <w:tc>
          <w:tcPr>
            <w:tcW w:w="1380" w:type="dxa"/>
            <w:vAlign w:val="bottom"/>
            <w:shd w:val="clear" w:color="auto" w:fill="2989B9"/>
          </w:tcPr>
          <w:p>
            <w:pPr>
              <w:spacing w:after="0"/>
              <w:rPr>
                <w:sz w:val="7"/>
                <w:szCs w:val="7"/>
                <w:color w:val="auto"/>
              </w:rPr>
            </w:pPr>
          </w:p>
        </w:tc>
        <w:tc>
          <w:tcPr>
            <w:tcW w:w="13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-1779905</wp:posOffset>
            </wp:positionV>
            <wp:extent cx="873760" cy="624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73760" cy="62420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282A32"/>
        </w:rPr>
        <w:t>The amount recognized in accumulated other comprehensive loss, net of tax, consists of a net loss of $1.7 for both 2016 and 2015, and a prior service credit of $5.4 and $6.0 in 2016 and 2015, respectively.</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The discount rate used in the measurement of the benefit obligation was 4.0% and 4.3% in 2016 and 2015, respectively. The discount rate used in the measurement of net periodic benefit cost was 4.3%, 3.9% and 4.7% in 2016, 2015, and 2014, respectively. The components of net periodic benefit cost and other amounts recognized in other comprehensive loss for this plan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color w:val="auto"/>
              </w:rPr>
              <w:t>2015</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2014</w:t>
            </w:r>
          </w:p>
        </w:tc>
      </w:tr>
      <w:tr>
        <w:trPr>
          <w:trHeight w:val="352"/>
        </w:trPr>
        <w:tc>
          <w:tcPr>
            <w:tcW w:w="7680" w:type="dxa"/>
            <w:vAlign w:val="bottom"/>
          </w:tcPr>
          <w:p>
            <w:pPr>
              <w:ind w:left="20"/>
              <w:spacing w:after="0"/>
              <w:rPr>
                <w:sz w:val="20"/>
                <w:szCs w:val="20"/>
                <w:color w:val="auto"/>
              </w:rPr>
            </w:pPr>
            <w:r>
              <w:rPr>
                <w:rFonts w:ascii="Arial" w:cs="Arial" w:eastAsia="Arial" w:hAnsi="Arial"/>
                <w:sz w:val="12"/>
                <w:szCs w:val="12"/>
                <w:color w:val="4F8ABE"/>
              </w:rPr>
              <w:t>Net Periodic Benefit Cost</w:t>
            </w:r>
          </w:p>
        </w:tc>
        <w:tc>
          <w:tcPr>
            <w:tcW w:w="1280" w:type="dxa"/>
            <w:vAlign w:val="bottom"/>
            <w:shd w:val="clear" w:color="auto" w:fill="E1F4FD"/>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2"/>
                <w:szCs w:val="12"/>
                <w:color w:val="auto"/>
              </w:rPr>
              <w:t>Interest cost</w:t>
            </w:r>
          </w:p>
        </w:tc>
        <w:tc>
          <w:tcPr>
            <w:tcW w:w="12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$0.7</w:t>
            </w:r>
          </w:p>
        </w:tc>
        <w:tc>
          <w:tcPr>
            <w:tcW w:w="1660" w:type="dxa"/>
            <w:vAlign w:val="bottom"/>
          </w:tcPr>
          <w:p>
            <w:pPr>
              <w:jc w:val="right"/>
              <w:ind w:right="459"/>
              <w:spacing w:after="0"/>
              <w:rPr>
                <w:sz w:val="20"/>
                <w:szCs w:val="20"/>
                <w:color w:val="auto"/>
              </w:rPr>
            </w:pPr>
            <w:r>
              <w:rPr>
                <w:rFonts w:ascii="Arial" w:cs="Arial" w:eastAsia="Arial" w:hAnsi="Arial"/>
                <w:sz w:val="12"/>
                <w:szCs w:val="12"/>
                <w:color w:val="auto"/>
              </w:rPr>
              <w:t>$0.7</w:t>
            </w: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$0.8</w:t>
            </w:r>
          </w:p>
        </w:tc>
      </w:tr>
      <w:tr>
        <w:trPr>
          <w:trHeight w:val="170"/>
        </w:trPr>
        <w:tc>
          <w:tcPr>
            <w:tcW w:w="7680" w:type="dxa"/>
            <w:vAlign w:val="bottom"/>
          </w:tcPr>
          <w:p>
            <w:pPr>
              <w:ind w:left="20"/>
              <w:spacing w:after="0"/>
              <w:rPr>
                <w:sz w:val="20"/>
                <w:szCs w:val="20"/>
                <w:color w:val="auto"/>
              </w:rPr>
            </w:pPr>
            <w:r>
              <w:rPr>
                <w:rFonts w:ascii="Arial" w:cs="Arial" w:eastAsia="Arial" w:hAnsi="Arial"/>
                <w:sz w:val="12"/>
                <w:szCs w:val="12"/>
                <w:color w:val="auto"/>
              </w:rPr>
              <w:t>Net loss</w:t>
            </w:r>
          </w:p>
        </w:tc>
        <w:tc>
          <w:tcPr>
            <w:tcW w:w="1280" w:type="dxa"/>
            <w:vAlign w:val="bottom"/>
          </w:tcPr>
          <w:p>
            <w:pPr>
              <w:jc w:val="right"/>
              <w:ind w:right="59"/>
              <w:spacing w:after="0"/>
              <w:rPr>
                <w:sz w:val="20"/>
                <w:szCs w:val="20"/>
                <w:color w:val="auto"/>
              </w:rPr>
            </w:pPr>
            <w:r>
              <w:rPr>
                <w:rFonts w:ascii="Arial" w:cs="Arial" w:eastAsia="Arial" w:hAnsi="Arial"/>
                <w:sz w:val="12"/>
                <w:szCs w:val="12"/>
                <w:color w:val="4F8ABE"/>
              </w:rPr>
              <w:t>0.1</w:t>
            </w:r>
          </w:p>
        </w:tc>
        <w:tc>
          <w:tcPr>
            <w:tcW w:w="1660" w:type="dxa"/>
            <w:vAlign w:val="bottom"/>
          </w:tcPr>
          <w:p>
            <w:pPr>
              <w:jc w:val="right"/>
              <w:ind w:right="459"/>
              <w:spacing w:after="0"/>
              <w:rPr>
                <w:sz w:val="20"/>
                <w:szCs w:val="20"/>
                <w:color w:val="auto"/>
              </w:rPr>
            </w:pPr>
            <w:r>
              <w:rPr>
                <w:rFonts w:ascii="Arial" w:cs="Arial" w:eastAsia="Arial" w:hAnsi="Arial"/>
                <w:sz w:val="12"/>
                <w:szCs w:val="12"/>
                <w:color w:val="auto"/>
              </w:rPr>
              <w:t>0.1</w:t>
            </w: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0.1</w:t>
            </w: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Prior service credit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4F8ABE"/>
              </w:rPr>
              <w:t>(0.8)</w:t>
            </w:r>
          </w:p>
        </w:tc>
        <w:tc>
          <w:tcPr>
            <w:tcW w:w="166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(0.8)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w:t>
            </w:r>
          </w:p>
        </w:tc>
      </w:tr>
      <w:tr>
        <w:trPr>
          <w:trHeight w:val="31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Net periodic benefit cost</w:t>
            </w:r>
          </w:p>
        </w:tc>
        <w:tc>
          <w:tcPr>
            <w:tcW w:w="12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w:t>
            </w: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0.1</w:t>
            </w:r>
          </w:p>
        </w:tc>
      </w:tr>
      <w:tr>
        <w:trPr>
          <w:trHeight w:val="220"/>
        </w:trPr>
        <w:tc>
          <w:tcPr>
            <w:tcW w:w="7680" w:type="dxa"/>
            <w:vAlign w:val="bottom"/>
          </w:tcPr>
          <w:p>
            <w:pPr>
              <w:ind w:left="20"/>
              <w:spacing w:after="0"/>
              <w:rPr>
                <w:sz w:val="20"/>
                <w:szCs w:val="20"/>
                <w:color w:val="auto"/>
              </w:rPr>
            </w:pPr>
            <w:r>
              <w:rPr>
                <w:rFonts w:ascii="Arial" w:cs="Arial" w:eastAsia="Arial" w:hAnsi="Arial"/>
                <w:sz w:val="12"/>
                <w:szCs w:val="12"/>
                <w:color w:val="4F8ABE"/>
              </w:rPr>
              <w:t>Other Changes in Plan Assets and Benefit Obligations Recognized in Other Comprehensive Loss</w:t>
            </w:r>
          </w:p>
        </w:tc>
        <w:tc>
          <w:tcPr>
            <w:tcW w:w="1280" w:type="dxa"/>
            <w:vAlign w:val="bottom"/>
            <w:shd w:val="clear" w:color="auto" w:fill="E1F4FD"/>
          </w:tcPr>
          <w:p>
            <w:pPr>
              <w:spacing w:after="0"/>
              <w:rPr>
                <w:sz w:val="19"/>
                <w:szCs w:val="19"/>
                <w:color w:val="auto"/>
              </w:rPr>
            </w:pPr>
          </w:p>
        </w:tc>
        <w:tc>
          <w:tcPr>
            <w:tcW w:w="16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2"/>
        </w:trPr>
        <w:tc>
          <w:tcPr>
            <w:tcW w:w="7680" w:type="dxa"/>
            <w:vAlign w:val="bottom"/>
          </w:tcPr>
          <w:p>
            <w:pPr>
              <w:ind w:left="20"/>
              <w:spacing w:after="0"/>
              <w:rPr>
                <w:sz w:val="20"/>
                <w:szCs w:val="20"/>
                <w:color w:val="auto"/>
              </w:rPr>
            </w:pPr>
            <w:r>
              <w:rPr>
                <w:rFonts w:ascii="Arial" w:cs="Arial" w:eastAsia="Arial" w:hAnsi="Arial"/>
                <w:sz w:val="12"/>
                <w:szCs w:val="12"/>
                <w:color w:val="auto"/>
              </w:rPr>
              <w:t>Net loss (gain)</w:t>
            </w:r>
          </w:p>
        </w:tc>
        <w:tc>
          <w:tcPr>
            <w:tcW w:w="128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0.2</w:t>
            </w:r>
          </w:p>
        </w:tc>
        <w:tc>
          <w:tcPr>
            <w:tcW w:w="1660" w:type="dxa"/>
            <w:vAlign w:val="bottom"/>
          </w:tcPr>
          <w:p>
            <w:pPr>
              <w:jc w:val="right"/>
              <w:ind w:right="419"/>
              <w:spacing w:after="0"/>
              <w:rPr>
                <w:sz w:val="20"/>
                <w:szCs w:val="20"/>
                <w:color w:val="auto"/>
              </w:rPr>
            </w:pPr>
            <w:r>
              <w:rPr>
                <w:rFonts w:ascii="Arial" w:cs="Arial" w:eastAsia="Arial" w:hAnsi="Arial"/>
                <w:sz w:val="12"/>
                <w:szCs w:val="12"/>
                <w:color w:val="auto"/>
              </w:rPr>
              <w:t>(0.5)</w:t>
            </w: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0.2</w:t>
            </w:r>
          </w:p>
        </w:tc>
      </w:tr>
      <w:tr>
        <w:trPr>
          <w:trHeight w:val="170"/>
        </w:trPr>
        <w:tc>
          <w:tcPr>
            <w:tcW w:w="7680" w:type="dxa"/>
            <w:vAlign w:val="bottom"/>
          </w:tcPr>
          <w:p>
            <w:pPr>
              <w:ind w:left="20"/>
              <w:spacing w:after="0"/>
              <w:rPr>
                <w:sz w:val="20"/>
                <w:szCs w:val="20"/>
                <w:color w:val="auto"/>
              </w:rPr>
            </w:pPr>
            <w:r>
              <w:rPr>
                <w:rFonts w:ascii="Arial" w:cs="Arial" w:eastAsia="Arial" w:hAnsi="Arial"/>
                <w:sz w:val="12"/>
                <w:szCs w:val="12"/>
                <w:color w:val="auto"/>
              </w:rPr>
              <w:t>Amortization of net loss</w:t>
            </w:r>
          </w:p>
        </w:tc>
        <w:tc>
          <w:tcPr>
            <w:tcW w:w="1280" w:type="dxa"/>
            <w:vAlign w:val="bottom"/>
          </w:tcPr>
          <w:p>
            <w:pPr>
              <w:jc w:val="right"/>
              <w:ind w:right="19"/>
              <w:spacing w:after="0"/>
              <w:rPr>
                <w:sz w:val="20"/>
                <w:szCs w:val="20"/>
                <w:color w:val="auto"/>
              </w:rPr>
            </w:pPr>
            <w:r>
              <w:rPr>
                <w:rFonts w:ascii="Arial" w:cs="Arial" w:eastAsia="Arial" w:hAnsi="Arial"/>
                <w:sz w:val="12"/>
                <w:szCs w:val="12"/>
                <w:color w:val="4F8ABE"/>
              </w:rPr>
              <w:t>(0.1)</w:t>
            </w:r>
          </w:p>
        </w:tc>
        <w:tc>
          <w:tcPr>
            <w:tcW w:w="1660" w:type="dxa"/>
            <w:vAlign w:val="bottom"/>
          </w:tcPr>
          <w:p>
            <w:pPr>
              <w:jc w:val="right"/>
              <w:ind w:right="419"/>
              <w:spacing w:after="0"/>
              <w:rPr>
                <w:sz w:val="20"/>
                <w:szCs w:val="20"/>
                <w:color w:val="auto"/>
              </w:rPr>
            </w:pPr>
            <w:r>
              <w:rPr>
                <w:rFonts w:ascii="Arial" w:cs="Arial" w:eastAsia="Arial" w:hAnsi="Arial"/>
                <w:sz w:val="12"/>
                <w:szCs w:val="12"/>
                <w:color w:val="auto"/>
              </w:rPr>
              <w:t>(0.1)</w:t>
            </w:r>
          </w:p>
        </w:tc>
        <w:tc>
          <w:tcPr>
            <w:tcW w:w="84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Amortization of prior service credit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0.8</w:t>
            </w: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0.8</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0.8</w:t>
            </w:r>
          </w:p>
        </w:tc>
      </w:tr>
      <w:tr>
        <w:trPr>
          <w:trHeight w:val="31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recognized in other comprehensive loss</w:t>
            </w:r>
          </w:p>
        </w:tc>
        <w:tc>
          <w:tcPr>
            <w:tcW w:w="12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0.9</w:t>
            </w: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0.2</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0.9</w:t>
            </w:r>
          </w:p>
        </w:tc>
      </w:tr>
      <w:tr>
        <w:trPr>
          <w:trHeight w:val="33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recognized in net periodic benefit cost and other comprehensive loss</w:t>
            </w:r>
          </w:p>
        </w:tc>
        <w:tc>
          <w:tcPr>
            <w:tcW w:w="128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2"/>
                <w:szCs w:val="12"/>
                <w:color w:val="4F8ABE"/>
              </w:rPr>
              <w:t>$0.9</w:t>
            </w: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$0.2</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$1.0</w:t>
            </w:r>
          </w:p>
        </w:tc>
      </w:tr>
      <w:tr>
        <w:trPr>
          <w:trHeight w:val="91"/>
        </w:trPr>
        <w:tc>
          <w:tcPr>
            <w:tcW w:w="7680" w:type="dxa"/>
            <w:vAlign w:val="bottom"/>
          </w:tcPr>
          <w:p>
            <w:pPr>
              <w:spacing w:after="0"/>
              <w:rPr>
                <w:sz w:val="7"/>
                <w:szCs w:val="7"/>
                <w:color w:val="auto"/>
              </w:rPr>
            </w:pPr>
          </w:p>
        </w:tc>
        <w:tc>
          <w:tcPr>
            <w:tcW w:w="1280" w:type="dxa"/>
            <w:vAlign w:val="bottom"/>
            <w:shd w:val="clear" w:color="auto" w:fill="2989B9"/>
          </w:tcPr>
          <w:p>
            <w:pPr>
              <w:spacing w:after="0"/>
              <w:rPr>
                <w:sz w:val="7"/>
                <w:szCs w:val="7"/>
                <w:color w:val="auto"/>
              </w:rPr>
            </w:pPr>
          </w:p>
        </w:tc>
        <w:tc>
          <w:tcPr>
            <w:tcW w:w="166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-1589405</wp:posOffset>
            </wp:positionV>
            <wp:extent cx="807720" cy="367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7720" cy="36766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-853440</wp:posOffset>
            </wp:positionV>
            <wp:extent cx="807720" cy="3549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7720" cy="354965"/>
                    </a:xfrm>
                    <a:prstGeom prst="rect">
                      <a:avLst/>
                    </a:prstGeom>
                    <a:noFill/>
                  </pic:spPr>
                </pic:pic>
              </a:graphicData>
            </a:graphic>
          </wp:anchor>
        </w:drawing>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282A32"/>
        </w:rPr>
        <w:t>The estimated net loss and prior service credit for the retiree health care plan that will be amortized from accumulated other comprehensive loss into net periodic benefit cost during 2017 is $0.1 and $0.8,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74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The health care cost trend rate is assumed to be 7.0% for 2017, decreasing gradually to an ultimate rate of 5.0% in 2022. Assumed health care cost trend rates could have a significant effect on the amounts reported. A one-percentage point change in the assumed health care cost trend rate would have the following effects: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68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tcPr>
          <w:p>
            <w:pPr>
              <w:jc w:val="right"/>
              <w:ind w:right="800"/>
              <w:spacing w:after="0"/>
              <w:rPr>
                <w:sz w:val="20"/>
                <w:szCs w:val="20"/>
                <w:color w:val="auto"/>
              </w:rPr>
            </w:pPr>
            <w:r>
              <w:rPr>
                <w:rFonts w:ascii="Arial" w:cs="Arial" w:eastAsia="Arial" w:hAnsi="Arial"/>
                <w:sz w:val="11"/>
                <w:szCs w:val="11"/>
                <w:color w:val="auto"/>
              </w:rPr>
              <w:t>1% Increase</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color w:val="auto"/>
              </w:rPr>
              <w:t>1% Decrease</w:t>
            </w:r>
          </w:p>
        </w:tc>
      </w:tr>
      <w:tr>
        <w:trPr>
          <w:trHeight w:val="321"/>
        </w:trPr>
        <w:tc>
          <w:tcPr>
            <w:tcW w:w="5680" w:type="dxa"/>
            <w:vAlign w:val="bottom"/>
          </w:tcPr>
          <w:p>
            <w:pPr>
              <w:ind w:left="20"/>
              <w:spacing w:after="0"/>
              <w:rPr>
                <w:sz w:val="20"/>
                <w:szCs w:val="20"/>
                <w:color w:val="auto"/>
              </w:rPr>
            </w:pPr>
            <w:r>
              <w:rPr>
                <w:rFonts w:ascii="Arial" w:cs="Arial" w:eastAsia="Arial" w:hAnsi="Arial"/>
                <w:sz w:val="12"/>
                <w:szCs w:val="12"/>
                <w:color w:val="auto"/>
              </w:rPr>
              <w:t>Effect on total of service and interest cost components</w:t>
            </w:r>
          </w:p>
        </w:tc>
        <w:tc>
          <w:tcPr>
            <w:tcW w:w="414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94"/>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Effect on benefit obligation</w:t>
            </w:r>
          </w:p>
        </w:tc>
        <w:tc>
          <w:tcPr>
            <w:tcW w:w="414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color w:val="auto"/>
              </w:rPr>
              <w:t>0.3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4F8ABE"/>
        </w:rPr>
        <w:t>Future Contributions and Payments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During 2017, we plan to contribute approximately $4.2 to our pension plans and to fund our retiree health care payments as incurred. Projected benefit payments from the plans as of December 31, 2016 were estimated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660" w:type="dxa"/>
            <w:vAlign w:val="bottom"/>
          </w:tcPr>
          <w:p>
            <w:pPr>
              <w:jc w:val="right"/>
              <w:ind w:right="39"/>
              <w:spacing w:after="0"/>
              <w:rPr>
                <w:sz w:val="20"/>
                <w:szCs w:val="20"/>
                <w:color w:val="auto"/>
              </w:rPr>
            </w:pPr>
            <w:r>
              <w:rPr>
                <w:rFonts w:ascii="Arial" w:cs="Arial" w:eastAsia="Arial" w:hAnsi="Arial"/>
                <w:sz w:val="11"/>
                <w:szCs w:val="11"/>
                <w:color w:val="auto"/>
              </w:rPr>
              <w:t>Retiree Health</w:t>
            </w:r>
          </w:p>
        </w:tc>
      </w:tr>
      <w:tr>
        <w:trPr>
          <w:trHeight w:val="13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w:t>
            </w:r>
          </w:p>
        </w:tc>
        <w:tc>
          <w:tcPr>
            <w:tcW w:w="4780" w:type="dxa"/>
            <w:vAlign w:val="bottom"/>
            <w:tcBorders>
              <w:bottom w:val="single" w:sz="8" w:color="auto"/>
            </w:tcBorders>
          </w:tcPr>
          <w:p>
            <w:pPr>
              <w:jc w:val="right"/>
              <w:ind w:right="779"/>
              <w:spacing w:after="0"/>
              <w:rPr>
                <w:sz w:val="20"/>
                <w:szCs w:val="20"/>
                <w:color w:val="auto"/>
              </w:rPr>
            </w:pPr>
            <w:r>
              <w:rPr>
                <w:rFonts w:ascii="Arial" w:cs="Arial" w:eastAsia="Arial" w:hAnsi="Arial"/>
                <w:sz w:val="11"/>
                <w:szCs w:val="11"/>
                <w:color w:val="auto"/>
              </w:rPr>
              <w:t>Pension Plans</w:t>
            </w: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Care Plan</w:t>
            </w:r>
          </w:p>
        </w:tc>
      </w:tr>
      <w:tr>
        <w:trPr>
          <w:trHeight w:val="321"/>
        </w:trPr>
        <w:tc>
          <w:tcPr>
            <w:tcW w:w="5020" w:type="dxa"/>
            <w:vAlign w:val="bottom"/>
          </w:tcPr>
          <w:p>
            <w:pPr>
              <w:ind w:left="20"/>
              <w:spacing w:after="0"/>
              <w:rPr>
                <w:sz w:val="20"/>
                <w:szCs w:val="20"/>
                <w:color w:val="auto"/>
              </w:rPr>
            </w:pPr>
            <w:r>
              <w:rPr>
                <w:rFonts w:ascii="Arial" w:cs="Arial" w:eastAsia="Arial" w:hAnsi="Arial"/>
                <w:sz w:val="12"/>
                <w:szCs w:val="12"/>
                <w:color w:val="auto"/>
              </w:rPr>
              <w:t>2017</w:t>
            </w:r>
          </w:p>
        </w:tc>
        <w:tc>
          <w:tcPr>
            <w:tcW w:w="4780" w:type="dxa"/>
            <w:vAlign w:val="bottom"/>
          </w:tcPr>
          <w:p>
            <w:pPr>
              <w:jc w:val="right"/>
              <w:ind w:right="779"/>
              <w:spacing w:after="0"/>
              <w:rPr>
                <w:sz w:val="20"/>
                <w:szCs w:val="20"/>
                <w:color w:val="auto"/>
              </w:rPr>
            </w:pPr>
            <w:r>
              <w:rPr>
                <w:rFonts w:ascii="Arial" w:cs="Arial" w:eastAsia="Arial" w:hAnsi="Arial"/>
                <w:sz w:val="12"/>
                <w:szCs w:val="12"/>
                <w:color w:val="auto"/>
              </w:rPr>
              <w:t>$10.1</w:t>
            </w:r>
          </w:p>
        </w:tc>
        <w:tc>
          <w:tcPr>
            <w:tcW w:w="1660" w:type="dxa"/>
            <w:vAlign w:val="bottom"/>
          </w:tcPr>
          <w:p>
            <w:pPr>
              <w:jc w:val="right"/>
              <w:ind w:right="39"/>
              <w:spacing w:after="0"/>
              <w:rPr>
                <w:sz w:val="20"/>
                <w:szCs w:val="20"/>
                <w:color w:val="auto"/>
              </w:rPr>
            </w:pPr>
            <w:r>
              <w:rPr>
                <w:rFonts w:ascii="Arial" w:cs="Arial" w:eastAsia="Arial" w:hAnsi="Arial"/>
                <w:sz w:val="12"/>
                <w:szCs w:val="12"/>
                <w:color w:val="auto"/>
              </w:rPr>
              <w:t>$1.3</w:t>
            </w:r>
          </w:p>
        </w:tc>
      </w:tr>
      <w:tr>
        <w:trPr>
          <w:trHeight w:val="186"/>
        </w:trPr>
        <w:tc>
          <w:tcPr>
            <w:tcW w:w="5020" w:type="dxa"/>
            <w:vAlign w:val="bottom"/>
          </w:tcPr>
          <w:p>
            <w:pPr>
              <w:ind w:left="20"/>
              <w:spacing w:after="0"/>
              <w:rPr>
                <w:sz w:val="20"/>
                <w:szCs w:val="20"/>
                <w:color w:val="auto"/>
              </w:rPr>
            </w:pPr>
            <w:r>
              <w:rPr>
                <w:rFonts w:ascii="Arial" w:cs="Arial" w:eastAsia="Arial" w:hAnsi="Arial"/>
                <w:sz w:val="12"/>
                <w:szCs w:val="12"/>
                <w:color w:val="auto"/>
              </w:rPr>
              <w:t>2018</w:t>
            </w:r>
          </w:p>
        </w:tc>
        <w:tc>
          <w:tcPr>
            <w:tcW w:w="4780" w:type="dxa"/>
            <w:vAlign w:val="bottom"/>
          </w:tcPr>
          <w:p>
            <w:pPr>
              <w:jc w:val="right"/>
              <w:ind w:right="779"/>
              <w:spacing w:after="0"/>
              <w:rPr>
                <w:sz w:val="20"/>
                <w:szCs w:val="20"/>
                <w:color w:val="auto"/>
              </w:rPr>
            </w:pPr>
            <w:r>
              <w:rPr>
                <w:rFonts w:ascii="Arial" w:cs="Arial" w:eastAsia="Arial" w:hAnsi="Arial"/>
                <w:sz w:val="12"/>
                <w:szCs w:val="12"/>
                <w:color w:val="auto"/>
              </w:rPr>
              <w:t>10.9</w:t>
            </w:r>
          </w:p>
        </w:tc>
        <w:tc>
          <w:tcPr>
            <w:tcW w:w="1660" w:type="dxa"/>
            <w:vAlign w:val="bottom"/>
          </w:tcPr>
          <w:p>
            <w:pPr>
              <w:jc w:val="right"/>
              <w:ind w:right="39"/>
              <w:spacing w:after="0"/>
              <w:rPr>
                <w:sz w:val="20"/>
                <w:szCs w:val="20"/>
                <w:color w:val="auto"/>
              </w:rPr>
            </w:pPr>
            <w:r>
              <w:rPr>
                <w:rFonts w:ascii="Arial" w:cs="Arial" w:eastAsia="Arial" w:hAnsi="Arial"/>
                <w:sz w:val="12"/>
                <w:szCs w:val="12"/>
                <w:color w:val="auto"/>
              </w:rPr>
              <w:t>1.2</w:t>
            </w:r>
          </w:p>
        </w:tc>
      </w:tr>
      <w:tr>
        <w:trPr>
          <w:trHeight w:val="186"/>
        </w:trPr>
        <w:tc>
          <w:tcPr>
            <w:tcW w:w="5020" w:type="dxa"/>
            <w:vAlign w:val="bottom"/>
          </w:tcPr>
          <w:p>
            <w:pPr>
              <w:ind w:left="20"/>
              <w:spacing w:after="0"/>
              <w:rPr>
                <w:sz w:val="20"/>
                <w:szCs w:val="20"/>
                <w:color w:val="auto"/>
              </w:rPr>
            </w:pPr>
            <w:r>
              <w:rPr>
                <w:rFonts w:ascii="Arial" w:cs="Arial" w:eastAsia="Arial" w:hAnsi="Arial"/>
                <w:sz w:val="12"/>
                <w:szCs w:val="12"/>
                <w:color w:val="auto"/>
              </w:rPr>
              <w:t>2019</w:t>
            </w:r>
          </w:p>
        </w:tc>
        <w:tc>
          <w:tcPr>
            <w:tcW w:w="4780" w:type="dxa"/>
            <w:vAlign w:val="bottom"/>
          </w:tcPr>
          <w:p>
            <w:pPr>
              <w:jc w:val="right"/>
              <w:ind w:right="779"/>
              <w:spacing w:after="0"/>
              <w:rPr>
                <w:sz w:val="20"/>
                <w:szCs w:val="20"/>
                <w:color w:val="auto"/>
              </w:rPr>
            </w:pPr>
            <w:r>
              <w:rPr>
                <w:rFonts w:ascii="Arial" w:cs="Arial" w:eastAsia="Arial" w:hAnsi="Arial"/>
                <w:sz w:val="12"/>
                <w:szCs w:val="12"/>
                <w:color w:val="auto"/>
              </w:rPr>
              <w:t>11.4</w:t>
            </w:r>
          </w:p>
        </w:tc>
        <w:tc>
          <w:tcPr>
            <w:tcW w:w="1660" w:type="dxa"/>
            <w:vAlign w:val="bottom"/>
          </w:tcPr>
          <w:p>
            <w:pPr>
              <w:jc w:val="right"/>
              <w:ind w:right="39"/>
              <w:spacing w:after="0"/>
              <w:rPr>
                <w:sz w:val="20"/>
                <w:szCs w:val="20"/>
                <w:color w:val="auto"/>
              </w:rPr>
            </w:pPr>
            <w:r>
              <w:rPr>
                <w:rFonts w:ascii="Arial" w:cs="Arial" w:eastAsia="Arial" w:hAnsi="Arial"/>
                <w:sz w:val="12"/>
                <w:szCs w:val="12"/>
                <w:color w:val="auto"/>
              </w:rPr>
              <w:t>1.2</w:t>
            </w:r>
          </w:p>
        </w:tc>
      </w:tr>
      <w:tr>
        <w:trPr>
          <w:trHeight w:val="186"/>
        </w:trPr>
        <w:tc>
          <w:tcPr>
            <w:tcW w:w="5020" w:type="dxa"/>
            <w:vAlign w:val="bottom"/>
          </w:tcPr>
          <w:p>
            <w:pPr>
              <w:ind w:left="20"/>
              <w:spacing w:after="0"/>
              <w:rPr>
                <w:sz w:val="20"/>
                <w:szCs w:val="20"/>
                <w:color w:val="auto"/>
              </w:rPr>
            </w:pPr>
            <w:r>
              <w:rPr>
                <w:rFonts w:ascii="Arial" w:cs="Arial" w:eastAsia="Arial" w:hAnsi="Arial"/>
                <w:sz w:val="12"/>
                <w:szCs w:val="12"/>
                <w:color w:val="auto"/>
              </w:rPr>
              <w:t>2020</w:t>
            </w:r>
          </w:p>
        </w:tc>
        <w:tc>
          <w:tcPr>
            <w:tcW w:w="4780" w:type="dxa"/>
            <w:vAlign w:val="bottom"/>
          </w:tcPr>
          <w:p>
            <w:pPr>
              <w:jc w:val="right"/>
              <w:ind w:right="779"/>
              <w:spacing w:after="0"/>
              <w:rPr>
                <w:sz w:val="20"/>
                <w:szCs w:val="20"/>
                <w:color w:val="auto"/>
              </w:rPr>
            </w:pPr>
            <w:r>
              <w:rPr>
                <w:rFonts w:ascii="Arial" w:cs="Arial" w:eastAsia="Arial" w:hAnsi="Arial"/>
                <w:sz w:val="12"/>
                <w:szCs w:val="12"/>
                <w:color w:val="auto"/>
              </w:rPr>
              <w:t>12.7</w:t>
            </w:r>
          </w:p>
        </w:tc>
        <w:tc>
          <w:tcPr>
            <w:tcW w:w="1660" w:type="dxa"/>
            <w:vAlign w:val="bottom"/>
          </w:tcPr>
          <w:p>
            <w:pPr>
              <w:jc w:val="right"/>
              <w:ind w:right="39"/>
              <w:spacing w:after="0"/>
              <w:rPr>
                <w:sz w:val="20"/>
                <w:szCs w:val="20"/>
                <w:color w:val="auto"/>
              </w:rPr>
            </w:pPr>
            <w:r>
              <w:rPr>
                <w:rFonts w:ascii="Arial" w:cs="Arial" w:eastAsia="Arial" w:hAnsi="Arial"/>
                <w:sz w:val="12"/>
                <w:szCs w:val="12"/>
                <w:color w:val="auto"/>
              </w:rPr>
              <w:t>1.1</w:t>
            </w:r>
          </w:p>
        </w:tc>
      </w:tr>
      <w:tr>
        <w:trPr>
          <w:trHeight w:val="186"/>
        </w:trPr>
        <w:tc>
          <w:tcPr>
            <w:tcW w:w="5020" w:type="dxa"/>
            <w:vAlign w:val="bottom"/>
          </w:tcPr>
          <w:p>
            <w:pPr>
              <w:ind w:left="20"/>
              <w:spacing w:after="0"/>
              <w:rPr>
                <w:sz w:val="20"/>
                <w:szCs w:val="20"/>
                <w:color w:val="auto"/>
              </w:rPr>
            </w:pPr>
            <w:r>
              <w:rPr>
                <w:rFonts w:ascii="Arial" w:cs="Arial" w:eastAsia="Arial" w:hAnsi="Arial"/>
                <w:sz w:val="12"/>
                <w:szCs w:val="12"/>
                <w:color w:val="auto"/>
              </w:rPr>
              <w:t>2021</w:t>
            </w:r>
          </w:p>
        </w:tc>
        <w:tc>
          <w:tcPr>
            <w:tcW w:w="4780" w:type="dxa"/>
            <w:vAlign w:val="bottom"/>
          </w:tcPr>
          <w:p>
            <w:pPr>
              <w:jc w:val="right"/>
              <w:ind w:right="779"/>
              <w:spacing w:after="0"/>
              <w:rPr>
                <w:sz w:val="20"/>
                <w:szCs w:val="20"/>
                <w:color w:val="auto"/>
              </w:rPr>
            </w:pPr>
            <w:r>
              <w:rPr>
                <w:rFonts w:ascii="Arial" w:cs="Arial" w:eastAsia="Arial" w:hAnsi="Arial"/>
                <w:sz w:val="12"/>
                <w:szCs w:val="12"/>
                <w:color w:val="auto"/>
              </w:rPr>
              <w:t>13.8</w:t>
            </w:r>
          </w:p>
        </w:tc>
        <w:tc>
          <w:tcPr>
            <w:tcW w:w="1660" w:type="dxa"/>
            <w:vAlign w:val="bottom"/>
          </w:tcPr>
          <w:p>
            <w:pPr>
              <w:jc w:val="right"/>
              <w:ind w:right="39"/>
              <w:spacing w:after="0"/>
              <w:rPr>
                <w:sz w:val="20"/>
                <w:szCs w:val="20"/>
                <w:color w:val="auto"/>
              </w:rPr>
            </w:pPr>
            <w:r>
              <w:rPr>
                <w:rFonts w:ascii="Arial" w:cs="Arial" w:eastAsia="Arial" w:hAnsi="Arial"/>
                <w:sz w:val="12"/>
                <w:szCs w:val="12"/>
                <w:color w:val="auto"/>
              </w:rPr>
              <w:t>1.1</w:t>
            </w:r>
          </w:p>
        </w:tc>
      </w:tr>
      <w:tr>
        <w:trPr>
          <w:trHeight w:val="194"/>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2022–2026</w:t>
            </w:r>
          </w:p>
        </w:tc>
        <w:tc>
          <w:tcPr>
            <w:tcW w:w="4780" w:type="dxa"/>
            <w:vAlign w:val="bottom"/>
            <w:tcBorders>
              <w:bottom w:val="single" w:sz="8" w:color="auto"/>
            </w:tcBorders>
          </w:tcPr>
          <w:p>
            <w:pPr>
              <w:jc w:val="right"/>
              <w:ind w:right="779"/>
              <w:spacing w:after="0"/>
              <w:rPr>
                <w:sz w:val="20"/>
                <w:szCs w:val="20"/>
                <w:color w:val="auto"/>
              </w:rPr>
            </w:pPr>
            <w:r>
              <w:rPr>
                <w:rFonts w:ascii="Arial" w:cs="Arial" w:eastAsia="Arial" w:hAnsi="Arial"/>
                <w:sz w:val="12"/>
                <w:szCs w:val="12"/>
                <w:color w:val="auto"/>
              </w:rPr>
              <w:t>89.0</w:t>
            </w: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5.2</w:t>
            </w:r>
          </w:p>
        </w:tc>
      </w:tr>
      <w:tr>
        <w:trPr>
          <w:trHeight w:val="332"/>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projected benefit payments</w:t>
            </w:r>
          </w:p>
        </w:tc>
        <w:tc>
          <w:tcPr>
            <w:tcW w:w="4780" w:type="dxa"/>
            <w:vAlign w:val="bottom"/>
            <w:tcBorders>
              <w:bottom w:val="single" w:sz="8" w:color="auto"/>
            </w:tcBorders>
          </w:tcPr>
          <w:p>
            <w:pPr>
              <w:jc w:val="right"/>
              <w:ind w:right="779"/>
              <w:spacing w:after="0"/>
              <w:rPr>
                <w:sz w:val="20"/>
                <w:szCs w:val="20"/>
                <w:color w:val="auto"/>
              </w:rPr>
            </w:pPr>
            <w:r>
              <w:rPr>
                <w:rFonts w:ascii="Arial" w:cs="Arial" w:eastAsia="Arial" w:hAnsi="Arial"/>
                <w:sz w:val="12"/>
                <w:szCs w:val="12"/>
                <w:color w:val="auto"/>
              </w:rPr>
              <w:t>$147.9</w:t>
            </w: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$11.1</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2"/>
          <w:szCs w:val="12"/>
          <w:color w:val="4F8ABE"/>
        </w:rPr>
        <w:t>Defined Contribution Plans and Deferred Compensation Plans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have defined contribution plans covering substantially all permanent United States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$21.4, $19.6 and $19.8 for the years ended December 31, 2016, 2015 and 2014, respectively.</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 also have deferred compensation plans in the United States. One of the plans had an asset and liability of $85.7 and $82.9 as of December 31, 2016 and 2015, respectively, with the remaining plans holding immaterial amounts of assets and liabilities.</w:t>
      </w: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color w:val="2989B9"/>
        </w:rPr>
        <w:t>Note 09. Accumulated Other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282A32"/>
        </w:rPr>
        <w:t>The components of accumulated other comprehensive loss, net of tax,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380" w:type="dxa"/>
            <w:vAlign w:val="bottom"/>
            <w:tcBorders>
              <w:bottom w:val="single" w:sz="8" w:color="auto"/>
            </w:tcBorders>
            <w:shd w:val="clear" w:color="auto" w:fill="E1F4FD"/>
          </w:tcPr>
          <w:p>
            <w:pPr>
              <w:spacing w:after="0"/>
              <w:rPr>
                <w:sz w:val="13"/>
                <w:szCs w:val="13"/>
                <w:color w:val="auto"/>
              </w:rPr>
            </w:pPr>
          </w:p>
        </w:tc>
        <w:tc>
          <w:tcPr>
            <w:tcW w:w="760" w:type="dxa"/>
            <w:vAlign w:val="bottom"/>
            <w:tcBorders>
              <w:bottom w:val="single" w:sz="8" w:color="auto"/>
            </w:tcBorders>
            <w:shd w:val="clear" w:color="auto" w:fill="E1F4FD"/>
          </w:tcPr>
          <w:p>
            <w:pPr>
              <w:jc w:val="right"/>
              <w:ind w:right="39"/>
              <w:spacing w:after="0"/>
              <w:rPr>
                <w:sz w:val="20"/>
                <w:szCs w:val="20"/>
                <w:color w:val="auto"/>
              </w:rPr>
            </w:pPr>
            <w:r>
              <w:rPr>
                <w:rFonts w:ascii="Arial" w:cs="Arial" w:eastAsia="Arial" w:hAnsi="Arial"/>
                <w:sz w:val="11"/>
                <w:szCs w:val="11"/>
                <w:color w:val="4F8ABE"/>
              </w:rPr>
              <w:t>2016</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2015</w:t>
            </w:r>
          </w:p>
        </w:tc>
      </w:tr>
      <w:tr>
        <w:trPr>
          <w:trHeight w:val="181"/>
        </w:trPr>
        <w:tc>
          <w:tcPr>
            <w:tcW w:w="9180" w:type="dxa"/>
            <w:vAlign w:val="bottom"/>
          </w:tcPr>
          <w:p>
            <w:pPr>
              <w:ind w:left="20"/>
              <w:spacing w:after="0"/>
              <w:rPr>
                <w:sz w:val="20"/>
                <w:szCs w:val="20"/>
                <w:color w:val="auto"/>
              </w:rPr>
            </w:pPr>
            <w:r>
              <w:rPr>
                <w:rFonts w:ascii="Arial" w:cs="Arial" w:eastAsia="Arial" w:hAnsi="Arial"/>
                <w:sz w:val="12"/>
                <w:szCs w:val="12"/>
                <w:color w:val="auto"/>
              </w:rPr>
              <w:t>Foreign currency translation</w:t>
            </w:r>
          </w:p>
        </w:tc>
        <w:tc>
          <w:tcPr>
            <w:tcW w:w="380" w:type="dxa"/>
            <w:vAlign w:val="bottom"/>
            <w:shd w:val="clear" w:color="auto" w:fill="E1F4FD"/>
          </w:tcPr>
          <w:p>
            <w:pPr>
              <w:jc w:val="right"/>
              <w:ind w:right="238"/>
              <w:spacing w:after="0"/>
              <w:rPr>
                <w:sz w:val="20"/>
                <w:szCs w:val="20"/>
                <w:color w:val="auto"/>
              </w:rPr>
            </w:pPr>
            <w:r>
              <w:rPr>
                <w:rFonts w:ascii="Arial" w:cs="Arial" w:eastAsia="Arial" w:hAnsi="Arial"/>
                <w:sz w:val="12"/>
                <w:szCs w:val="12"/>
                <w:color w:val="4F8ABE"/>
                <w:w w:val="89"/>
              </w:rPr>
              <w:t>$</w:t>
            </w:r>
          </w:p>
        </w:tc>
        <w:tc>
          <w:tcPr>
            <w:tcW w:w="760" w:type="dxa"/>
            <w:vAlign w:val="bottom"/>
            <w:shd w:val="clear" w:color="auto" w:fill="E1F4FD"/>
          </w:tcPr>
          <w:p>
            <w:pPr>
              <w:jc w:val="right"/>
              <w:spacing w:after="0"/>
              <w:rPr>
                <w:sz w:val="20"/>
                <w:szCs w:val="20"/>
                <w:color w:val="auto"/>
              </w:rPr>
            </w:pPr>
            <w:r>
              <w:rPr>
                <w:rFonts w:ascii="Arial" w:cs="Arial" w:eastAsia="Arial" w:hAnsi="Arial"/>
                <w:sz w:val="12"/>
                <w:szCs w:val="12"/>
                <w:color w:val="4F8ABE"/>
              </w:rPr>
              <w:t>(289.1)</w:t>
            </w:r>
          </w:p>
        </w:tc>
        <w:tc>
          <w:tcPr>
            <w:tcW w:w="3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(209.2)</w:t>
            </w:r>
          </w:p>
        </w:tc>
      </w:tr>
      <w:tr>
        <w:trPr>
          <w:trHeight w:val="170"/>
        </w:trPr>
        <w:tc>
          <w:tcPr>
            <w:tcW w:w="9180" w:type="dxa"/>
            <w:vAlign w:val="bottom"/>
          </w:tcPr>
          <w:p>
            <w:pPr>
              <w:ind w:left="20"/>
              <w:spacing w:after="0"/>
              <w:rPr>
                <w:sz w:val="20"/>
                <w:szCs w:val="20"/>
                <w:color w:val="auto"/>
              </w:rPr>
            </w:pPr>
            <w:r>
              <w:rPr>
                <w:rFonts w:ascii="Arial" w:cs="Arial" w:eastAsia="Arial" w:hAnsi="Arial"/>
                <w:sz w:val="12"/>
                <w:szCs w:val="12"/>
                <w:color w:val="auto"/>
              </w:rPr>
              <w:t>Translation gain on net investment hedge, net of income taxes of $11.2 and $2.8, respectively</w:t>
            </w:r>
          </w:p>
        </w:tc>
        <w:tc>
          <w:tcPr>
            <w:tcW w:w="380" w:type="dxa"/>
            <w:vAlign w:val="bottom"/>
          </w:tcPr>
          <w:p>
            <w:pPr>
              <w:spacing w:after="0"/>
              <w:rPr>
                <w:sz w:val="14"/>
                <w:szCs w:val="14"/>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4F8ABE"/>
              </w:rPr>
              <w:t>24.8</w:t>
            </w:r>
          </w:p>
        </w:tc>
        <w:tc>
          <w:tcPr>
            <w:tcW w:w="380" w:type="dxa"/>
            <w:vAlign w:val="bottom"/>
          </w:tcPr>
          <w:p>
            <w:pPr>
              <w:spacing w:after="0"/>
              <w:rPr>
                <w:sz w:val="14"/>
                <w:szCs w:val="14"/>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10.0</w:t>
            </w:r>
          </w:p>
        </w:tc>
      </w:tr>
      <w:tr>
        <w:trPr>
          <w:trHeight w:val="186"/>
        </w:trPr>
        <w:tc>
          <w:tcPr>
            <w:tcW w:w="9180" w:type="dxa"/>
            <w:vAlign w:val="bottom"/>
          </w:tcPr>
          <w:p>
            <w:pPr>
              <w:ind w:left="20"/>
              <w:spacing w:after="0"/>
              <w:rPr>
                <w:sz w:val="20"/>
                <w:szCs w:val="20"/>
                <w:color w:val="auto"/>
              </w:rPr>
            </w:pPr>
            <w:r>
              <w:rPr>
                <w:rFonts w:ascii="Arial" w:cs="Arial" w:eastAsia="Arial" w:hAnsi="Arial"/>
                <w:sz w:val="12"/>
                <w:szCs w:val="12"/>
                <w:color w:val="auto"/>
              </w:rPr>
              <w:t>Translation loss on long-term intercompany loans</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4F8ABE"/>
              </w:rPr>
              <w:t>(133.7)</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(75.5)</w:t>
            </w:r>
          </w:p>
        </w:tc>
      </w:tr>
      <w:tr>
        <w:trPr>
          <w:trHeight w:val="186"/>
        </w:trPr>
        <w:tc>
          <w:tcPr>
            <w:tcW w:w="9180" w:type="dxa"/>
            <w:vAlign w:val="bottom"/>
          </w:tcPr>
          <w:p>
            <w:pPr>
              <w:ind w:left="20"/>
              <w:spacing w:after="0"/>
              <w:rPr>
                <w:sz w:val="20"/>
                <w:szCs w:val="20"/>
                <w:color w:val="auto"/>
              </w:rPr>
            </w:pPr>
            <w:r>
              <w:rPr>
                <w:rFonts w:ascii="Arial" w:cs="Arial" w:eastAsia="Arial" w:hAnsi="Arial"/>
                <w:sz w:val="12"/>
                <w:szCs w:val="12"/>
                <w:color w:val="auto"/>
              </w:rPr>
              <w:t>Unrealized gain on investments, net of income taxes of $4.2 and $3.8, respectively</w:t>
            </w:r>
          </w:p>
        </w:tc>
        <w:tc>
          <w:tcPr>
            <w:tcW w:w="38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4F8ABE"/>
              </w:rPr>
              <w:t>18.6</w:t>
            </w:r>
          </w:p>
        </w:tc>
        <w:tc>
          <w:tcPr>
            <w:tcW w:w="38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17.0</w:t>
            </w:r>
          </w:p>
        </w:tc>
      </w:tr>
      <w:tr>
        <w:trPr>
          <w:trHeight w:val="186"/>
        </w:trPr>
        <w:tc>
          <w:tcPr>
            <w:tcW w:w="9180" w:type="dxa"/>
            <w:vAlign w:val="bottom"/>
          </w:tcPr>
          <w:p>
            <w:pPr>
              <w:ind w:left="20"/>
              <w:spacing w:after="0"/>
              <w:rPr>
                <w:sz w:val="20"/>
                <w:szCs w:val="20"/>
                <w:color w:val="auto"/>
              </w:rPr>
            </w:pPr>
            <w:r>
              <w:rPr>
                <w:rFonts w:ascii="Arial" w:cs="Arial" w:eastAsia="Arial" w:hAnsi="Arial"/>
                <w:sz w:val="12"/>
                <w:szCs w:val="12"/>
                <w:color w:val="auto"/>
              </w:rPr>
              <w:t>Defined benefit pension plans, net of income taxes of $(27.8) and $(22.3), respectively</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4F8ABE"/>
              </w:rPr>
              <w:t>(50.4)</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(32.6)</w:t>
            </w:r>
          </w:p>
        </w:tc>
      </w:tr>
      <w:tr>
        <w:trPr>
          <w:trHeight w:val="194"/>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Retiree health care plan, net of income taxes of $2.1 and $2.4 in 2016 and 2015, respectively</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4F8ABE"/>
              </w:rPr>
              <w:t>3.7</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4.3</w:t>
            </w:r>
          </w:p>
        </w:tc>
      </w:tr>
      <w:tr>
        <w:trPr>
          <w:trHeight w:val="177"/>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Accumulated other comprehensive loss</w:t>
            </w:r>
          </w:p>
        </w:tc>
        <w:tc>
          <w:tcPr>
            <w:tcW w:w="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4F8ABE"/>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4F8ABE"/>
              </w:rPr>
              <w:t>(426.1)</w:t>
            </w:r>
          </w:p>
        </w:tc>
        <w:tc>
          <w:tcPr>
            <w:tcW w:w="3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(286.0)</w:t>
            </w:r>
          </w:p>
        </w:tc>
      </w:tr>
      <w:tr>
        <w:trPr>
          <w:trHeight w:val="91"/>
        </w:trPr>
        <w:tc>
          <w:tcPr>
            <w:tcW w:w="9180" w:type="dxa"/>
            <w:vAlign w:val="bottom"/>
          </w:tcPr>
          <w:p>
            <w:pPr>
              <w:spacing w:after="0"/>
              <w:rPr>
                <w:sz w:val="7"/>
                <w:szCs w:val="7"/>
                <w:color w:val="auto"/>
              </w:rPr>
            </w:pPr>
          </w:p>
        </w:tc>
        <w:tc>
          <w:tcPr>
            <w:tcW w:w="380" w:type="dxa"/>
            <w:vAlign w:val="bottom"/>
            <w:shd w:val="clear" w:color="auto" w:fill="2989B9"/>
          </w:tcPr>
          <w:p>
            <w:pPr>
              <w:spacing w:after="0"/>
              <w:rPr>
                <w:sz w:val="7"/>
                <w:szCs w:val="7"/>
                <w:color w:val="auto"/>
              </w:rPr>
            </w:pPr>
          </w:p>
        </w:tc>
        <w:tc>
          <w:tcPr>
            <w:tcW w:w="760" w:type="dxa"/>
            <w:vAlign w:val="bottom"/>
            <w:shd w:val="clear" w:color="auto" w:fill="2989B9"/>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5828665</wp:posOffset>
            </wp:positionH>
            <wp:positionV relativeFrom="paragraph">
              <wp:posOffset>-906145</wp:posOffset>
            </wp:positionV>
            <wp:extent cx="728980" cy="840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75</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2989B9"/>
        </w:rPr>
        <w:t>Note 10. Leases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We lease property and equipment primarily under operating leases. Renewal options exist for substantially all leases. Future minimum payments, by year and in the aggregate, under noncancelable operating leases with any remaining terms consisted of the following as of December 31, 2016:</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1"/>
          <w:szCs w:val="1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27837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380" w:type="dxa"/>
            <w:vAlign w:val="bottom"/>
          </w:tcPr>
          <w:p>
            <w:pPr>
              <w:ind w:left="20"/>
              <w:spacing w:after="0"/>
              <w:rPr>
                <w:sz w:val="20"/>
                <w:szCs w:val="20"/>
                <w:color w:val="auto"/>
              </w:rPr>
            </w:pPr>
            <w:r>
              <w:rPr>
                <w:rFonts w:ascii="Arial" w:cs="Arial" w:eastAsia="Arial" w:hAnsi="Arial"/>
                <w:sz w:val="12"/>
                <w:szCs w:val="12"/>
                <w:color w:val="auto"/>
              </w:rPr>
              <w:t>2017</w:t>
            </w:r>
          </w:p>
        </w:tc>
        <w:tc>
          <w:tcPr>
            <w:tcW w:w="2080" w:type="dxa"/>
            <w:vAlign w:val="bottom"/>
          </w:tcPr>
          <w:p>
            <w:pPr>
              <w:jc w:val="right"/>
              <w:ind w:right="38"/>
              <w:spacing w:after="0"/>
              <w:rPr>
                <w:sz w:val="20"/>
                <w:szCs w:val="20"/>
                <w:color w:val="auto"/>
              </w:rPr>
            </w:pPr>
            <w:r>
              <w:rPr>
                <w:rFonts w:ascii="Arial" w:cs="Arial" w:eastAsia="Arial" w:hAnsi="Arial"/>
                <w:sz w:val="12"/>
                <w:szCs w:val="12"/>
                <w:color w:val="auto"/>
              </w:rPr>
              <w:t>$156.4</w:t>
            </w:r>
          </w:p>
        </w:tc>
      </w:tr>
      <w:tr>
        <w:trPr>
          <w:trHeight w:val="186"/>
        </w:trPr>
        <w:tc>
          <w:tcPr>
            <w:tcW w:w="9380" w:type="dxa"/>
            <w:vAlign w:val="bottom"/>
          </w:tcPr>
          <w:p>
            <w:pPr>
              <w:ind w:left="20"/>
              <w:spacing w:after="0"/>
              <w:rPr>
                <w:sz w:val="20"/>
                <w:szCs w:val="20"/>
                <w:color w:val="auto"/>
              </w:rPr>
            </w:pPr>
            <w:r>
              <w:rPr>
                <w:rFonts w:ascii="Arial" w:cs="Arial" w:eastAsia="Arial" w:hAnsi="Arial"/>
                <w:sz w:val="12"/>
                <w:szCs w:val="12"/>
                <w:color w:val="auto"/>
              </w:rPr>
              <w:t>2018</w:t>
            </w:r>
          </w:p>
        </w:tc>
        <w:tc>
          <w:tcPr>
            <w:tcW w:w="2080" w:type="dxa"/>
            <w:vAlign w:val="bottom"/>
          </w:tcPr>
          <w:p>
            <w:pPr>
              <w:jc w:val="right"/>
              <w:ind w:right="38"/>
              <w:spacing w:after="0"/>
              <w:rPr>
                <w:sz w:val="20"/>
                <w:szCs w:val="20"/>
                <w:color w:val="auto"/>
              </w:rPr>
            </w:pPr>
            <w:r>
              <w:rPr>
                <w:rFonts w:ascii="Arial" w:cs="Arial" w:eastAsia="Arial" w:hAnsi="Arial"/>
                <w:sz w:val="12"/>
                <w:szCs w:val="12"/>
                <w:color w:val="auto"/>
              </w:rPr>
              <w:t>119.5</w:t>
            </w:r>
          </w:p>
        </w:tc>
      </w:tr>
      <w:tr>
        <w:trPr>
          <w:trHeight w:val="186"/>
        </w:trPr>
        <w:tc>
          <w:tcPr>
            <w:tcW w:w="9380" w:type="dxa"/>
            <w:vAlign w:val="bottom"/>
          </w:tcPr>
          <w:p>
            <w:pPr>
              <w:ind w:left="20"/>
              <w:spacing w:after="0"/>
              <w:rPr>
                <w:sz w:val="20"/>
                <w:szCs w:val="20"/>
                <w:color w:val="auto"/>
              </w:rPr>
            </w:pPr>
            <w:r>
              <w:rPr>
                <w:rFonts w:ascii="Arial" w:cs="Arial" w:eastAsia="Arial" w:hAnsi="Arial"/>
                <w:sz w:val="12"/>
                <w:szCs w:val="12"/>
                <w:color w:val="auto"/>
              </w:rPr>
              <w:t>2019</w:t>
            </w:r>
          </w:p>
        </w:tc>
        <w:tc>
          <w:tcPr>
            <w:tcW w:w="2080" w:type="dxa"/>
            <w:vAlign w:val="bottom"/>
          </w:tcPr>
          <w:p>
            <w:pPr>
              <w:jc w:val="right"/>
              <w:ind w:right="38"/>
              <w:spacing w:after="0"/>
              <w:rPr>
                <w:sz w:val="20"/>
                <w:szCs w:val="20"/>
                <w:color w:val="auto"/>
              </w:rPr>
            </w:pPr>
            <w:r>
              <w:rPr>
                <w:rFonts w:ascii="Arial" w:cs="Arial" w:eastAsia="Arial" w:hAnsi="Arial"/>
                <w:sz w:val="12"/>
                <w:szCs w:val="12"/>
                <w:color w:val="auto"/>
              </w:rPr>
              <w:t>90.1</w:t>
            </w:r>
          </w:p>
        </w:tc>
      </w:tr>
      <w:tr>
        <w:trPr>
          <w:trHeight w:val="186"/>
        </w:trPr>
        <w:tc>
          <w:tcPr>
            <w:tcW w:w="9380" w:type="dxa"/>
            <w:vAlign w:val="bottom"/>
          </w:tcPr>
          <w:p>
            <w:pPr>
              <w:ind w:left="20"/>
              <w:spacing w:after="0"/>
              <w:rPr>
                <w:sz w:val="20"/>
                <w:szCs w:val="20"/>
                <w:color w:val="auto"/>
              </w:rPr>
            </w:pPr>
            <w:r>
              <w:rPr>
                <w:rFonts w:ascii="Arial" w:cs="Arial" w:eastAsia="Arial" w:hAnsi="Arial"/>
                <w:sz w:val="12"/>
                <w:szCs w:val="12"/>
                <w:color w:val="auto"/>
              </w:rPr>
              <w:t>2020</w:t>
            </w:r>
          </w:p>
        </w:tc>
        <w:tc>
          <w:tcPr>
            <w:tcW w:w="2080" w:type="dxa"/>
            <w:vAlign w:val="bottom"/>
          </w:tcPr>
          <w:p>
            <w:pPr>
              <w:jc w:val="right"/>
              <w:ind w:right="38"/>
              <w:spacing w:after="0"/>
              <w:rPr>
                <w:sz w:val="20"/>
                <w:szCs w:val="20"/>
                <w:color w:val="auto"/>
              </w:rPr>
            </w:pPr>
            <w:r>
              <w:rPr>
                <w:rFonts w:ascii="Arial" w:cs="Arial" w:eastAsia="Arial" w:hAnsi="Arial"/>
                <w:sz w:val="12"/>
                <w:szCs w:val="12"/>
                <w:color w:val="auto"/>
              </w:rPr>
              <w:t>69.4</w:t>
            </w:r>
          </w:p>
        </w:tc>
      </w:tr>
      <w:tr>
        <w:trPr>
          <w:trHeight w:val="186"/>
        </w:trPr>
        <w:tc>
          <w:tcPr>
            <w:tcW w:w="9380" w:type="dxa"/>
            <w:vAlign w:val="bottom"/>
          </w:tcPr>
          <w:p>
            <w:pPr>
              <w:ind w:left="20"/>
              <w:spacing w:after="0"/>
              <w:rPr>
                <w:sz w:val="20"/>
                <w:szCs w:val="20"/>
                <w:color w:val="auto"/>
              </w:rPr>
            </w:pPr>
            <w:r>
              <w:rPr>
                <w:rFonts w:ascii="Arial" w:cs="Arial" w:eastAsia="Arial" w:hAnsi="Arial"/>
                <w:sz w:val="12"/>
                <w:szCs w:val="12"/>
                <w:color w:val="auto"/>
              </w:rPr>
              <w:t>2021</w:t>
            </w:r>
          </w:p>
        </w:tc>
        <w:tc>
          <w:tcPr>
            <w:tcW w:w="2080" w:type="dxa"/>
            <w:vAlign w:val="bottom"/>
          </w:tcPr>
          <w:p>
            <w:pPr>
              <w:jc w:val="right"/>
              <w:ind w:right="38"/>
              <w:spacing w:after="0"/>
              <w:rPr>
                <w:sz w:val="20"/>
                <w:szCs w:val="20"/>
                <w:color w:val="auto"/>
              </w:rPr>
            </w:pPr>
            <w:r>
              <w:rPr>
                <w:rFonts w:ascii="Arial" w:cs="Arial" w:eastAsia="Arial" w:hAnsi="Arial"/>
                <w:sz w:val="12"/>
                <w:szCs w:val="12"/>
                <w:color w:val="auto"/>
              </w:rPr>
              <w:t>56.2</w:t>
            </w:r>
          </w:p>
        </w:tc>
      </w:tr>
      <w:tr>
        <w:trPr>
          <w:trHeight w:val="194"/>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Thereafter</w:t>
            </w:r>
          </w:p>
        </w:tc>
        <w:tc>
          <w:tcPr>
            <w:tcW w:w="2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100.7</w:t>
            </w:r>
          </w:p>
        </w:tc>
      </w:tr>
      <w:tr>
        <w:trPr>
          <w:trHeight w:val="197"/>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minimum lease payments</w:t>
            </w:r>
          </w:p>
        </w:tc>
        <w:tc>
          <w:tcPr>
            <w:tcW w:w="2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$592.3</w:t>
            </w:r>
          </w:p>
        </w:tc>
      </w:tr>
      <w:tr>
        <w:trPr>
          <w:trHeight w:val="272"/>
        </w:trPr>
        <w:tc>
          <w:tcPr>
            <w:tcW w:w="9380" w:type="dxa"/>
            <w:vAlign w:val="bottom"/>
          </w:tcPr>
          <w:p>
            <w:pPr>
              <w:spacing w:after="0"/>
              <w:rPr>
                <w:sz w:val="20"/>
                <w:szCs w:val="20"/>
                <w:color w:val="auto"/>
              </w:rPr>
            </w:pPr>
            <w:r>
              <w:rPr>
                <w:rFonts w:ascii="Arial" w:cs="Arial" w:eastAsia="Arial" w:hAnsi="Arial"/>
                <w:sz w:val="12"/>
                <w:szCs w:val="12"/>
                <w:color w:val="282A32"/>
              </w:rPr>
              <w:t>Rental expense for all operating leases was $166.5, $174.9 and $197.0 for the years ended December 31, 2016, 2015 and 2014, respectively.</w:t>
            </w:r>
          </w:p>
        </w:tc>
        <w:tc>
          <w:tcPr>
            <w:tcW w:w="2080" w:type="dxa"/>
            <w:vAlign w:val="bottom"/>
          </w:tcPr>
          <w:p>
            <w:pPr>
              <w:spacing w:after="0"/>
              <w:rPr>
                <w:sz w:val="23"/>
                <w:szCs w:val="23"/>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2989B9"/>
        </w:rPr>
        <w:t>Note 11. Interest and Other Expenses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282A32"/>
        </w:rPr>
        <w:t>Interest and other expenses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1500" w:type="dxa"/>
            <w:vAlign w:val="bottom"/>
            <w:tcBorders>
              <w:bottom w:val="single" w:sz="8" w:color="auto"/>
            </w:tcBorders>
            <w:shd w:val="clear" w:color="auto" w:fill="E1F4FD"/>
          </w:tcPr>
          <w:p>
            <w:pPr>
              <w:jc w:val="right"/>
              <w:ind w:right="59"/>
              <w:spacing w:after="0"/>
              <w:rPr>
                <w:sz w:val="20"/>
                <w:szCs w:val="20"/>
                <w:color w:val="auto"/>
              </w:rPr>
            </w:pPr>
            <w:r>
              <w:rPr>
                <w:rFonts w:ascii="Arial" w:cs="Arial" w:eastAsia="Arial" w:hAnsi="Arial"/>
                <w:sz w:val="11"/>
                <w:szCs w:val="11"/>
                <w:color w:val="4F8ABE"/>
              </w:rPr>
              <w:t>2016</w:t>
            </w:r>
          </w:p>
        </w:tc>
        <w:tc>
          <w:tcPr>
            <w:tcW w:w="19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color w:val="auto"/>
              </w:rPr>
              <w:t>2015</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2014</w:t>
            </w:r>
          </w:p>
        </w:tc>
      </w:tr>
      <w:tr>
        <w:trPr>
          <w:trHeight w:val="202"/>
        </w:trPr>
        <w:tc>
          <w:tcPr>
            <w:tcW w:w="700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1500" w:type="dxa"/>
            <w:vAlign w:val="bottom"/>
            <w:shd w:val="clear" w:color="auto" w:fill="E1F4FD"/>
          </w:tcPr>
          <w:p>
            <w:pPr>
              <w:jc w:val="right"/>
              <w:ind w:right="59"/>
              <w:spacing w:after="0"/>
              <w:rPr>
                <w:sz w:val="20"/>
                <w:szCs w:val="20"/>
                <w:color w:val="auto"/>
              </w:rPr>
            </w:pPr>
            <w:r>
              <w:rPr>
                <w:rFonts w:ascii="Arial" w:cs="Arial" w:eastAsia="Arial" w:hAnsi="Arial"/>
                <w:sz w:val="12"/>
                <w:szCs w:val="12"/>
                <w:color w:val="4F8ABE"/>
              </w:rPr>
              <w:t>$37.9</w:t>
            </w:r>
          </w:p>
        </w:tc>
        <w:tc>
          <w:tcPr>
            <w:tcW w:w="1980" w:type="dxa"/>
            <w:vAlign w:val="bottom"/>
          </w:tcPr>
          <w:p>
            <w:pPr>
              <w:jc w:val="right"/>
              <w:ind w:right="539"/>
              <w:spacing w:after="0"/>
              <w:rPr>
                <w:sz w:val="20"/>
                <w:szCs w:val="20"/>
                <w:color w:val="auto"/>
              </w:rPr>
            </w:pPr>
            <w:r>
              <w:rPr>
                <w:rFonts w:ascii="Arial" w:cs="Arial" w:eastAsia="Arial" w:hAnsi="Arial"/>
                <w:sz w:val="12"/>
                <w:szCs w:val="12"/>
                <w:color w:val="auto"/>
              </w:rPr>
              <w:t>$36.0</w:t>
            </w:r>
          </w:p>
        </w:tc>
        <w:tc>
          <w:tcPr>
            <w:tcW w:w="980" w:type="dxa"/>
            <w:vAlign w:val="bottom"/>
          </w:tcPr>
          <w:p>
            <w:pPr>
              <w:jc w:val="right"/>
              <w:ind w:right="39"/>
              <w:spacing w:after="0"/>
              <w:rPr>
                <w:sz w:val="20"/>
                <w:szCs w:val="20"/>
                <w:color w:val="auto"/>
              </w:rPr>
            </w:pPr>
            <w:r>
              <w:rPr>
                <w:rFonts w:ascii="Arial" w:cs="Arial" w:eastAsia="Arial" w:hAnsi="Arial"/>
                <w:sz w:val="12"/>
                <w:szCs w:val="12"/>
                <w:color w:val="auto"/>
              </w:rPr>
              <w:t>$35.9</w:t>
            </w:r>
          </w:p>
        </w:tc>
      </w:tr>
      <w:tr>
        <w:trPr>
          <w:trHeight w:val="170"/>
        </w:trPr>
        <w:tc>
          <w:tcPr>
            <w:tcW w:w="7000" w:type="dxa"/>
            <w:vAlign w:val="bottom"/>
          </w:tcPr>
          <w:p>
            <w:pPr>
              <w:ind w:left="20"/>
              <w:spacing w:after="0"/>
              <w:rPr>
                <w:sz w:val="20"/>
                <w:szCs w:val="20"/>
                <w:color w:val="auto"/>
              </w:rPr>
            </w:pPr>
            <w:r>
              <w:rPr>
                <w:rFonts w:ascii="Arial" w:cs="Arial" w:eastAsia="Arial" w:hAnsi="Arial"/>
                <w:sz w:val="12"/>
                <w:szCs w:val="12"/>
                <w:color w:val="auto"/>
              </w:rPr>
              <w:t>Interest income</w:t>
            </w:r>
          </w:p>
        </w:tc>
        <w:tc>
          <w:tcPr>
            <w:tcW w:w="1500" w:type="dxa"/>
            <w:vAlign w:val="bottom"/>
          </w:tcPr>
          <w:p>
            <w:pPr>
              <w:jc w:val="right"/>
              <w:ind w:right="19"/>
              <w:spacing w:after="0"/>
              <w:rPr>
                <w:sz w:val="20"/>
                <w:szCs w:val="20"/>
                <w:color w:val="auto"/>
              </w:rPr>
            </w:pPr>
            <w:r>
              <w:rPr>
                <w:rFonts w:ascii="Arial" w:cs="Arial" w:eastAsia="Arial" w:hAnsi="Arial"/>
                <w:sz w:val="12"/>
                <w:szCs w:val="12"/>
                <w:color w:val="4F8ABE"/>
              </w:rPr>
              <w:t>(3.6)</w:t>
            </w:r>
          </w:p>
        </w:tc>
        <w:tc>
          <w:tcPr>
            <w:tcW w:w="1980" w:type="dxa"/>
            <w:vAlign w:val="bottom"/>
          </w:tcPr>
          <w:p>
            <w:pPr>
              <w:jc w:val="right"/>
              <w:ind w:right="499"/>
              <w:spacing w:after="0"/>
              <w:rPr>
                <w:sz w:val="20"/>
                <w:szCs w:val="20"/>
                <w:color w:val="auto"/>
              </w:rPr>
            </w:pPr>
            <w:r>
              <w:rPr>
                <w:rFonts w:ascii="Arial" w:cs="Arial" w:eastAsia="Arial" w:hAnsi="Arial"/>
                <w:sz w:val="12"/>
                <w:szCs w:val="12"/>
                <w:color w:val="auto"/>
              </w:rPr>
              <w:t>(2.5)</w:t>
            </w:r>
          </w:p>
        </w:tc>
        <w:tc>
          <w:tcPr>
            <w:tcW w:w="98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86"/>
        </w:trPr>
        <w:tc>
          <w:tcPr>
            <w:tcW w:w="7000" w:type="dxa"/>
            <w:vAlign w:val="bottom"/>
          </w:tcPr>
          <w:p>
            <w:pPr>
              <w:ind w:left="20"/>
              <w:spacing w:after="0"/>
              <w:rPr>
                <w:sz w:val="20"/>
                <w:szCs w:val="20"/>
                <w:color w:val="auto"/>
              </w:rPr>
            </w:pPr>
            <w:r>
              <w:rPr>
                <w:rFonts w:ascii="Arial" w:cs="Arial" w:eastAsia="Arial" w:hAnsi="Arial"/>
                <w:sz w:val="12"/>
                <w:szCs w:val="12"/>
                <w:color w:val="auto"/>
              </w:rPr>
              <w:t>Foreign exchange loss (gain)</w:t>
            </w:r>
          </w:p>
        </w:tc>
        <w:tc>
          <w:tcPr>
            <w:tcW w:w="1500" w:type="dxa"/>
            <w:vAlign w:val="bottom"/>
          </w:tcPr>
          <w:p>
            <w:pPr>
              <w:jc w:val="right"/>
              <w:ind w:right="59"/>
              <w:spacing w:after="0"/>
              <w:rPr>
                <w:sz w:val="20"/>
                <w:szCs w:val="20"/>
                <w:color w:val="auto"/>
              </w:rPr>
            </w:pPr>
            <w:r>
              <w:rPr>
                <w:rFonts w:ascii="Arial" w:cs="Arial" w:eastAsia="Arial" w:hAnsi="Arial"/>
                <w:sz w:val="12"/>
                <w:szCs w:val="12"/>
                <w:color w:val="4F8ABE"/>
              </w:rPr>
              <w:t>2.8</w:t>
            </w:r>
          </w:p>
        </w:tc>
        <w:tc>
          <w:tcPr>
            <w:tcW w:w="1980" w:type="dxa"/>
            <w:vAlign w:val="bottom"/>
          </w:tcPr>
          <w:p>
            <w:pPr>
              <w:jc w:val="right"/>
              <w:ind w:right="499"/>
              <w:spacing w:after="0"/>
              <w:rPr>
                <w:sz w:val="20"/>
                <w:szCs w:val="20"/>
                <w:color w:val="auto"/>
              </w:rPr>
            </w:pPr>
            <w:r>
              <w:rPr>
                <w:rFonts w:ascii="Arial" w:cs="Arial" w:eastAsia="Arial" w:hAnsi="Arial"/>
                <w:sz w:val="12"/>
                <w:szCs w:val="12"/>
                <w:color w:val="auto"/>
              </w:rPr>
              <w:t>(4.7)</w:t>
            </w:r>
          </w:p>
        </w:tc>
        <w:tc>
          <w:tcPr>
            <w:tcW w:w="98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94"/>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Miscellaneous expense (income), net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12.4</w:t>
            </w:r>
          </w:p>
        </w:tc>
        <w:tc>
          <w:tcPr>
            <w:tcW w:w="19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(0.6)</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9.0</w:t>
            </w:r>
          </w:p>
        </w:tc>
      </w:tr>
      <w:tr>
        <w:trPr>
          <w:trHeight w:val="197"/>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Interest and other expenses</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4F8ABE"/>
              </w:rPr>
              <w:t>$49.5</w:t>
            </w:r>
          </w:p>
        </w:tc>
        <w:tc>
          <w:tcPr>
            <w:tcW w:w="198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color w:val="auto"/>
              </w:rPr>
              <w:t>$28.2</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$38.3</w:t>
            </w:r>
          </w:p>
        </w:tc>
      </w:tr>
      <w:tr>
        <w:trPr>
          <w:trHeight w:val="91"/>
        </w:trPr>
        <w:tc>
          <w:tcPr>
            <w:tcW w:w="7000" w:type="dxa"/>
            <w:vAlign w:val="bottom"/>
          </w:tcPr>
          <w:p>
            <w:pPr>
              <w:spacing w:after="0"/>
              <w:rPr>
                <w:sz w:val="7"/>
                <w:szCs w:val="7"/>
                <w:color w:val="auto"/>
              </w:rPr>
            </w:pPr>
          </w:p>
        </w:tc>
        <w:tc>
          <w:tcPr>
            <w:tcW w:w="1500" w:type="dxa"/>
            <w:vAlign w:val="bottom"/>
            <w:shd w:val="clear" w:color="auto" w:fill="2989B9"/>
          </w:tcPr>
          <w:p>
            <w:pPr>
              <w:spacing w:after="0"/>
              <w:rPr>
                <w:sz w:val="7"/>
                <w:szCs w:val="7"/>
                <w:color w:val="auto"/>
              </w:rPr>
            </w:pPr>
          </w:p>
        </w:tc>
        <w:tc>
          <w:tcPr>
            <w:tcW w:w="1980" w:type="dxa"/>
            <w:vAlign w:val="bottom"/>
          </w:tcPr>
          <w:p>
            <w:pPr>
              <w:spacing w:after="0"/>
              <w:rPr>
                <w:sz w:val="7"/>
                <w:szCs w:val="7"/>
                <w:color w:val="auto"/>
              </w:rPr>
            </w:pPr>
          </w:p>
        </w:tc>
        <w:tc>
          <w:tcPr>
            <w:tcW w:w="9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-695960</wp:posOffset>
            </wp:positionV>
            <wp:extent cx="958850" cy="630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58850" cy="6305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2989B9"/>
        </w:rPr>
        <w:t>Note 12. Derivative Financial Instruments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the current accounting guidance for derivative instruments and hedging activities, we record all of our derivative instruments as either an asset or liability measured at their fair value.</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Foreign Currency Exchange Rate Risk Management</w:t>
      </w:r>
    </w:p>
    <w:p>
      <w:pPr>
        <w:spacing w:after="0" w:line="152"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282A32"/>
        </w:rPr>
        <w:t>A portion of the €400.0 Notes (</w:t>
      </w:r>
      <w:r>
        <w:rPr>
          <w:rFonts w:ascii="Arial" w:cs="Arial" w:eastAsia="Arial" w:hAnsi="Arial"/>
          <w:sz w:val="12"/>
          <w:szCs w:val="12"/>
          <w:color w:val="000000"/>
        </w:rPr>
        <w:t>$417.7</w:t>
      </w:r>
      <w:r>
        <w:rPr>
          <w:rFonts w:ascii="Arial" w:cs="Arial" w:eastAsia="Arial" w:hAnsi="Arial"/>
          <w:sz w:val="12"/>
          <w:szCs w:val="12"/>
          <w:color w:val="282A32"/>
        </w:rPr>
        <w:t>) and €350.0 ($367.5) Notes was designated as a hedge of our net investment in our foreign subsidiaries with a Euro-functional currency as of December 31, 2016. For this portion of the Euro-denominated notes, the gain or loss associated with foreign currency translation is recorded as a component of accumulated other comprehensive loss, net of taxes. As of December 31, 2016 and 2015, we had an unrealized gain of $29.0 and $14.1, respectively, included in accumulated other comprehensive loss, net of taxes, as the net investment hedge was deemed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76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On occasion, forward contracts are designated as a hedge of our net investment in our foreign subsidiaries. As of December 31, 2016 and 2015, we had a translation loss of $4.2 and $4.1, respectively, included in accumulated other comprehensive loss, net of taxes, as the net investment hedge was deemed effective.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We recorded a loss of $1.6 for the year ended December 31, 2016 and a gain of $0.6 and $0.2 for the year ended December 31, 2015 and 2014, respectively, associated with our forward contracts in interest and other expenses, which partially offset the net gain for the year ended December 31, 2016 and net loss for the years ended December 31, 2015 and 2014 recorded for the items noted above.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282A32"/>
        </w:rPr>
        <w:t>The fair value measurements of these items recorded in our Consolidated Balance Sheets as of December 31, 2016 and 2015 are disclosed in Note 1 to the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color w:val="2989B9"/>
        </w:rPr>
        <w:t>Note 13. Contingencies</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2989B9"/>
        </w:rPr>
        <w:t>Litigation</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282A32"/>
        </w:rPr>
        <w:t>In 2014, we recorded legal costs of $9.0 in the United States related to a settlement agreement in connection with a lawsuit in California involving allegations regarding our wage statements. The settlement agreement was approved by the court at a final hearing in June 2015. We believe that the settlement was in our best interest to avoid the costs and disruption of ongoing litigation.</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2989B9"/>
        </w:rPr>
        <w:t>Guarantees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We have entered into certain guarantee contracts and stand-by letters of credit that total $177.6 ($130.7 for guarantees and $46.9 for stand-by letters of credit) as of December 31, 2016. The guarantees primarily relate to operating leases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77</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2989B9"/>
        </w:rPr>
        <w:t>Note 14. Segment Data</w:t>
      </w:r>
    </w:p>
    <w:p>
      <w:pPr>
        <w:spacing w:after="0" w:line="134" w:lineRule="exact"/>
        <w:rPr>
          <w:sz w:val="20"/>
          <w:szCs w:val="20"/>
          <w:color w:val="auto"/>
        </w:rPr>
      </w:pPr>
    </w:p>
    <w:p>
      <w:pPr>
        <w:ind w:right="520"/>
        <w:spacing w:after="0" w:line="269" w:lineRule="auto"/>
        <w:rPr>
          <w:sz w:val="20"/>
          <w:szCs w:val="20"/>
          <w:color w:val="auto"/>
        </w:rPr>
      </w:pPr>
      <w:r>
        <w:rPr>
          <w:rFonts w:ascii="Arial" w:cs="Arial" w:eastAsia="Arial" w:hAnsi="Arial"/>
          <w:sz w:val="12"/>
          <w:szCs w:val="12"/>
          <w:color w:val="282A32"/>
        </w:rPr>
        <w:t>Effective January 1, 2016, we realigned our organizational structure in Europe. As a result, Other Southern Europe now includes several countries that were previously reported in Northern Europe. All previously reported results have been restated to conform to the current year presentation.</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The Americas, Southern Europe, Northern Europe and APME segments derive a significant majority of their revenues from the placement of contingent workers. The remaining revenues within these segments are derived from other workforce solutions and services, including ManpowerGroup Solutions (Recruitment Process Outsourcing (RPO), TAPFIN - Managed Service Provider (MSP), Proservia and Talent Based Outsourcing (TBO)), recruitment and assessment, and training and development. The Right Management segment revenues are derived from career management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282A32"/>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282A32"/>
        </w:rPr>
        <w:t>Total assets for the segments are reported after the elimination of investments in subsidiaries and intercompany accounts.</w:t>
      </w:r>
    </w:p>
    <w:p>
      <w:pPr>
        <w:spacing w:after="0" w:line="380"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78 </w:t>
      </w:r>
      <w:r>
        <w:rPr>
          <w:rFonts w:ascii="Arial" w:cs="Arial" w:eastAsia="Arial" w:hAnsi="Arial"/>
          <w:sz w:val="8"/>
          <w:szCs w:val="8"/>
          <w:color w:val="auto"/>
        </w:rPr>
        <w:t>| ManpowerGroup</w:t>
      </w:r>
    </w:p>
    <w:p>
      <w:pPr>
        <w:sectPr>
          <w:pgSz w:w="11900" w:h="16838" w:orient="portrait"/>
          <w:cols w:equalWidth="0" w:num="1">
            <w:col w:w="11460"/>
          </w:cols>
          <w:pgMar w:left="220" w:top="327" w:right="21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shd w:val="clear" w:color="auto" w:fill="E1F4FD"/>
          </w:tcPr>
          <w:p>
            <w:pPr>
              <w:spacing w:after="0"/>
              <w:rPr>
                <w:sz w:val="13"/>
                <w:szCs w:val="13"/>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color w:val="auto"/>
              </w:rPr>
              <w:t>2015</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2014</w:t>
            </w:r>
          </w:p>
        </w:tc>
        <w:tc>
          <w:tcPr>
            <w:tcW w:w="0" w:type="dxa"/>
            <w:vAlign w:val="bottom"/>
          </w:tcPr>
          <w:p>
            <w:pPr>
              <w:spacing w:after="0"/>
              <w:rPr>
                <w:sz w:val="1"/>
                <w:szCs w:val="1"/>
                <w:color w:val="auto"/>
              </w:rPr>
            </w:pPr>
          </w:p>
        </w:tc>
      </w:tr>
      <w:tr>
        <w:trPr>
          <w:trHeight w:val="276"/>
        </w:trPr>
        <w:tc>
          <w:tcPr>
            <w:tcW w:w="7680" w:type="dxa"/>
            <w:vAlign w:val="bottom"/>
          </w:tcPr>
          <w:p>
            <w:pPr>
              <w:ind w:left="20"/>
              <w:spacing w:after="0"/>
              <w:rPr>
                <w:sz w:val="20"/>
                <w:szCs w:val="20"/>
                <w:color w:val="auto"/>
              </w:rPr>
            </w:pPr>
            <w:r>
              <w:rPr>
                <w:rFonts w:ascii="Arial" w:cs="Arial" w:eastAsia="Arial" w:hAnsi="Arial"/>
                <w:sz w:val="12"/>
                <w:szCs w:val="12"/>
                <w:color w:val="4F8ABE"/>
              </w:rPr>
              <w:t>Revenues from Services</w:t>
            </w:r>
            <w:r>
              <w:rPr>
                <w:rFonts w:ascii="Arial" w:cs="Arial" w:eastAsia="Arial" w:hAnsi="Arial"/>
                <w:sz w:val="16"/>
                <w:szCs w:val="16"/>
                <w:color w:val="4F8ABE"/>
                <w:vertAlign w:val="superscript"/>
              </w:rPr>
              <w:t>(a)</w:t>
            </w:r>
          </w:p>
        </w:tc>
        <w:tc>
          <w:tcPr>
            <w:tcW w:w="400" w:type="dxa"/>
            <w:vAlign w:val="bottom"/>
            <w:shd w:val="clear" w:color="auto" w:fill="E1F4FD"/>
          </w:tcPr>
          <w:p>
            <w:pPr>
              <w:spacing w:after="0"/>
              <w:rPr>
                <w:sz w:val="23"/>
                <w:szCs w:val="23"/>
                <w:color w:val="auto"/>
              </w:rPr>
            </w:pPr>
          </w:p>
        </w:tc>
        <w:tc>
          <w:tcPr>
            <w:tcW w:w="880" w:type="dxa"/>
            <w:vAlign w:val="bottom"/>
            <w:shd w:val="clear" w:color="auto" w:fill="E1F4FD"/>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0"/>
              <w:spacing w:after="0"/>
              <w:rPr>
                <w:sz w:val="20"/>
                <w:szCs w:val="20"/>
                <w:color w:val="auto"/>
              </w:rPr>
            </w:pPr>
            <w:r>
              <w:rPr>
                <w:rFonts w:ascii="Arial" w:cs="Arial" w:eastAsia="Arial" w:hAnsi="Arial"/>
                <w:sz w:val="12"/>
                <w:szCs w:val="12"/>
                <w:color w:val="auto"/>
              </w:rPr>
              <w:t>Americas:</w:t>
            </w:r>
          </w:p>
        </w:tc>
        <w:tc>
          <w:tcPr>
            <w:tcW w:w="400" w:type="dxa"/>
            <w:vAlign w:val="bottom"/>
            <w:shd w:val="clear" w:color="auto" w:fill="E1F4FD"/>
          </w:tcPr>
          <w:p>
            <w:pPr>
              <w:spacing w:after="0"/>
              <w:rPr>
                <w:sz w:val="12"/>
                <w:szCs w:val="12"/>
                <w:color w:val="auto"/>
              </w:rPr>
            </w:pPr>
          </w:p>
        </w:tc>
        <w:tc>
          <w:tcPr>
            <w:tcW w:w="880" w:type="dxa"/>
            <w:vAlign w:val="bottom"/>
            <w:shd w:val="clear" w:color="auto" w:fill="E1F4FD"/>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40"/>
              <w:spacing w:after="0"/>
              <w:rPr>
                <w:sz w:val="20"/>
                <w:szCs w:val="20"/>
                <w:color w:val="auto"/>
              </w:rPr>
            </w:pPr>
            <w:r>
              <w:rPr>
                <w:rFonts w:ascii="Arial" w:cs="Arial" w:eastAsia="Arial" w:hAnsi="Arial"/>
                <w:sz w:val="12"/>
                <w:szCs w:val="12"/>
                <w:color w:val="auto"/>
              </w:rPr>
              <w:t>United States</w:t>
            </w:r>
            <w:r>
              <w:rPr>
                <w:rFonts w:ascii="Arial" w:cs="Arial" w:eastAsia="Arial" w:hAnsi="Arial"/>
                <w:sz w:val="16"/>
                <w:szCs w:val="16"/>
                <w:color w:val="auto"/>
                <w:vertAlign w:val="superscript"/>
              </w:rPr>
              <w:t>(b)</w:t>
            </w:r>
          </w:p>
        </w:tc>
        <w:tc>
          <w:tcPr>
            <w:tcW w:w="400" w:type="dxa"/>
            <w:vAlign w:val="bottom"/>
            <w:shd w:val="clear" w:color="auto" w:fill="E1F4FD"/>
          </w:tcPr>
          <w:p>
            <w:pPr>
              <w:jc w:val="right"/>
              <w:ind w:right="238"/>
              <w:spacing w:after="0"/>
              <w:rPr>
                <w:sz w:val="20"/>
                <w:szCs w:val="20"/>
                <w:color w:val="auto"/>
              </w:rPr>
            </w:pPr>
            <w:r>
              <w:rPr>
                <w:rFonts w:ascii="Arial" w:cs="Arial" w:eastAsia="Arial" w:hAnsi="Arial"/>
                <w:sz w:val="12"/>
                <w:szCs w:val="12"/>
                <w:color w:val="4F8ABE"/>
              </w:rPr>
              <w:t>$</w:t>
            </w: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2,836.8</w:t>
            </w:r>
          </w:p>
        </w:tc>
        <w:tc>
          <w:tcPr>
            <w:tcW w:w="3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3,005.8</w:t>
            </w:r>
          </w:p>
        </w:tc>
        <w:tc>
          <w:tcPr>
            <w:tcW w:w="40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3,086.4</w:t>
            </w:r>
          </w:p>
        </w:tc>
        <w:tc>
          <w:tcPr>
            <w:tcW w:w="0" w:type="dxa"/>
            <w:vAlign w:val="bottom"/>
          </w:tcPr>
          <w:p>
            <w:pPr>
              <w:spacing w:after="0"/>
              <w:rPr>
                <w:sz w:val="1"/>
                <w:szCs w:val="1"/>
                <w:color w:val="auto"/>
              </w:rPr>
            </w:pPr>
          </w:p>
        </w:tc>
      </w:tr>
      <w:tr>
        <w:trPr>
          <w:trHeight w:val="178"/>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Americas</w:t>
            </w:r>
          </w:p>
        </w:tc>
        <w:tc>
          <w:tcPr>
            <w:tcW w:w="400" w:type="dxa"/>
            <w:vAlign w:val="bottom"/>
            <w:tcBorders>
              <w:bottom w:val="single" w:sz="8" w:color="auto"/>
            </w:tcBorders>
            <w:shd w:val="clear" w:color="auto" w:fill="E1F4FD"/>
          </w:tcPr>
          <w:p>
            <w:pPr>
              <w:spacing w:after="0"/>
              <w:rPr>
                <w:sz w:val="15"/>
                <w:szCs w:val="15"/>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1,460.4</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1,486.2</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1,497.3</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E1F4FD"/>
          </w:tcPr>
          <w:p>
            <w:pPr>
              <w:spacing w:after="0"/>
              <w:rPr>
                <w:sz w:val="17"/>
                <w:szCs w:val="17"/>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4,297.2</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4,492.0</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4,583.7</w:t>
            </w: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2"/>
                <w:szCs w:val="12"/>
                <w:color w:val="auto"/>
              </w:rPr>
              <w:t>Southern Europe:</w:t>
            </w:r>
          </w:p>
        </w:tc>
        <w:tc>
          <w:tcPr>
            <w:tcW w:w="400" w:type="dxa"/>
            <w:vAlign w:val="bottom"/>
            <w:shd w:val="clear" w:color="auto" w:fill="E1F4FD"/>
          </w:tcPr>
          <w:p>
            <w:pPr>
              <w:spacing w:after="0"/>
              <w:rPr>
                <w:sz w:val="16"/>
                <w:szCs w:val="16"/>
                <w:color w:val="auto"/>
              </w:rPr>
            </w:pPr>
          </w:p>
        </w:tc>
        <w:tc>
          <w:tcPr>
            <w:tcW w:w="880" w:type="dxa"/>
            <w:vAlign w:val="bottom"/>
            <w:shd w:val="clear" w:color="auto" w:fill="E1F4FD"/>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France</w:t>
            </w:r>
          </w:p>
        </w:tc>
        <w:tc>
          <w:tcPr>
            <w:tcW w:w="400" w:type="dxa"/>
            <w:vAlign w:val="bottom"/>
            <w:shd w:val="clear" w:color="auto" w:fill="E1F4FD"/>
          </w:tcPr>
          <w:p>
            <w:pPr>
              <w:spacing w:after="0"/>
              <w:rPr>
                <w:sz w:val="16"/>
                <w:szCs w:val="16"/>
                <w:color w:val="auto"/>
              </w:rPr>
            </w:pP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4,837.4</w:t>
            </w:r>
          </w:p>
        </w:tc>
        <w:tc>
          <w:tcPr>
            <w:tcW w:w="3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4,661.3</w:t>
            </w:r>
          </w:p>
        </w:tc>
        <w:tc>
          <w:tcPr>
            <w:tcW w:w="40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5,351.6</w:t>
            </w: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Italy</w:t>
            </w:r>
          </w:p>
        </w:tc>
        <w:tc>
          <w:tcPr>
            <w:tcW w:w="400" w:type="dxa"/>
            <w:vAlign w:val="bottom"/>
            <w:shd w:val="clear" w:color="auto" w:fill="E1F4FD"/>
          </w:tcPr>
          <w:p>
            <w:pPr>
              <w:spacing w:after="0"/>
              <w:rPr>
                <w:sz w:val="16"/>
                <w:szCs w:val="16"/>
                <w:color w:val="auto"/>
              </w:rPr>
            </w:pP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1,167.7</w:t>
            </w:r>
          </w:p>
        </w:tc>
        <w:tc>
          <w:tcPr>
            <w:tcW w:w="3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1,226.1</w:t>
            </w:r>
          </w:p>
        </w:tc>
        <w:tc>
          <w:tcPr>
            <w:tcW w:w="40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1,178.8</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Southern Europe</w:t>
            </w:r>
          </w:p>
        </w:tc>
        <w:tc>
          <w:tcPr>
            <w:tcW w:w="400" w:type="dxa"/>
            <w:vAlign w:val="bottom"/>
            <w:tcBorders>
              <w:bottom w:val="single" w:sz="8" w:color="auto"/>
            </w:tcBorders>
            <w:shd w:val="clear" w:color="auto" w:fill="E1F4FD"/>
          </w:tcPr>
          <w:p>
            <w:pPr>
              <w:spacing w:after="0"/>
              <w:rPr>
                <w:sz w:val="16"/>
                <w:szCs w:val="16"/>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1,492.5</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1,404.1</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1,502.1</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E1F4FD"/>
          </w:tcPr>
          <w:p>
            <w:pPr>
              <w:spacing w:after="0"/>
              <w:rPr>
                <w:sz w:val="17"/>
                <w:szCs w:val="17"/>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7,497.6</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7,291.5</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8,032.5</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Northern Europe</w:t>
            </w:r>
          </w:p>
        </w:tc>
        <w:tc>
          <w:tcPr>
            <w:tcW w:w="400" w:type="dxa"/>
            <w:vAlign w:val="bottom"/>
            <w:shd w:val="clear" w:color="auto" w:fill="E1F4FD"/>
          </w:tcPr>
          <w:p>
            <w:pPr>
              <w:spacing w:after="0"/>
              <w:rPr>
                <w:sz w:val="14"/>
                <w:szCs w:val="14"/>
                <w:color w:val="auto"/>
              </w:rPr>
            </w:pP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5,129.1</w:t>
            </w:r>
          </w:p>
        </w:tc>
        <w:tc>
          <w:tcPr>
            <w:tcW w:w="38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5,033.7</w:t>
            </w:r>
          </w:p>
        </w:tc>
        <w:tc>
          <w:tcPr>
            <w:tcW w:w="400" w:type="dxa"/>
            <w:vAlign w:val="bottom"/>
          </w:tcPr>
          <w:p>
            <w:pPr>
              <w:spacing w:after="0"/>
              <w:rPr>
                <w:sz w:val="14"/>
                <w:szCs w:val="14"/>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5,525.3</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APME</w:t>
            </w:r>
          </w:p>
        </w:tc>
        <w:tc>
          <w:tcPr>
            <w:tcW w:w="400" w:type="dxa"/>
            <w:vAlign w:val="bottom"/>
            <w:shd w:val="clear" w:color="auto" w:fill="E1F4FD"/>
          </w:tcPr>
          <w:p>
            <w:pPr>
              <w:spacing w:after="0"/>
              <w:rPr>
                <w:sz w:val="16"/>
                <w:szCs w:val="16"/>
                <w:color w:val="auto"/>
              </w:rPr>
            </w:pP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2,471.3</w:t>
            </w:r>
          </w:p>
        </w:tc>
        <w:tc>
          <w:tcPr>
            <w:tcW w:w="3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2,239.1</w:t>
            </w:r>
          </w:p>
        </w:tc>
        <w:tc>
          <w:tcPr>
            <w:tcW w:w="40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2,327.1</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Right Management</w:t>
            </w:r>
          </w:p>
        </w:tc>
        <w:tc>
          <w:tcPr>
            <w:tcW w:w="400" w:type="dxa"/>
            <w:vAlign w:val="bottom"/>
            <w:tcBorders>
              <w:bottom w:val="single" w:sz="8" w:color="auto"/>
            </w:tcBorders>
            <w:shd w:val="clear" w:color="auto" w:fill="E1F4FD"/>
          </w:tcPr>
          <w:p>
            <w:pPr>
              <w:spacing w:after="0"/>
              <w:rPr>
                <w:sz w:val="16"/>
                <w:szCs w:val="16"/>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258.9</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273.6</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294.2</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E1F4FD"/>
          </w:tcPr>
          <w:p>
            <w:pPr>
              <w:jc w:val="right"/>
              <w:ind w:right="238"/>
              <w:spacing w:after="0"/>
              <w:rPr>
                <w:sz w:val="20"/>
                <w:szCs w:val="20"/>
                <w:color w:val="auto"/>
              </w:rPr>
            </w:pPr>
            <w:r>
              <w:rPr>
                <w:rFonts w:ascii="Arial" w:cs="Arial" w:eastAsia="Arial" w:hAnsi="Arial"/>
                <w:sz w:val="12"/>
                <w:szCs w:val="12"/>
                <w:color w:val="4F8ABE"/>
              </w:rPr>
              <w:t>$</w:t>
            </w: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19,654.1</w:t>
            </w:r>
          </w:p>
        </w:tc>
        <w:tc>
          <w:tcPr>
            <w:tcW w:w="3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19,329.9</w:t>
            </w: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20,762.8</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2"/>
                <w:szCs w:val="12"/>
                <w:color w:val="4F8ABE"/>
              </w:rPr>
              <w:t>Operating Unit Profit</w:t>
            </w:r>
          </w:p>
        </w:tc>
        <w:tc>
          <w:tcPr>
            <w:tcW w:w="400" w:type="dxa"/>
            <w:vAlign w:val="bottom"/>
            <w:shd w:val="clear" w:color="auto" w:fill="E1F4FD"/>
          </w:tcPr>
          <w:p>
            <w:pPr>
              <w:spacing w:after="0"/>
              <w:rPr>
                <w:sz w:val="19"/>
                <w:szCs w:val="19"/>
                <w:color w:val="auto"/>
              </w:rPr>
            </w:pPr>
          </w:p>
        </w:tc>
        <w:tc>
          <w:tcPr>
            <w:tcW w:w="880" w:type="dxa"/>
            <w:vAlign w:val="bottom"/>
            <w:shd w:val="clear" w:color="auto" w:fill="E1F4FD"/>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2"/>
                <w:szCs w:val="12"/>
                <w:color w:val="auto"/>
              </w:rPr>
              <w:t>Americas:</w:t>
            </w:r>
          </w:p>
        </w:tc>
        <w:tc>
          <w:tcPr>
            <w:tcW w:w="400" w:type="dxa"/>
            <w:vAlign w:val="bottom"/>
            <w:shd w:val="clear" w:color="auto" w:fill="E1F4FD"/>
          </w:tcPr>
          <w:p>
            <w:pPr>
              <w:spacing w:after="0"/>
              <w:rPr>
                <w:sz w:val="17"/>
                <w:szCs w:val="17"/>
                <w:color w:val="auto"/>
              </w:rPr>
            </w:pPr>
          </w:p>
        </w:tc>
        <w:tc>
          <w:tcPr>
            <w:tcW w:w="880" w:type="dxa"/>
            <w:vAlign w:val="bottom"/>
            <w:shd w:val="clear" w:color="auto" w:fill="E1F4FD"/>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400" w:type="dxa"/>
            <w:vAlign w:val="bottom"/>
            <w:shd w:val="clear" w:color="auto" w:fill="E1F4FD"/>
          </w:tcPr>
          <w:p>
            <w:pPr>
              <w:jc w:val="right"/>
              <w:ind w:right="238"/>
              <w:spacing w:after="0"/>
              <w:rPr>
                <w:sz w:val="20"/>
                <w:szCs w:val="20"/>
                <w:color w:val="auto"/>
              </w:rPr>
            </w:pPr>
            <w:r>
              <w:rPr>
                <w:rFonts w:ascii="Arial" w:cs="Arial" w:eastAsia="Arial" w:hAnsi="Arial"/>
                <w:sz w:val="12"/>
                <w:szCs w:val="12"/>
                <w:color w:val="4F8ABE"/>
              </w:rPr>
              <w:t>$</w:t>
            </w: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142.9</w:t>
            </w:r>
          </w:p>
        </w:tc>
        <w:tc>
          <w:tcPr>
            <w:tcW w:w="3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143.8</w:t>
            </w:r>
          </w:p>
        </w:tc>
        <w:tc>
          <w:tcPr>
            <w:tcW w:w="40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125.4</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Americas</w:t>
            </w:r>
          </w:p>
        </w:tc>
        <w:tc>
          <w:tcPr>
            <w:tcW w:w="400" w:type="dxa"/>
            <w:vAlign w:val="bottom"/>
            <w:tcBorders>
              <w:bottom w:val="single" w:sz="8" w:color="auto"/>
            </w:tcBorders>
            <w:shd w:val="clear" w:color="auto" w:fill="E1F4FD"/>
          </w:tcPr>
          <w:p>
            <w:pPr>
              <w:spacing w:after="0"/>
              <w:rPr>
                <w:sz w:val="16"/>
                <w:szCs w:val="16"/>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53.6</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57.0</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56.2</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shd w:val="clear" w:color="auto" w:fill="E1F4FD"/>
          </w:tcPr>
          <w:p>
            <w:pPr>
              <w:spacing w:after="0"/>
              <w:rPr>
                <w:sz w:val="17"/>
                <w:szCs w:val="17"/>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196.5</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200.8</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181.6</w:t>
            </w: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2"/>
                <w:szCs w:val="12"/>
                <w:color w:val="auto"/>
              </w:rPr>
              <w:t>Southern Europe:</w:t>
            </w:r>
          </w:p>
        </w:tc>
        <w:tc>
          <w:tcPr>
            <w:tcW w:w="400" w:type="dxa"/>
            <w:vAlign w:val="bottom"/>
            <w:shd w:val="clear" w:color="auto" w:fill="E1F4FD"/>
          </w:tcPr>
          <w:p>
            <w:pPr>
              <w:spacing w:after="0"/>
              <w:rPr>
                <w:sz w:val="16"/>
                <w:szCs w:val="16"/>
                <w:color w:val="auto"/>
              </w:rPr>
            </w:pPr>
          </w:p>
        </w:tc>
        <w:tc>
          <w:tcPr>
            <w:tcW w:w="880" w:type="dxa"/>
            <w:vAlign w:val="bottom"/>
            <w:shd w:val="clear" w:color="auto" w:fill="E1F4FD"/>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40"/>
              <w:spacing w:after="0"/>
              <w:rPr>
                <w:sz w:val="20"/>
                <w:szCs w:val="20"/>
                <w:color w:val="auto"/>
              </w:rPr>
            </w:pPr>
            <w:r>
              <w:rPr>
                <w:rFonts w:ascii="Arial" w:cs="Arial" w:eastAsia="Arial" w:hAnsi="Arial"/>
                <w:sz w:val="12"/>
                <w:szCs w:val="12"/>
                <w:color w:val="auto"/>
              </w:rPr>
              <w:t>France</w:t>
            </w:r>
          </w:p>
        </w:tc>
        <w:tc>
          <w:tcPr>
            <w:tcW w:w="400" w:type="dxa"/>
            <w:vAlign w:val="bottom"/>
            <w:shd w:val="clear" w:color="auto" w:fill="E1F4FD"/>
          </w:tcPr>
          <w:p>
            <w:pPr>
              <w:spacing w:after="0"/>
              <w:rPr>
                <w:sz w:val="17"/>
                <w:szCs w:val="17"/>
                <w:color w:val="auto"/>
              </w:rPr>
            </w:pP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250.6</w:t>
            </w:r>
          </w:p>
        </w:tc>
        <w:tc>
          <w:tcPr>
            <w:tcW w:w="380" w:type="dxa"/>
            <w:vAlign w:val="bottom"/>
          </w:tcPr>
          <w:p>
            <w:pPr>
              <w:spacing w:after="0"/>
              <w:rPr>
                <w:sz w:val="17"/>
                <w:szCs w:val="17"/>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258.8</w:t>
            </w:r>
          </w:p>
        </w:tc>
        <w:tc>
          <w:tcPr>
            <w:tcW w:w="400" w:type="dxa"/>
            <w:vAlign w:val="bottom"/>
          </w:tcPr>
          <w:p>
            <w:pPr>
              <w:spacing w:after="0"/>
              <w:rPr>
                <w:sz w:val="17"/>
                <w:szCs w:val="17"/>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275.5</w:t>
            </w:r>
          </w:p>
        </w:tc>
        <w:tc>
          <w:tcPr>
            <w:tcW w:w="0" w:type="dxa"/>
            <w:vAlign w:val="bottom"/>
          </w:tcPr>
          <w:p>
            <w:pPr>
              <w:spacing w:after="0"/>
              <w:rPr>
                <w:sz w:val="1"/>
                <w:szCs w:val="1"/>
                <w:color w:val="auto"/>
              </w:rPr>
            </w:pPr>
          </w:p>
        </w:tc>
      </w:tr>
      <w:tr>
        <w:trPr>
          <w:trHeight w:val="170"/>
        </w:trPr>
        <w:tc>
          <w:tcPr>
            <w:tcW w:w="7680" w:type="dxa"/>
            <w:vAlign w:val="bottom"/>
          </w:tcPr>
          <w:p>
            <w:pPr>
              <w:ind w:left="240"/>
              <w:spacing w:after="0"/>
              <w:rPr>
                <w:sz w:val="20"/>
                <w:szCs w:val="20"/>
                <w:color w:val="auto"/>
              </w:rPr>
            </w:pPr>
            <w:r>
              <w:rPr>
                <w:rFonts w:ascii="Arial" w:cs="Arial" w:eastAsia="Arial" w:hAnsi="Arial"/>
                <w:sz w:val="12"/>
                <w:szCs w:val="12"/>
                <w:color w:val="auto"/>
              </w:rPr>
              <w:t>Italy</w:t>
            </w:r>
          </w:p>
        </w:tc>
        <w:tc>
          <w:tcPr>
            <w:tcW w:w="400" w:type="dxa"/>
            <w:vAlign w:val="bottom"/>
          </w:tcPr>
          <w:p>
            <w:pPr>
              <w:spacing w:after="0"/>
              <w:rPr>
                <w:sz w:val="14"/>
                <w:szCs w:val="14"/>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4F8ABE"/>
              </w:rPr>
              <w:t>79.1</w:t>
            </w:r>
          </w:p>
        </w:tc>
        <w:tc>
          <w:tcPr>
            <w:tcW w:w="38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70.9</w:t>
            </w:r>
          </w:p>
        </w:tc>
        <w:tc>
          <w:tcPr>
            <w:tcW w:w="400" w:type="dxa"/>
            <w:vAlign w:val="bottom"/>
          </w:tcPr>
          <w:p>
            <w:pPr>
              <w:spacing w:after="0"/>
              <w:rPr>
                <w:sz w:val="14"/>
                <w:szCs w:val="14"/>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64.2</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Southern Europe</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47.2</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39.9</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376.9</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369.6</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382.6</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Northern Europe</w:t>
            </w:r>
          </w:p>
        </w:tc>
        <w:tc>
          <w:tcPr>
            <w:tcW w:w="400" w:type="dxa"/>
            <w:vAlign w:val="bottom"/>
          </w:tcPr>
          <w:p>
            <w:pPr>
              <w:spacing w:after="0"/>
              <w:rPr>
                <w:sz w:val="14"/>
                <w:szCs w:val="14"/>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4F8ABE"/>
              </w:rPr>
              <w:t>173.0</w:t>
            </w:r>
          </w:p>
        </w:tc>
        <w:tc>
          <w:tcPr>
            <w:tcW w:w="38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144.7</w:t>
            </w:r>
          </w:p>
        </w:tc>
        <w:tc>
          <w:tcPr>
            <w:tcW w:w="400" w:type="dxa"/>
            <w:vAlign w:val="bottom"/>
          </w:tcPr>
          <w:p>
            <w:pPr>
              <w:spacing w:after="0"/>
              <w:rPr>
                <w:sz w:val="14"/>
                <w:szCs w:val="14"/>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177.2</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APME</w:t>
            </w:r>
          </w:p>
        </w:tc>
        <w:tc>
          <w:tcPr>
            <w:tcW w:w="40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4F8ABE"/>
              </w:rPr>
              <w:t>88.5</w:t>
            </w:r>
          </w:p>
        </w:tc>
        <w:tc>
          <w:tcPr>
            <w:tcW w:w="3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79.3</w:t>
            </w:r>
          </w:p>
        </w:tc>
        <w:tc>
          <w:tcPr>
            <w:tcW w:w="40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84.2</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Right Management</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44.7</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38.3</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33.5</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879.6</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832.7</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859.1</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Corporate expenses</w:t>
            </w:r>
          </w:p>
        </w:tc>
        <w:tc>
          <w:tcPr>
            <w:tcW w:w="40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Arial" w:cs="Arial" w:eastAsia="Arial" w:hAnsi="Arial"/>
                <w:sz w:val="12"/>
                <w:szCs w:val="12"/>
                <w:color w:val="4F8ABE"/>
              </w:rPr>
              <w:t>(92.8)</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(111.0)</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(105.8)</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2"/>
                <w:szCs w:val="12"/>
                <w:color w:val="auto"/>
              </w:rPr>
              <w:t>Intangible asset amortization expense</w:t>
            </w:r>
            <w:r>
              <w:rPr>
                <w:rFonts w:ascii="Arial" w:cs="Arial" w:eastAsia="Arial" w:hAnsi="Arial"/>
                <w:sz w:val="16"/>
                <w:szCs w:val="16"/>
                <w:color w:val="auto"/>
                <w:vertAlign w:val="superscript"/>
              </w:rPr>
              <w:t>(c)</w:t>
            </w:r>
          </w:p>
        </w:tc>
        <w:tc>
          <w:tcPr>
            <w:tcW w:w="400" w:type="dxa"/>
            <w:vAlign w:val="bottom"/>
          </w:tcPr>
          <w:p>
            <w:pPr>
              <w:spacing w:after="0"/>
              <w:rPr>
                <w:sz w:val="19"/>
                <w:szCs w:val="19"/>
                <w:color w:val="auto"/>
              </w:rPr>
            </w:pPr>
          </w:p>
        </w:tc>
        <w:tc>
          <w:tcPr>
            <w:tcW w:w="880" w:type="dxa"/>
            <w:vAlign w:val="bottom"/>
          </w:tcPr>
          <w:p>
            <w:pPr>
              <w:jc w:val="right"/>
              <w:ind w:right="18"/>
              <w:spacing w:after="0"/>
              <w:rPr>
                <w:sz w:val="20"/>
                <w:szCs w:val="20"/>
                <w:color w:val="auto"/>
              </w:rPr>
            </w:pPr>
            <w:r>
              <w:rPr>
                <w:rFonts w:ascii="Arial" w:cs="Arial" w:eastAsia="Arial" w:hAnsi="Arial"/>
                <w:sz w:val="12"/>
                <w:szCs w:val="12"/>
                <w:color w:val="4F8ABE"/>
              </w:rPr>
              <w:t>(36.0)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156"/>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Interest and other expenses</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4F8ABE"/>
              </w:rPr>
              <w:t>(49.5)</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177"/>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Earnings before income taxes</w:t>
            </w:r>
          </w:p>
        </w:tc>
        <w:tc>
          <w:tcPr>
            <w:tcW w:w="4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4F8ABE"/>
              </w:rPr>
              <w:t>$</w:t>
            </w: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4F8ABE"/>
              </w:rPr>
              <w:t>701.3</w:t>
            </w:r>
          </w:p>
        </w:tc>
        <w:tc>
          <w:tcPr>
            <w:tcW w:w="3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660.7</w:t>
            </w: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681.6</w:t>
            </w:r>
          </w:p>
        </w:tc>
        <w:tc>
          <w:tcPr>
            <w:tcW w:w="0" w:type="dxa"/>
            <w:vAlign w:val="bottom"/>
          </w:tcPr>
          <w:p>
            <w:pPr>
              <w:spacing w:after="0"/>
              <w:rPr>
                <w:sz w:val="1"/>
                <w:szCs w:val="1"/>
                <w:color w:val="auto"/>
              </w:rPr>
            </w:pPr>
          </w:p>
        </w:tc>
      </w:tr>
      <w:tr>
        <w:trPr>
          <w:trHeight w:val="91"/>
        </w:trPr>
        <w:tc>
          <w:tcPr>
            <w:tcW w:w="7680" w:type="dxa"/>
            <w:vAlign w:val="bottom"/>
            <w:vMerge w:val="restart"/>
          </w:tcPr>
          <w:p>
            <w:pPr>
              <w:spacing w:after="0"/>
              <w:rPr>
                <w:sz w:val="20"/>
                <w:szCs w:val="20"/>
                <w:color w:val="auto"/>
              </w:rPr>
            </w:pPr>
            <w:r>
              <w:rPr>
                <w:rFonts w:ascii="Arial" w:cs="Arial" w:eastAsia="Arial" w:hAnsi="Arial"/>
                <w:sz w:val="11"/>
                <w:szCs w:val="11"/>
                <w:color w:val="282A32"/>
              </w:rPr>
              <w:t>(a) Further breakdown of revenues from services by geographical region was as follows:</w:t>
            </w:r>
          </w:p>
        </w:tc>
        <w:tc>
          <w:tcPr>
            <w:tcW w:w="400" w:type="dxa"/>
            <w:vAlign w:val="bottom"/>
            <w:shd w:val="clear" w:color="auto" w:fill="2989B9"/>
          </w:tcPr>
          <w:p>
            <w:pPr>
              <w:spacing w:after="0"/>
              <w:rPr>
                <w:sz w:val="7"/>
                <w:szCs w:val="7"/>
                <w:color w:val="auto"/>
              </w:rPr>
            </w:pPr>
          </w:p>
        </w:tc>
        <w:tc>
          <w:tcPr>
            <w:tcW w:w="880" w:type="dxa"/>
            <w:vAlign w:val="bottom"/>
            <w:shd w:val="clear" w:color="auto" w:fill="2989B9"/>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76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Revenues from Services</w:t>
            </w:r>
          </w:p>
        </w:tc>
        <w:tc>
          <w:tcPr>
            <w:tcW w:w="400" w:type="dxa"/>
            <w:vAlign w:val="bottom"/>
            <w:tcBorders>
              <w:bottom w:val="single" w:sz="8" w:color="auto"/>
            </w:tcBorders>
            <w:shd w:val="clear" w:color="auto" w:fill="E1F4FD"/>
          </w:tcPr>
          <w:p>
            <w:pPr>
              <w:spacing w:after="0"/>
              <w:rPr>
                <w:sz w:val="13"/>
                <w:szCs w:val="13"/>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color w:val="auto"/>
              </w:rPr>
              <w:t>2015</w:t>
            </w: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2014</w:t>
            </w:r>
          </w:p>
        </w:tc>
        <w:tc>
          <w:tcPr>
            <w:tcW w:w="0" w:type="dxa"/>
            <w:vAlign w:val="bottom"/>
          </w:tcPr>
          <w:p>
            <w:pPr>
              <w:spacing w:after="0"/>
              <w:rPr>
                <w:sz w:val="1"/>
                <w:szCs w:val="1"/>
                <w:color w:val="auto"/>
              </w:rPr>
            </w:pPr>
          </w:p>
        </w:tc>
      </w:tr>
      <w:tr>
        <w:trPr>
          <w:trHeight w:val="166"/>
        </w:trPr>
        <w:tc>
          <w:tcPr>
            <w:tcW w:w="768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400" w:type="dxa"/>
            <w:vAlign w:val="bottom"/>
            <w:shd w:val="clear" w:color="auto" w:fill="E1F4FD"/>
          </w:tcPr>
          <w:p>
            <w:pPr>
              <w:jc w:val="right"/>
              <w:ind w:right="238"/>
              <w:spacing w:after="0"/>
              <w:rPr>
                <w:sz w:val="20"/>
                <w:szCs w:val="20"/>
                <w:color w:val="auto"/>
              </w:rPr>
            </w:pPr>
            <w:r>
              <w:rPr>
                <w:rFonts w:ascii="Arial" w:cs="Arial" w:eastAsia="Arial" w:hAnsi="Arial"/>
                <w:sz w:val="12"/>
                <w:szCs w:val="12"/>
                <w:color w:val="4F8ABE"/>
              </w:rPr>
              <w:t>$</w:t>
            </w: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2,950.2</w:t>
            </w:r>
          </w:p>
        </w:tc>
        <w:tc>
          <w:tcPr>
            <w:tcW w:w="3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3,115.6</w:t>
            </w:r>
          </w:p>
        </w:tc>
        <w:tc>
          <w:tcPr>
            <w:tcW w:w="40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3,190.6</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France</w:t>
            </w:r>
          </w:p>
        </w:tc>
        <w:tc>
          <w:tcPr>
            <w:tcW w:w="400" w:type="dxa"/>
            <w:vAlign w:val="bottom"/>
            <w:shd w:val="clear" w:color="auto" w:fill="E1F4FD"/>
          </w:tcPr>
          <w:p>
            <w:pPr>
              <w:spacing w:after="0"/>
              <w:rPr>
                <w:sz w:val="16"/>
                <w:szCs w:val="16"/>
                <w:color w:val="auto"/>
              </w:rPr>
            </w:pP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4,857.3</w:t>
            </w:r>
          </w:p>
        </w:tc>
        <w:tc>
          <w:tcPr>
            <w:tcW w:w="3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4,684.1</w:t>
            </w:r>
          </w:p>
        </w:tc>
        <w:tc>
          <w:tcPr>
            <w:tcW w:w="40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5,378.6</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Italy</w:t>
            </w:r>
          </w:p>
        </w:tc>
        <w:tc>
          <w:tcPr>
            <w:tcW w:w="400" w:type="dxa"/>
            <w:vAlign w:val="bottom"/>
            <w:shd w:val="clear" w:color="auto" w:fill="E1F4FD"/>
          </w:tcPr>
          <w:p>
            <w:pPr>
              <w:spacing w:after="0"/>
              <w:rPr>
                <w:sz w:val="16"/>
                <w:szCs w:val="16"/>
                <w:color w:val="auto"/>
              </w:rPr>
            </w:pP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1,170.7</w:t>
            </w:r>
          </w:p>
        </w:tc>
        <w:tc>
          <w:tcPr>
            <w:tcW w:w="3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1,230.2</w:t>
            </w:r>
          </w:p>
        </w:tc>
        <w:tc>
          <w:tcPr>
            <w:tcW w:w="40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1,183.4</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United Kingdom</w:t>
            </w:r>
          </w:p>
        </w:tc>
        <w:tc>
          <w:tcPr>
            <w:tcW w:w="400" w:type="dxa"/>
            <w:vAlign w:val="bottom"/>
            <w:shd w:val="clear" w:color="auto" w:fill="E1F4FD"/>
          </w:tcPr>
          <w:p>
            <w:pPr>
              <w:spacing w:after="0"/>
              <w:rPr>
                <w:sz w:val="16"/>
                <w:szCs w:val="16"/>
                <w:color w:val="auto"/>
              </w:rPr>
            </w:pPr>
          </w:p>
        </w:tc>
        <w:tc>
          <w:tcPr>
            <w:tcW w:w="88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1,819.7</w:t>
            </w:r>
          </w:p>
        </w:tc>
        <w:tc>
          <w:tcPr>
            <w:tcW w:w="3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2,118.4</w:t>
            </w:r>
          </w:p>
        </w:tc>
        <w:tc>
          <w:tcPr>
            <w:tcW w:w="400" w:type="dxa"/>
            <w:vAlign w:val="bottom"/>
          </w:tcPr>
          <w:p>
            <w:pPr>
              <w:spacing w:after="0"/>
              <w:rPr>
                <w:sz w:val="16"/>
                <w:szCs w:val="16"/>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2,168.6</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Foreign</w:t>
            </w:r>
          </w:p>
        </w:tc>
        <w:tc>
          <w:tcPr>
            <w:tcW w:w="400" w:type="dxa"/>
            <w:vAlign w:val="bottom"/>
            <w:tcBorders>
              <w:bottom w:val="single" w:sz="8" w:color="auto"/>
            </w:tcBorders>
            <w:shd w:val="clear" w:color="auto" w:fill="E1F4FD"/>
          </w:tcPr>
          <w:p>
            <w:pPr>
              <w:spacing w:after="0"/>
              <w:rPr>
                <w:sz w:val="16"/>
                <w:szCs w:val="16"/>
                <w:color w:val="auto"/>
              </w:rPr>
            </w:pPr>
          </w:p>
        </w:tc>
        <w:tc>
          <w:tcPr>
            <w:tcW w:w="88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16,703.9</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16,214.3</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17,572.2</w:t>
            </w:r>
          </w:p>
        </w:tc>
        <w:tc>
          <w:tcPr>
            <w:tcW w:w="0" w:type="dxa"/>
            <w:vAlign w:val="bottom"/>
          </w:tcPr>
          <w:p>
            <w:pPr>
              <w:spacing w:after="0"/>
              <w:rPr>
                <w:sz w:val="1"/>
                <w:szCs w:val="1"/>
                <w:color w:val="auto"/>
              </w:rPr>
            </w:pPr>
          </w:p>
        </w:tc>
      </w:tr>
      <w:tr>
        <w:trPr>
          <w:trHeight w:val="91"/>
        </w:trPr>
        <w:tc>
          <w:tcPr>
            <w:tcW w:w="7680" w:type="dxa"/>
            <w:vAlign w:val="bottom"/>
          </w:tcPr>
          <w:p>
            <w:pPr>
              <w:spacing w:after="0"/>
              <w:rPr>
                <w:sz w:val="7"/>
                <w:szCs w:val="7"/>
                <w:color w:val="auto"/>
              </w:rPr>
            </w:pPr>
          </w:p>
        </w:tc>
        <w:tc>
          <w:tcPr>
            <w:tcW w:w="400" w:type="dxa"/>
            <w:vAlign w:val="bottom"/>
            <w:shd w:val="clear" w:color="auto" w:fill="2989B9"/>
          </w:tcPr>
          <w:p>
            <w:pPr>
              <w:spacing w:after="0"/>
              <w:rPr>
                <w:sz w:val="7"/>
                <w:szCs w:val="7"/>
                <w:color w:val="auto"/>
              </w:rPr>
            </w:pPr>
          </w:p>
        </w:tc>
        <w:tc>
          <w:tcPr>
            <w:tcW w:w="880" w:type="dxa"/>
            <w:vAlign w:val="bottom"/>
            <w:shd w:val="clear" w:color="auto" w:fill="2989B9"/>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-2600960</wp:posOffset>
            </wp:positionV>
            <wp:extent cx="807720" cy="1478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07720" cy="1478280"/>
                    </a:xfrm>
                    <a:prstGeom prst="rect">
                      <a:avLst/>
                    </a:prstGeom>
                    <a:noFill/>
                  </pic:spPr>
                </pic:pic>
              </a:graphicData>
            </a:graphic>
          </wp:anchor>
        </w:drawing>
      </w:r>
    </w:p>
    <w:p>
      <w:pPr>
        <w:spacing w:after="0" w:line="149" w:lineRule="exact"/>
        <w:rPr>
          <w:sz w:val="20"/>
          <w:szCs w:val="20"/>
          <w:color w:val="auto"/>
        </w:rPr>
      </w:pPr>
    </w:p>
    <w:p>
      <w:pPr>
        <w:ind w:left="160" w:hanging="157"/>
        <w:spacing w:after="0"/>
        <w:tabs>
          <w:tab w:leader="none" w:pos="160" w:val="left"/>
        </w:tabs>
        <w:numPr>
          <w:ilvl w:val="0"/>
          <w:numId w:val="58"/>
        </w:numPr>
        <w:rPr>
          <w:rFonts w:ascii="Arial" w:cs="Arial" w:eastAsia="Arial" w:hAnsi="Arial"/>
          <w:sz w:val="11"/>
          <w:szCs w:val="11"/>
          <w:color w:val="282A32"/>
        </w:rPr>
      </w:pPr>
      <w:r>
        <w:rPr>
          <w:rFonts w:ascii="Arial" w:cs="Arial" w:eastAsia="Arial" w:hAnsi="Arial"/>
          <w:sz w:val="11"/>
          <w:szCs w:val="11"/>
          <w:color w:val="282A32"/>
        </w:rPr>
        <w:t>The United States revenues above represent revenues from our company-owned branches and franchise fees received from our franchise operations, which were $15.1, $15.2 and $16.1 for 2016, 2015 and 2014, respectively.</w:t>
      </w:r>
    </w:p>
    <w:p>
      <w:pPr>
        <w:spacing w:after="0" w:line="90" w:lineRule="exact"/>
        <w:rPr>
          <w:rFonts w:ascii="Arial" w:cs="Arial" w:eastAsia="Arial" w:hAnsi="Arial"/>
          <w:sz w:val="11"/>
          <w:szCs w:val="11"/>
          <w:color w:val="282A32"/>
        </w:rPr>
      </w:pPr>
    </w:p>
    <w:p>
      <w:pPr>
        <w:ind w:left="160" w:hanging="157"/>
        <w:spacing w:after="0"/>
        <w:tabs>
          <w:tab w:leader="none" w:pos="160" w:val="left"/>
        </w:tabs>
        <w:numPr>
          <w:ilvl w:val="0"/>
          <w:numId w:val="58"/>
        </w:numPr>
        <w:rPr>
          <w:rFonts w:ascii="Arial" w:cs="Arial" w:eastAsia="Arial" w:hAnsi="Arial"/>
          <w:sz w:val="11"/>
          <w:szCs w:val="11"/>
          <w:color w:val="282A32"/>
        </w:rPr>
      </w:pPr>
      <w:r>
        <w:rPr>
          <w:rFonts w:ascii="Arial" w:cs="Arial" w:eastAsia="Arial" w:hAnsi="Arial"/>
          <w:sz w:val="11"/>
          <w:szCs w:val="11"/>
          <w:color w:val="282A32"/>
        </w:rPr>
        <w:t>Intangible asset amortization related to acquisitions is excluded from operating costs within the reportable segments and corporate expenses, and shown separately.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79</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Year Ended December 31</w:t>
            </w:r>
          </w:p>
        </w:tc>
        <w:tc>
          <w:tcPr>
            <w:tcW w:w="520" w:type="dxa"/>
            <w:vAlign w:val="bottom"/>
            <w:tcBorders>
              <w:bottom w:val="single" w:sz="8" w:color="auto"/>
            </w:tcBorders>
            <w:shd w:val="clear" w:color="auto" w:fill="E1F4FD"/>
          </w:tcPr>
          <w:p>
            <w:pPr>
              <w:spacing w:after="0"/>
              <w:rPr>
                <w:sz w:val="13"/>
                <w:szCs w:val="13"/>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2015</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2014</w:t>
            </w:r>
          </w:p>
        </w:tc>
      </w:tr>
      <w:tr>
        <w:trPr>
          <w:trHeight w:val="217"/>
        </w:trPr>
        <w:tc>
          <w:tcPr>
            <w:tcW w:w="7680" w:type="dxa"/>
            <w:vAlign w:val="bottom"/>
          </w:tcPr>
          <w:p>
            <w:pPr>
              <w:ind w:left="20"/>
              <w:spacing w:after="0"/>
              <w:rPr>
                <w:sz w:val="20"/>
                <w:szCs w:val="20"/>
                <w:color w:val="auto"/>
              </w:rPr>
            </w:pPr>
            <w:r>
              <w:rPr>
                <w:rFonts w:ascii="Arial" w:cs="Arial" w:eastAsia="Arial" w:hAnsi="Arial"/>
                <w:sz w:val="12"/>
                <w:szCs w:val="12"/>
                <w:color w:val="4F8ABE"/>
              </w:rPr>
              <w:t>Depreciation and Amortization Expense</w:t>
            </w:r>
          </w:p>
        </w:tc>
        <w:tc>
          <w:tcPr>
            <w:tcW w:w="520" w:type="dxa"/>
            <w:vAlign w:val="bottom"/>
            <w:shd w:val="clear" w:color="auto" w:fill="E1F4FD"/>
          </w:tcPr>
          <w:p>
            <w:pPr>
              <w:spacing w:after="0"/>
              <w:rPr>
                <w:sz w:val="18"/>
                <w:szCs w:val="18"/>
                <w:color w:val="auto"/>
              </w:rPr>
            </w:pPr>
          </w:p>
        </w:tc>
        <w:tc>
          <w:tcPr>
            <w:tcW w:w="760" w:type="dxa"/>
            <w:vAlign w:val="bottom"/>
            <w:shd w:val="clear" w:color="auto" w:fill="E1F4FD"/>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2"/>
                <w:szCs w:val="12"/>
                <w:color w:val="auto"/>
              </w:rPr>
              <w:t>Americas:</w:t>
            </w:r>
          </w:p>
        </w:tc>
        <w:tc>
          <w:tcPr>
            <w:tcW w:w="520" w:type="dxa"/>
            <w:vAlign w:val="bottom"/>
            <w:shd w:val="clear" w:color="auto" w:fill="E1F4FD"/>
          </w:tcPr>
          <w:p>
            <w:pPr>
              <w:spacing w:after="0"/>
              <w:rPr>
                <w:sz w:val="17"/>
                <w:szCs w:val="17"/>
                <w:color w:val="auto"/>
              </w:rPr>
            </w:pPr>
          </w:p>
        </w:tc>
        <w:tc>
          <w:tcPr>
            <w:tcW w:w="760" w:type="dxa"/>
            <w:vAlign w:val="bottom"/>
            <w:shd w:val="clear" w:color="auto" w:fill="E1F4FD"/>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520" w:type="dxa"/>
            <w:vAlign w:val="bottom"/>
            <w:shd w:val="clear" w:color="auto" w:fill="E1F4FD"/>
          </w:tcPr>
          <w:p>
            <w:pPr>
              <w:jc w:val="right"/>
              <w:ind w:right="358"/>
              <w:spacing w:after="0"/>
              <w:rPr>
                <w:sz w:val="20"/>
                <w:szCs w:val="20"/>
                <w:color w:val="auto"/>
              </w:rPr>
            </w:pPr>
            <w:r>
              <w:rPr>
                <w:rFonts w:ascii="Arial" w:cs="Arial" w:eastAsia="Arial" w:hAnsi="Arial"/>
                <w:sz w:val="12"/>
                <w:szCs w:val="12"/>
                <w:color w:val="4F8ABE"/>
              </w:rPr>
              <w:t>$</w:t>
            </w: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9.9</w:t>
            </w:r>
          </w:p>
        </w:tc>
        <w:tc>
          <w:tcPr>
            <w:tcW w:w="50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9.3</w:t>
            </w:r>
          </w:p>
        </w:tc>
        <w:tc>
          <w:tcPr>
            <w:tcW w:w="5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9.4</w:t>
            </w: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Americas</w:t>
            </w:r>
          </w:p>
        </w:tc>
        <w:tc>
          <w:tcPr>
            <w:tcW w:w="520" w:type="dxa"/>
            <w:vAlign w:val="bottom"/>
            <w:tcBorders>
              <w:bottom w:val="single" w:sz="8" w:color="auto"/>
            </w:tcBorders>
            <w:shd w:val="clear" w:color="auto" w:fill="E1F4FD"/>
          </w:tcPr>
          <w:p>
            <w:pPr>
              <w:spacing w:after="0"/>
              <w:rPr>
                <w:sz w:val="16"/>
                <w:szCs w:val="16"/>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2.7</w:t>
            </w: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4.1</w:t>
            </w:r>
          </w:p>
        </w:tc>
      </w:tr>
      <w:tr>
        <w:trPr>
          <w:trHeight w:val="197"/>
        </w:trPr>
        <w:tc>
          <w:tcPr>
            <w:tcW w:w="7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shd w:val="clear" w:color="auto" w:fill="E1F4FD"/>
          </w:tcPr>
          <w:p>
            <w:pPr>
              <w:spacing w:after="0"/>
              <w:rPr>
                <w:sz w:val="17"/>
                <w:szCs w:val="17"/>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12.6</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13.5</w:t>
            </w:r>
          </w:p>
        </w:tc>
      </w:tr>
      <w:tr>
        <w:trPr>
          <w:trHeight w:val="189"/>
        </w:trPr>
        <w:tc>
          <w:tcPr>
            <w:tcW w:w="7680" w:type="dxa"/>
            <w:vAlign w:val="bottom"/>
          </w:tcPr>
          <w:p>
            <w:pPr>
              <w:ind w:left="20"/>
              <w:spacing w:after="0"/>
              <w:rPr>
                <w:sz w:val="20"/>
                <w:szCs w:val="20"/>
                <w:color w:val="auto"/>
              </w:rPr>
            </w:pPr>
            <w:r>
              <w:rPr>
                <w:rFonts w:ascii="Arial" w:cs="Arial" w:eastAsia="Arial" w:hAnsi="Arial"/>
                <w:sz w:val="12"/>
                <w:szCs w:val="12"/>
                <w:color w:val="auto"/>
              </w:rPr>
              <w:t>Southern Europe:</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France</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11.0</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10.1</w:t>
            </w:r>
          </w:p>
        </w:tc>
        <w:tc>
          <w:tcPr>
            <w:tcW w:w="54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13.0</w:t>
            </w: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Italy</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1.9</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w:t>
            </w:r>
          </w:p>
        </w:tc>
        <w:tc>
          <w:tcPr>
            <w:tcW w:w="54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2.4</w:t>
            </w: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Southern Europe</w:t>
            </w:r>
          </w:p>
        </w:tc>
        <w:tc>
          <w:tcPr>
            <w:tcW w:w="520" w:type="dxa"/>
            <w:vAlign w:val="bottom"/>
            <w:tcBorders>
              <w:bottom w:val="single" w:sz="8" w:color="auto"/>
            </w:tcBorders>
            <w:shd w:val="clear" w:color="auto" w:fill="E1F4FD"/>
          </w:tcPr>
          <w:p>
            <w:pPr>
              <w:spacing w:after="0"/>
              <w:rPr>
                <w:sz w:val="16"/>
                <w:szCs w:val="16"/>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3.5</w:t>
            </w: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3.2</w:t>
            </w:r>
          </w:p>
        </w:tc>
      </w:tr>
      <w:tr>
        <w:trPr>
          <w:trHeight w:val="197"/>
        </w:trPr>
        <w:tc>
          <w:tcPr>
            <w:tcW w:w="7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shd w:val="clear" w:color="auto" w:fill="E1F4FD"/>
          </w:tcPr>
          <w:p>
            <w:pPr>
              <w:spacing w:after="0"/>
              <w:rPr>
                <w:sz w:val="17"/>
                <w:szCs w:val="17"/>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16.4</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18.6</w:t>
            </w: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Northern Europe</w:t>
            </w:r>
          </w:p>
        </w:tc>
        <w:tc>
          <w:tcPr>
            <w:tcW w:w="520" w:type="dxa"/>
            <w:vAlign w:val="bottom"/>
            <w:shd w:val="clear" w:color="auto" w:fill="E1F4FD"/>
          </w:tcPr>
          <w:p>
            <w:pPr>
              <w:spacing w:after="0"/>
              <w:rPr>
                <w:sz w:val="14"/>
                <w:szCs w:val="14"/>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10.9</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8.9</w:t>
            </w:r>
          </w:p>
        </w:tc>
        <w:tc>
          <w:tcPr>
            <w:tcW w:w="540" w:type="dxa"/>
            <w:vAlign w:val="bottom"/>
          </w:tcPr>
          <w:p>
            <w:pPr>
              <w:spacing w:after="0"/>
              <w:rPr>
                <w:sz w:val="14"/>
                <w:szCs w:val="14"/>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10.2</w:t>
            </w: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APME</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5.3</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w:t>
            </w:r>
          </w:p>
        </w:tc>
        <w:tc>
          <w:tcPr>
            <w:tcW w:w="54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4.4</w:t>
            </w: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Right Management</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3.9</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w:t>
            </w:r>
          </w:p>
        </w:tc>
        <w:tc>
          <w:tcPr>
            <w:tcW w:w="54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3.6</w:t>
            </w: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Corporate expenses</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0.2</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0.2</w:t>
            </w:r>
          </w:p>
        </w:tc>
        <w:tc>
          <w:tcPr>
            <w:tcW w:w="54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0.1</w:t>
            </w:r>
          </w:p>
        </w:tc>
      </w:tr>
      <w:tr>
        <w:trPr>
          <w:trHeight w:val="20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Amortization of intangible assets</w:t>
            </w:r>
            <w:r>
              <w:rPr>
                <w:rFonts w:ascii="Arial" w:cs="Arial" w:eastAsia="Arial" w:hAnsi="Arial"/>
                <w:sz w:val="16"/>
                <w:szCs w:val="16"/>
                <w:color w:val="auto"/>
                <w:vertAlign w:val="superscript"/>
              </w:rPr>
              <w:t>(a)</w:t>
            </w:r>
          </w:p>
        </w:tc>
        <w:tc>
          <w:tcPr>
            <w:tcW w:w="520" w:type="dxa"/>
            <w:vAlign w:val="bottom"/>
            <w:tcBorders>
              <w:bottom w:val="single" w:sz="8" w:color="auto"/>
            </w:tcBorders>
            <w:shd w:val="clear" w:color="auto" w:fill="E1F4FD"/>
          </w:tcPr>
          <w:p>
            <w:pPr>
              <w:spacing w:after="0"/>
              <w:rPr>
                <w:sz w:val="17"/>
                <w:szCs w:val="17"/>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36.0</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33.4</w:t>
            </w:r>
          </w:p>
        </w:tc>
      </w:tr>
      <w:tr>
        <w:trPr>
          <w:trHeight w:val="189"/>
        </w:trPr>
        <w:tc>
          <w:tcPr>
            <w:tcW w:w="76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shd w:val="clear" w:color="auto" w:fill="E1F4FD"/>
          </w:tcPr>
          <w:p>
            <w:pPr>
              <w:jc w:val="right"/>
              <w:ind w:right="358"/>
              <w:spacing w:after="0"/>
              <w:rPr>
                <w:sz w:val="20"/>
                <w:szCs w:val="20"/>
                <w:color w:val="auto"/>
              </w:rPr>
            </w:pPr>
            <w:r>
              <w:rPr>
                <w:rFonts w:ascii="Arial" w:cs="Arial" w:eastAsia="Arial" w:hAnsi="Arial"/>
                <w:sz w:val="12"/>
                <w:szCs w:val="12"/>
                <w:color w:val="4F8ABE"/>
              </w:rPr>
              <w:t>$</w:t>
            </w: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85.3</w:t>
            </w:r>
          </w:p>
        </w:tc>
        <w:tc>
          <w:tcPr>
            <w:tcW w:w="5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77.7</w:t>
            </w:r>
          </w:p>
        </w:tc>
        <w:tc>
          <w:tcPr>
            <w:tcW w:w="5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83.8</w:t>
            </w:r>
          </w:p>
        </w:tc>
      </w:tr>
      <w:tr>
        <w:trPr>
          <w:trHeight w:val="220"/>
        </w:trPr>
        <w:tc>
          <w:tcPr>
            <w:tcW w:w="7680" w:type="dxa"/>
            <w:vAlign w:val="bottom"/>
          </w:tcPr>
          <w:p>
            <w:pPr>
              <w:ind w:left="20"/>
              <w:spacing w:after="0"/>
              <w:rPr>
                <w:sz w:val="20"/>
                <w:szCs w:val="20"/>
                <w:color w:val="auto"/>
              </w:rPr>
            </w:pPr>
            <w:r>
              <w:rPr>
                <w:rFonts w:ascii="Arial" w:cs="Arial" w:eastAsia="Arial" w:hAnsi="Arial"/>
                <w:sz w:val="12"/>
                <w:szCs w:val="12"/>
                <w:color w:val="4F8ABE"/>
              </w:rPr>
              <w:t>Earnings from Equity Investments</w:t>
            </w:r>
          </w:p>
        </w:tc>
        <w:tc>
          <w:tcPr>
            <w:tcW w:w="520" w:type="dxa"/>
            <w:vAlign w:val="bottom"/>
            <w:shd w:val="clear" w:color="auto" w:fill="E1F4FD"/>
          </w:tcPr>
          <w:p>
            <w:pPr>
              <w:spacing w:after="0"/>
              <w:rPr>
                <w:sz w:val="19"/>
                <w:szCs w:val="19"/>
                <w:color w:val="auto"/>
              </w:rPr>
            </w:pPr>
          </w:p>
        </w:tc>
        <w:tc>
          <w:tcPr>
            <w:tcW w:w="760" w:type="dxa"/>
            <w:vAlign w:val="bottom"/>
            <w:shd w:val="clear" w:color="auto" w:fill="E1F4FD"/>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2"/>
                <w:szCs w:val="12"/>
                <w:color w:val="auto"/>
              </w:rPr>
              <w:t>Americas:</w:t>
            </w:r>
          </w:p>
        </w:tc>
        <w:tc>
          <w:tcPr>
            <w:tcW w:w="520" w:type="dxa"/>
            <w:vAlign w:val="bottom"/>
            <w:shd w:val="clear" w:color="auto" w:fill="E1F4FD"/>
          </w:tcPr>
          <w:p>
            <w:pPr>
              <w:spacing w:after="0"/>
              <w:rPr>
                <w:sz w:val="17"/>
                <w:szCs w:val="17"/>
                <w:color w:val="auto"/>
              </w:rPr>
            </w:pPr>
          </w:p>
        </w:tc>
        <w:tc>
          <w:tcPr>
            <w:tcW w:w="760" w:type="dxa"/>
            <w:vAlign w:val="bottom"/>
            <w:shd w:val="clear" w:color="auto" w:fill="E1F4FD"/>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520" w:type="dxa"/>
            <w:vAlign w:val="bottom"/>
            <w:shd w:val="clear" w:color="auto" w:fill="E1F4FD"/>
          </w:tcPr>
          <w:p>
            <w:pPr>
              <w:jc w:val="right"/>
              <w:ind w:right="358"/>
              <w:spacing w:after="0"/>
              <w:rPr>
                <w:sz w:val="20"/>
                <w:szCs w:val="20"/>
                <w:color w:val="auto"/>
              </w:rPr>
            </w:pPr>
            <w:r>
              <w:rPr>
                <w:rFonts w:ascii="Arial" w:cs="Arial" w:eastAsia="Arial" w:hAnsi="Arial"/>
                <w:sz w:val="12"/>
                <w:szCs w:val="12"/>
                <w:color w:val="4F8ABE"/>
              </w:rPr>
              <w:t>$</w:t>
            </w: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50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Americas</w:t>
            </w:r>
          </w:p>
        </w:tc>
        <w:tc>
          <w:tcPr>
            <w:tcW w:w="520" w:type="dxa"/>
            <w:vAlign w:val="bottom"/>
            <w:tcBorders>
              <w:bottom w:val="single" w:sz="8" w:color="auto"/>
            </w:tcBorders>
            <w:shd w:val="clear" w:color="auto" w:fill="E1F4FD"/>
          </w:tcPr>
          <w:p>
            <w:pPr>
              <w:spacing w:after="0"/>
              <w:rPr>
                <w:sz w:val="16"/>
                <w:szCs w:val="16"/>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r>
        <w:trPr>
          <w:trHeight w:val="197"/>
        </w:trPr>
        <w:tc>
          <w:tcPr>
            <w:tcW w:w="7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shd w:val="clear" w:color="auto" w:fill="E1F4FD"/>
          </w:tcPr>
          <w:p>
            <w:pPr>
              <w:spacing w:after="0"/>
              <w:rPr>
                <w:sz w:val="17"/>
                <w:szCs w:val="17"/>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r>
        <w:trPr>
          <w:trHeight w:val="189"/>
        </w:trPr>
        <w:tc>
          <w:tcPr>
            <w:tcW w:w="7680" w:type="dxa"/>
            <w:vAlign w:val="bottom"/>
          </w:tcPr>
          <w:p>
            <w:pPr>
              <w:ind w:left="20"/>
              <w:spacing w:after="0"/>
              <w:rPr>
                <w:sz w:val="20"/>
                <w:szCs w:val="20"/>
                <w:color w:val="auto"/>
              </w:rPr>
            </w:pPr>
            <w:r>
              <w:rPr>
                <w:rFonts w:ascii="Arial" w:cs="Arial" w:eastAsia="Arial" w:hAnsi="Arial"/>
                <w:sz w:val="12"/>
                <w:szCs w:val="12"/>
                <w:color w:val="auto"/>
              </w:rPr>
              <w:t>Southern Europe:</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France</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0.4</w:t>
            </w:r>
          </w:p>
        </w:tc>
        <w:tc>
          <w:tcPr>
            <w:tcW w:w="54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0.4</w:t>
            </w: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Italy</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Southern Europe</w:t>
            </w:r>
          </w:p>
        </w:tc>
        <w:tc>
          <w:tcPr>
            <w:tcW w:w="520" w:type="dxa"/>
            <w:vAlign w:val="bottom"/>
            <w:tcBorders>
              <w:bottom w:val="single" w:sz="8" w:color="auto"/>
            </w:tcBorders>
            <w:shd w:val="clear" w:color="auto" w:fill="E1F4FD"/>
          </w:tcPr>
          <w:p>
            <w:pPr>
              <w:spacing w:after="0"/>
              <w:rPr>
                <w:sz w:val="16"/>
                <w:szCs w:val="16"/>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3.6</w:t>
            </w: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5.6</w:t>
            </w:r>
          </w:p>
        </w:tc>
      </w:tr>
      <w:tr>
        <w:trPr>
          <w:trHeight w:val="197"/>
        </w:trPr>
        <w:tc>
          <w:tcPr>
            <w:tcW w:w="7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shd w:val="clear" w:color="auto" w:fill="E1F4FD"/>
          </w:tcPr>
          <w:p>
            <w:pPr>
              <w:spacing w:after="0"/>
              <w:rPr>
                <w:sz w:val="17"/>
                <w:szCs w:val="17"/>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3.6</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6.0</w:t>
            </w: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Northern Europe</w:t>
            </w:r>
          </w:p>
        </w:tc>
        <w:tc>
          <w:tcPr>
            <w:tcW w:w="520" w:type="dxa"/>
            <w:vAlign w:val="bottom"/>
            <w:shd w:val="clear" w:color="auto" w:fill="E1F4FD"/>
          </w:tcPr>
          <w:p>
            <w:pPr>
              <w:spacing w:after="0"/>
              <w:rPr>
                <w:sz w:val="14"/>
                <w:szCs w:val="14"/>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0.1</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APME</w:t>
            </w:r>
          </w:p>
        </w:tc>
        <w:tc>
          <w:tcPr>
            <w:tcW w:w="520" w:type="dxa"/>
            <w:vAlign w:val="bottom"/>
            <w:shd w:val="clear" w:color="auto" w:fill="E1F4FD"/>
          </w:tcPr>
          <w:p>
            <w:pPr>
              <w:spacing w:after="0"/>
              <w:rPr>
                <w:sz w:val="16"/>
                <w:szCs w:val="16"/>
                <w:color w:val="auto"/>
              </w:rPr>
            </w:pPr>
          </w:p>
        </w:tc>
        <w:tc>
          <w:tcPr>
            <w:tcW w:w="7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6"/>
                <w:szCs w:val="16"/>
                <w:color w:val="auto"/>
              </w:rPr>
            </w:pP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Right Management</w:t>
            </w:r>
          </w:p>
        </w:tc>
        <w:tc>
          <w:tcPr>
            <w:tcW w:w="520" w:type="dxa"/>
            <w:vAlign w:val="bottom"/>
            <w:tcBorders>
              <w:bottom w:val="single" w:sz="8" w:color="auto"/>
            </w:tcBorders>
            <w:shd w:val="clear" w:color="auto" w:fill="E1F4FD"/>
          </w:tcPr>
          <w:p>
            <w:pPr>
              <w:spacing w:after="0"/>
              <w:rPr>
                <w:sz w:val="16"/>
                <w:szCs w:val="16"/>
                <w:color w:val="auto"/>
              </w:rPr>
            </w:pP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r>
        <w:trPr>
          <w:trHeight w:val="197"/>
        </w:trPr>
        <w:tc>
          <w:tcPr>
            <w:tcW w:w="7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shd w:val="clear" w:color="auto" w:fill="E1F4FD"/>
          </w:tcPr>
          <w:p>
            <w:pPr>
              <w:jc w:val="right"/>
              <w:ind w:right="358"/>
              <w:spacing w:after="0"/>
              <w:rPr>
                <w:sz w:val="20"/>
                <w:szCs w:val="20"/>
                <w:color w:val="auto"/>
              </w:rPr>
            </w:pPr>
            <w:r>
              <w:rPr>
                <w:rFonts w:ascii="Arial" w:cs="Arial" w:eastAsia="Arial" w:hAnsi="Arial"/>
                <w:sz w:val="12"/>
                <w:szCs w:val="12"/>
                <w:color w:val="4F8ABE"/>
              </w:rPr>
              <w:t>$</w:t>
            </w:r>
          </w:p>
        </w:tc>
        <w:tc>
          <w:tcPr>
            <w:tcW w:w="7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3.6</w:t>
            </w:r>
          </w:p>
        </w:tc>
        <w:tc>
          <w:tcPr>
            <w:tcW w:w="5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c>
          <w:tcPr>
            <w:tcW w:w="5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3.0</w:t>
            </w:r>
          </w:p>
        </w:tc>
      </w:tr>
      <w:tr>
        <w:trPr>
          <w:trHeight w:val="91"/>
        </w:trPr>
        <w:tc>
          <w:tcPr>
            <w:tcW w:w="7680" w:type="dxa"/>
            <w:vAlign w:val="bottom"/>
          </w:tcPr>
          <w:p>
            <w:pPr>
              <w:spacing w:after="0"/>
              <w:rPr>
                <w:sz w:val="7"/>
                <w:szCs w:val="7"/>
                <w:color w:val="auto"/>
              </w:rPr>
            </w:pPr>
          </w:p>
        </w:tc>
        <w:tc>
          <w:tcPr>
            <w:tcW w:w="520" w:type="dxa"/>
            <w:vAlign w:val="bottom"/>
            <w:shd w:val="clear" w:color="auto" w:fill="2989B9"/>
          </w:tcPr>
          <w:p>
            <w:pPr>
              <w:spacing w:after="0"/>
              <w:rPr>
                <w:sz w:val="7"/>
                <w:szCs w:val="7"/>
                <w:color w:val="auto"/>
              </w:rPr>
            </w:pPr>
          </w:p>
        </w:tc>
        <w:tc>
          <w:tcPr>
            <w:tcW w:w="760" w:type="dxa"/>
            <w:vAlign w:val="bottom"/>
            <w:shd w:val="clear" w:color="auto" w:fill="2989B9"/>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1"/>
          <w:szCs w:val="11"/>
          <w:color w:val="282A32"/>
        </w:rPr>
        <w:t>(a) Intangible asset amortization related to acquisitions is excluded from operating costs within the reportable segments and corporate expenses, and shown separately.</w:t>
      </w:r>
    </w:p>
    <w:p>
      <w:pPr>
        <w:spacing w:after="0" w:line="368"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Notes to Consolidated Financial Statements</w:t>
      </w:r>
      <w:r>
        <w:rPr>
          <w:sz w:val="20"/>
          <w:szCs w:val="20"/>
          <w:color w:val="auto"/>
        </w:rPr>
        <w:tab/>
      </w:r>
      <w:r>
        <w:rPr>
          <w:rFonts w:ascii="Arial" w:cs="Arial" w:eastAsia="Arial" w:hAnsi="Arial"/>
          <w:sz w:val="8"/>
          <w:szCs w:val="8"/>
          <w:b w:val="1"/>
          <w:bCs w:val="1"/>
          <w:color w:val="auto"/>
        </w:rPr>
        <w:t xml:space="preserve">80 </w:t>
      </w:r>
      <w:r>
        <w:rPr>
          <w:rFonts w:ascii="Arial" w:cs="Arial" w:eastAsia="Arial" w:hAnsi="Arial"/>
          <w:sz w:val="8"/>
          <w:szCs w:val="8"/>
          <w:color w:val="auto"/>
        </w:rPr>
        <w:t>| ManpowerGroup</w:t>
      </w:r>
    </w:p>
    <w:p>
      <w:pPr>
        <w:sectPr>
          <w:pgSz w:w="11900" w:h="16838" w:orient="portrait"/>
          <w:cols w:equalWidth="0" w:num="1">
            <w:col w:w="11460"/>
          </w:cols>
          <w:pgMar w:left="220" w:top="429" w:right="21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As of December 31</w:t>
            </w:r>
          </w:p>
        </w:tc>
        <w:tc>
          <w:tcPr>
            <w:tcW w:w="420" w:type="dxa"/>
            <w:vAlign w:val="bottom"/>
            <w:tcBorders>
              <w:bottom w:val="single" w:sz="8" w:color="auto"/>
            </w:tcBorders>
            <w:shd w:val="clear" w:color="auto" w:fill="E1F4FD"/>
          </w:tcPr>
          <w:p>
            <w:pPr>
              <w:spacing w:after="0"/>
              <w:rPr>
                <w:sz w:val="13"/>
                <w:szCs w:val="13"/>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2015</w:t>
            </w: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2014</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Arial" w:cs="Arial" w:eastAsia="Arial" w:hAnsi="Arial"/>
                <w:sz w:val="12"/>
                <w:szCs w:val="12"/>
                <w:color w:val="4F8ABE"/>
              </w:rPr>
              <w:t>Total Assets</w:t>
            </w:r>
          </w:p>
        </w:tc>
        <w:tc>
          <w:tcPr>
            <w:tcW w:w="420" w:type="dxa"/>
            <w:vAlign w:val="bottom"/>
            <w:shd w:val="clear" w:color="auto" w:fill="E1F4FD"/>
          </w:tcPr>
          <w:p>
            <w:pPr>
              <w:spacing w:after="0"/>
              <w:rPr>
                <w:sz w:val="18"/>
                <w:szCs w:val="18"/>
                <w:color w:val="auto"/>
              </w:rPr>
            </w:pPr>
          </w:p>
        </w:tc>
        <w:tc>
          <w:tcPr>
            <w:tcW w:w="860" w:type="dxa"/>
            <w:vAlign w:val="bottom"/>
            <w:shd w:val="clear" w:color="auto" w:fill="E1F4FD"/>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2"/>
                <w:szCs w:val="12"/>
                <w:color w:val="auto"/>
              </w:rPr>
              <w:t>Americas:</w:t>
            </w:r>
          </w:p>
        </w:tc>
        <w:tc>
          <w:tcPr>
            <w:tcW w:w="420" w:type="dxa"/>
            <w:vAlign w:val="bottom"/>
            <w:shd w:val="clear" w:color="auto" w:fill="E1F4FD"/>
          </w:tcPr>
          <w:p>
            <w:pPr>
              <w:spacing w:after="0"/>
              <w:rPr>
                <w:sz w:val="17"/>
                <w:szCs w:val="17"/>
                <w:color w:val="auto"/>
              </w:rPr>
            </w:pPr>
          </w:p>
        </w:tc>
        <w:tc>
          <w:tcPr>
            <w:tcW w:w="860" w:type="dxa"/>
            <w:vAlign w:val="bottom"/>
            <w:shd w:val="clear" w:color="auto" w:fill="E1F4FD"/>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420" w:type="dxa"/>
            <w:vAlign w:val="bottom"/>
            <w:shd w:val="clear" w:color="auto" w:fill="E1F4FD"/>
          </w:tcPr>
          <w:p>
            <w:pPr>
              <w:jc w:val="right"/>
              <w:ind w:right="258"/>
              <w:spacing w:after="0"/>
              <w:rPr>
                <w:sz w:val="20"/>
                <w:szCs w:val="20"/>
                <w:color w:val="auto"/>
              </w:rPr>
            </w:pPr>
            <w:r>
              <w:rPr>
                <w:rFonts w:ascii="Arial" w:cs="Arial" w:eastAsia="Arial" w:hAnsi="Arial"/>
                <w:sz w:val="12"/>
                <w:szCs w:val="12"/>
                <w:color w:val="4F8ABE"/>
              </w:rPr>
              <w:t>$</w:t>
            </w: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1,718.9</w:t>
            </w:r>
          </w:p>
        </w:tc>
        <w:tc>
          <w:tcPr>
            <w:tcW w:w="40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1,708.5</w:t>
            </w:r>
          </w:p>
        </w:tc>
        <w:tc>
          <w:tcPr>
            <w:tcW w:w="4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1,532.7</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Americas</w:t>
            </w:r>
          </w:p>
        </w:tc>
        <w:tc>
          <w:tcPr>
            <w:tcW w:w="420" w:type="dxa"/>
            <w:vAlign w:val="bottom"/>
            <w:tcBorders>
              <w:bottom w:val="single" w:sz="8" w:color="auto"/>
            </w:tcBorders>
            <w:shd w:val="clear" w:color="auto" w:fill="E1F4FD"/>
          </w:tcPr>
          <w:p>
            <w:pPr>
              <w:spacing w:after="0"/>
              <w:rPr>
                <w:sz w:val="16"/>
                <w:szCs w:val="16"/>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314.4</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304.9</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284.1</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E1F4FD"/>
          </w:tcPr>
          <w:p>
            <w:pPr>
              <w:spacing w:after="0"/>
              <w:rPr>
                <w:sz w:val="17"/>
                <w:szCs w:val="17"/>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2,033.3</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2,013.4</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1,816.8</w:t>
            </w: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2"/>
                <w:szCs w:val="12"/>
                <w:color w:val="auto"/>
              </w:rPr>
              <w:t>Southern Europe:</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France</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2,104.8</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1,926.3</w:t>
            </w:r>
          </w:p>
        </w:tc>
        <w:tc>
          <w:tcPr>
            <w:tcW w:w="46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1,922.7</w:t>
            </w: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Italy</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294.9</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267.1</w:t>
            </w:r>
          </w:p>
        </w:tc>
        <w:tc>
          <w:tcPr>
            <w:tcW w:w="46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230.0</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Southern Europe</w:t>
            </w:r>
          </w:p>
        </w:tc>
        <w:tc>
          <w:tcPr>
            <w:tcW w:w="420" w:type="dxa"/>
            <w:vAlign w:val="bottom"/>
            <w:tcBorders>
              <w:bottom w:val="single" w:sz="8" w:color="auto"/>
            </w:tcBorders>
            <w:shd w:val="clear" w:color="auto" w:fill="E1F4FD"/>
          </w:tcPr>
          <w:p>
            <w:pPr>
              <w:spacing w:after="0"/>
              <w:rPr>
                <w:sz w:val="16"/>
                <w:szCs w:val="16"/>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490.1</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484.7</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467.1</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E1F4FD"/>
          </w:tcPr>
          <w:p>
            <w:pPr>
              <w:spacing w:after="0"/>
              <w:rPr>
                <w:sz w:val="17"/>
                <w:szCs w:val="17"/>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2,889.8</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2,678.1</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2,619.8</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Northern Europe</w:t>
            </w:r>
          </w:p>
        </w:tc>
        <w:tc>
          <w:tcPr>
            <w:tcW w:w="420" w:type="dxa"/>
            <w:vAlign w:val="bottom"/>
            <w:shd w:val="clear" w:color="auto" w:fill="E1F4FD"/>
          </w:tcPr>
          <w:p>
            <w:pPr>
              <w:spacing w:after="0"/>
              <w:rPr>
                <w:sz w:val="14"/>
                <w:szCs w:val="14"/>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1,292.4</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1,197.7</w:t>
            </w:r>
          </w:p>
        </w:tc>
        <w:tc>
          <w:tcPr>
            <w:tcW w:w="4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1,613.9</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APME</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612.8</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533.6</w:t>
            </w:r>
          </w:p>
        </w:tc>
        <w:tc>
          <w:tcPr>
            <w:tcW w:w="46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501.4</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Right Management</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136.6</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143.9</w:t>
            </w:r>
          </w:p>
        </w:tc>
        <w:tc>
          <w:tcPr>
            <w:tcW w:w="46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139.1</w:t>
            </w:r>
          </w:p>
        </w:tc>
        <w:tc>
          <w:tcPr>
            <w:tcW w:w="0" w:type="dxa"/>
            <w:vAlign w:val="bottom"/>
          </w:tcPr>
          <w:p>
            <w:pPr>
              <w:spacing w:after="0"/>
              <w:rPr>
                <w:sz w:val="1"/>
                <w:szCs w:val="1"/>
                <w:color w:val="auto"/>
              </w:rPr>
            </w:pPr>
          </w:p>
        </w:tc>
      </w:tr>
      <w:tr>
        <w:trPr>
          <w:trHeight w:val="202"/>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Corporate</w:t>
            </w:r>
            <w:r>
              <w:rPr>
                <w:rFonts w:ascii="Arial" w:cs="Arial" w:eastAsia="Arial" w:hAnsi="Arial"/>
                <w:sz w:val="16"/>
                <w:szCs w:val="16"/>
                <w:color w:val="auto"/>
                <w:vertAlign w:val="superscript"/>
              </w:rPr>
              <w:t>(a)</w:t>
            </w:r>
          </w:p>
        </w:tc>
        <w:tc>
          <w:tcPr>
            <w:tcW w:w="420" w:type="dxa"/>
            <w:vAlign w:val="bottom"/>
            <w:tcBorders>
              <w:bottom w:val="single" w:sz="8" w:color="auto"/>
            </w:tcBorders>
            <w:shd w:val="clear" w:color="auto" w:fill="E1F4FD"/>
          </w:tcPr>
          <w:p>
            <w:pPr>
              <w:spacing w:after="0"/>
              <w:rPr>
                <w:sz w:val="17"/>
                <w:szCs w:val="17"/>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609.3</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950.8</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490.2</w:t>
            </w:r>
          </w:p>
        </w:tc>
        <w:tc>
          <w:tcPr>
            <w:tcW w:w="0" w:type="dxa"/>
            <w:vAlign w:val="bottom"/>
          </w:tcPr>
          <w:p>
            <w:pPr>
              <w:spacing w:after="0"/>
              <w:rPr>
                <w:sz w:val="1"/>
                <w:szCs w:val="1"/>
                <w:color w:val="auto"/>
              </w:rPr>
            </w:pPr>
          </w:p>
        </w:tc>
      </w:tr>
      <w:tr>
        <w:trPr>
          <w:trHeight w:val="189"/>
        </w:trPr>
        <w:tc>
          <w:tcPr>
            <w:tcW w:w="7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shd w:val="clear" w:color="auto" w:fill="E1F4FD"/>
          </w:tcPr>
          <w:p>
            <w:pPr>
              <w:jc w:val="right"/>
              <w:ind w:right="258"/>
              <w:spacing w:after="0"/>
              <w:rPr>
                <w:sz w:val="20"/>
                <w:szCs w:val="20"/>
                <w:color w:val="auto"/>
              </w:rPr>
            </w:pPr>
            <w:r>
              <w:rPr>
                <w:rFonts w:ascii="Arial" w:cs="Arial" w:eastAsia="Arial" w:hAnsi="Arial"/>
                <w:sz w:val="12"/>
                <w:szCs w:val="12"/>
                <w:color w:val="4F8ABE"/>
              </w:rPr>
              <w:t>$</w:t>
            </w: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7,574.2</w:t>
            </w:r>
          </w:p>
        </w:tc>
        <w:tc>
          <w:tcPr>
            <w:tcW w:w="4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7,517.5</w:t>
            </w:r>
          </w:p>
        </w:tc>
        <w:tc>
          <w:tcPr>
            <w:tcW w:w="4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7,181.2</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2"/>
                <w:szCs w:val="12"/>
                <w:color w:val="4F8ABE"/>
              </w:rPr>
              <w:t>Equity Investments</w:t>
            </w:r>
          </w:p>
        </w:tc>
        <w:tc>
          <w:tcPr>
            <w:tcW w:w="420" w:type="dxa"/>
            <w:vAlign w:val="bottom"/>
            <w:shd w:val="clear" w:color="auto" w:fill="E1F4FD"/>
          </w:tcPr>
          <w:p>
            <w:pPr>
              <w:spacing w:after="0"/>
              <w:rPr>
                <w:sz w:val="19"/>
                <w:szCs w:val="19"/>
                <w:color w:val="auto"/>
              </w:rPr>
            </w:pPr>
          </w:p>
        </w:tc>
        <w:tc>
          <w:tcPr>
            <w:tcW w:w="860" w:type="dxa"/>
            <w:vAlign w:val="bottom"/>
            <w:shd w:val="clear" w:color="auto" w:fill="E1F4FD"/>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2"/>
                <w:szCs w:val="12"/>
                <w:color w:val="auto"/>
              </w:rPr>
              <w:t>Americas:</w:t>
            </w:r>
          </w:p>
        </w:tc>
        <w:tc>
          <w:tcPr>
            <w:tcW w:w="420" w:type="dxa"/>
            <w:vAlign w:val="bottom"/>
            <w:shd w:val="clear" w:color="auto" w:fill="E1F4FD"/>
          </w:tcPr>
          <w:p>
            <w:pPr>
              <w:spacing w:after="0"/>
              <w:rPr>
                <w:sz w:val="17"/>
                <w:szCs w:val="17"/>
                <w:color w:val="auto"/>
              </w:rPr>
            </w:pPr>
          </w:p>
        </w:tc>
        <w:tc>
          <w:tcPr>
            <w:tcW w:w="860" w:type="dxa"/>
            <w:vAlign w:val="bottom"/>
            <w:shd w:val="clear" w:color="auto" w:fill="E1F4FD"/>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420" w:type="dxa"/>
            <w:vAlign w:val="bottom"/>
            <w:shd w:val="clear" w:color="auto" w:fill="E1F4FD"/>
          </w:tcPr>
          <w:p>
            <w:pPr>
              <w:jc w:val="right"/>
              <w:ind w:right="258"/>
              <w:spacing w:after="0"/>
              <w:rPr>
                <w:sz w:val="20"/>
                <w:szCs w:val="20"/>
                <w:color w:val="auto"/>
              </w:rPr>
            </w:pPr>
            <w:r>
              <w:rPr>
                <w:rFonts w:ascii="Arial" w:cs="Arial" w:eastAsia="Arial" w:hAnsi="Arial"/>
                <w:sz w:val="12"/>
                <w:szCs w:val="12"/>
                <w:color w:val="4F8ABE"/>
              </w:rPr>
              <w:t>$</w:t>
            </w: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40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Americas</w:t>
            </w:r>
          </w:p>
        </w:tc>
        <w:tc>
          <w:tcPr>
            <w:tcW w:w="420" w:type="dxa"/>
            <w:vAlign w:val="bottom"/>
            <w:tcBorders>
              <w:bottom w:val="single" w:sz="8" w:color="auto"/>
            </w:tcBorders>
            <w:shd w:val="clear" w:color="auto" w:fill="E1F4FD"/>
          </w:tcPr>
          <w:p>
            <w:pPr>
              <w:spacing w:after="0"/>
              <w:rPr>
                <w:sz w:val="16"/>
                <w:szCs w:val="16"/>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E1F4FD"/>
          </w:tcPr>
          <w:p>
            <w:pPr>
              <w:spacing w:after="0"/>
              <w:rPr>
                <w:sz w:val="17"/>
                <w:szCs w:val="17"/>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2"/>
                <w:szCs w:val="12"/>
                <w:color w:val="auto"/>
              </w:rPr>
              <w:t>Southern Europe:</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France</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0.2</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Italy</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0.4</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0.2</w:t>
            </w:r>
          </w:p>
        </w:tc>
        <w:tc>
          <w:tcPr>
            <w:tcW w:w="46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Southern Europe</w:t>
            </w:r>
          </w:p>
        </w:tc>
        <w:tc>
          <w:tcPr>
            <w:tcW w:w="420" w:type="dxa"/>
            <w:vAlign w:val="bottom"/>
            <w:tcBorders>
              <w:bottom w:val="single" w:sz="8" w:color="auto"/>
            </w:tcBorders>
            <w:shd w:val="clear" w:color="auto" w:fill="E1F4FD"/>
          </w:tcPr>
          <w:p>
            <w:pPr>
              <w:spacing w:after="0"/>
              <w:rPr>
                <w:sz w:val="16"/>
                <w:szCs w:val="16"/>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139.1</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136.3</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129.7</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E1F4FD"/>
          </w:tcPr>
          <w:p>
            <w:pPr>
              <w:spacing w:after="0"/>
              <w:rPr>
                <w:sz w:val="17"/>
                <w:szCs w:val="17"/>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139.7</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136.5</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130.6</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Northern Europe</w:t>
            </w:r>
          </w:p>
        </w:tc>
        <w:tc>
          <w:tcPr>
            <w:tcW w:w="420" w:type="dxa"/>
            <w:vAlign w:val="bottom"/>
            <w:shd w:val="clear" w:color="auto" w:fill="E1F4FD"/>
          </w:tcPr>
          <w:p>
            <w:pPr>
              <w:spacing w:after="0"/>
              <w:rPr>
                <w:sz w:val="14"/>
                <w:szCs w:val="14"/>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0.1</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w:t>
            </w:r>
          </w:p>
        </w:tc>
        <w:tc>
          <w:tcPr>
            <w:tcW w:w="4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APME</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Right Management</w:t>
            </w:r>
          </w:p>
        </w:tc>
        <w:tc>
          <w:tcPr>
            <w:tcW w:w="420" w:type="dxa"/>
            <w:vAlign w:val="bottom"/>
            <w:shd w:val="clear" w:color="auto" w:fill="E1F4FD"/>
          </w:tcPr>
          <w:p>
            <w:pPr>
              <w:spacing w:after="0"/>
              <w:rPr>
                <w:sz w:val="16"/>
                <w:szCs w:val="16"/>
                <w:color w:val="auto"/>
              </w:rPr>
            </w:pPr>
          </w:p>
        </w:tc>
        <w:tc>
          <w:tcPr>
            <w:tcW w:w="86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Corporate</w:t>
            </w:r>
          </w:p>
        </w:tc>
        <w:tc>
          <w:tcPr>
            <w:tcW w:w="420" w:type="dxa"/>
            <w:vAlign w:val="bottom"/>
            <w:tcBorders>
              <w:bottom w:val="single" w:sz="8" w:color="auto"/>
            </w:tcBorders>
            <w:shd w:val="clear" w:color="auto" w:fill="E1F4FD"/>
          </w:tcPr>
          <w:p>
            <w:pPr>
              <w:spacing w:after="0"/>
              <w:rPr>
                <w:sz w:val="16"/>
                <w:szCs w:val="16"/>
                <w:color w:val="auto"/>
              </w:rPr>
            </w:pP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6.0</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shd w:val="clear" w:color="auto" w:fill="E1F4FD"/>
          </w:tcPr>
          <w:p>
            <w:pPr>
              <w:jc w:val="right"/>
              <w:ind w:right="258"/>
              <w:spacing w:after="0"/>
              <w:rPr>
                <w:sz w:val="20"/>
                <w:szCs w:val="20"/>
                <w:color w:val="auto"/>
              </w:rPr>
            </w:pPr>
            <w:r>
              <w:rPr>
                <w:rFonts w:ascii="Arial" w:cs="Arial" w:eastAsia="Arial" w:hAnsi="Arial"/>
                <w:sz w:val="12"/>
                <w:szCs w:val="12"/>
                <w:color w:val="4F8ABE"/>
              </w:rPr>
              <w:t>$</w:t>
            </w:r>
          </w:p>
        </w:tc>
        <w:tc>
          <w:tcPr>
            <w:tcW w:w="86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145.8</w:t>
            </w:r>
          </w:p>
        </w:tc>
        <w:tc>
          <w:tcPr>
            <w:tcW w:w="4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137.9</w:t>
            </w:r>
          </w:p>
        </w:tc>
        <w:tc>
          <w:tcPr>
            <w:tcW w:w="4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132.3</w:t>
            </w:r>
          </w:p>
        </w:tc>
        <w:tc>
          <w:tcPr>
            <w:tcW w:w="0" w:type="dxa"/>
            <w:vAlign w:val="bottom"/>
          </w:tcPr>
          <w:p>
            <w:pPr>
              <w:spacing w:after="0"/>
              <w:rPr>
                <w:sz w:val="1"/>
                <w:szCs w:val="1"/>
                <w:color w:val="auto"/>
              </w:rPr>
            </w:pPr>
          </w:p>
        </w:tc>
      </w:tr>
      <w:tr>
        <w:trPr>
          <w:trHeight w:val="91"/>
        </w:trPr>
        <w:tc>
          <w:tcPr>
            <w:tcW w:w="7680" w:type="dxa"/>
            <w:vAlign w:val="bottom"/>
            <w:vMerge w:val="restart"/>
          </w:tcPr>
          <w:p>
            <w:pPr>
              <w:spacing w:after="0"/>
              <w:rPr>
                <w:sz w:val="20"/>
                <w:szCs w:val="20"/>
                <w:color w:val="auto"/>
              </w:rPr>
            </w:pPr>
            <w:r>
              <w:rPr>
                <w:rFonts w:ascii="Arial" w:cs="Arial" w:eastAsia="Arial" w:hAnsi="Arial"/>
                <w:sz w:val="11"/>
                <w:szCs w:val="11"/>
                <w:color w:val="282A32"/>
              </w:rPr>
              <w:t>(a) Corporate assets include assets that were not used in the operations of any segment, the most significant of which were purchased intangibles and cash.</w:t>
            </w:r>
          </w:p>
        </w:tc>
        <w:tc>
          <w:tcPr>
            <w:tcW w:w="420" w:type="dxa"/>
            <w:vAlign w:val="bottom"/>
            <w:shd w:val="clear" w:color="auto" w:fill="2989B9"/>
          </w:tcPr>
          <w:p>
            <w:pPr>
              <w:spacing w:after="0"/>
              <w:rPr>
                <w:sz w:val="7"/>
                <w:szCs w:val="7"/>
                <w:color w:val="auto"/>
              </w:rPr>
            </w:pPr>
          </w:p>
        </w:tc>
        <w:tc>
          <w:tcPr>
            <w:tcW w:w="860" w:type="dxa"/>
            <w:vAlign w:val="bottom"/>
            <w:shd w:val="clear" w:color="auto" w:fill="2989B9"/>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76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7680" w:type="dxa"/>
            <w:vAlign w:val="bottom"/>
          </w:tcPr>
          <w:p>
            <w:pPr>
              <w:ind w:left="40"/>
              <w:spacing w:after="0"/>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81</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9"/>
                <w:szCs w:val="9"/>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60"/>
          </w:cols>
          <w:pgMar w:left="220" w:top="383" w:right="21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As of and Year Ended December 31</w:t>
            </w:r>
          </w:p>
        </w:tc>
        <w:tc>
          <w:tcPr>
            <w:tcW w:w="480" w:type="dxa"/>
            <w:vAlign w:val="bottom"/>
            <w:tcBorders>
              <w:bottom w:val="single" w:sz="8" w:color="auto"/>
            </w:tcBorders>
            <w:shd w:val="clear" w:color="auto" w:fill="E1F4FD"/>
          </w:tcPr>
          <w:p>
            <w:pPr>
              <w:spacing w:after="0"/>
              <w:rPr>
                <w:sz w:val="13"/>
                <w:szCs w:val="13"/>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2015</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2014</w:t>
            </w:r>
          </w:p>
        </w:tc>
        <w:tc>
          <w:tcPr>
            <w:tcW w:w="0" w:type="dxa"/>
            <w:vAlign w:val="bottom"/>
          </w:tcPr>
          <w:p>
            <w:pPr>
              <w:spacing w:after="0"/>
              <w:rPr>
                <w:sz w:val="1"/>
                <w:szCs w:val="1"/>
                <w:color w:val="auto"/>
              </w:rPr>
            </w:pPr>
          </w:p>
        </w:tc>
      </w:tr>
      <w:tr>
        <w:trPr>
          <w:trHeight w:val="276"/>
        </w:trPr>
        <w:tc>
          <w:tcPr>
            <w:tcW w:w="7680" w:type="dxa"/>
            <w:vAlign w:val="bottom"/>
          </w:tcPr>
          <w:p>
            <w:pPr>
              <w:ind w:left="20"/>
              <w:spacing w:after="0"/>
              <w:rPr>
                <w:sz w:val="20"/>
                <w:szCs w:val="20"/>
                <w:color w:val="auto"/>
              </w:rPr>
            </w:pPr>
            <w:r>
              <w:rPr>
                <w:rFonts w:ascii="Arial" w:cs="Arial" w:eastAsia="Arial" w:hAnsi="Arial"/>
                <w:sz w:val="12"/>
                <w:szCs w:val="12"/>
                <w:color w:val="4F8ABE"/>
              </w:rPr>
              <w:t>Long-lived Assets</w:t>
            </w:r>
            <w:r>
              <w:rPr>
                <w:rFonts w:ascii="Arial" w:cs="Arial" w:eastAsia="Arial" w:hAnsi="Arial"/>
                <w:sz w:val="16"/>
                <w:szCs w:val="16"/>
                <w:color w:val="4F8ABE"/>
                <w:vertAlign w:val="superscript"/>
              </w:rPr>
              <w:t>(a)</w:t>
            </w:r>
          </w:p>
        </w:tc>
        <w:tc>
          <w:tcPr>
            <w:tcW w:w="480" w:type="dxa"/>
            <w:vAlign w:val="bottom"/>
            <w:shd w:val="clear" w:color="auto" w:fill="E1F4FD"/>
          </w:tcPr>
          <w:p>
            <w:pPr>
              <w:spacing w:after="0"/>
              <w:rPr>
                <w:sz w:val="23"/>
                <w:szCs w:val="23"/>
                <w:color w:val="auto"/>
              </w:rPr>
            </w:pPr>
          </w:p>
        </w:tc>
        <w:tc>
          <w:tcPr>
            <w:tcW w:w="800" w:type="dxa"/>
            <w:vAlign w:val="bottom"/>
            <w:shd w:val="clear" w:color="auto" w:fill="E1F4FD"/>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0"/>
              <w:spacing w:after="0"/>
              <w:rPr>
                <w:sz w:val="20"/>
                <w:szCs w:val="20"/>
                <w:color w:val="auto"/>
              </w:rPr>
            </w:pPr>
            <w:r>
              <w:rPr>
                <w:rFonts w:ascii="Arial" w:cs="Arial" w:eastAsia="Arial" w:hAnsi="Arial"/>
                <w:sz w:val="12"/>
                <w:szCs w:val="12"/>
                <w:color w:val="auto"/>
              </w:rPr>
              <w:t>Americas:</w:t>
            </w:r>
          </w:p>
        </w:tc>
        <w:tc>
          <w:tcPr>
            <w:tcW w:w="480" w:type="dxa"/>
            <w:vAlign w:val="bottom"/>
            <w:shd w:val="clear" w:color="auto" w:fill="E1F4FD"/>
          </w:tcPr>
          <w:p>
            <w:pPr>
              <w:spacing w:after="0"/>
              <w:rPr>
                <w:sz w:val="12"/>
                <w:szCs w:val="12"/>
                <w:color w:val="auto"/>
              </w:rPr>
            </w:pPr>
          </w:p>
        </w:tc>
        <w:tc>
          <w:tcPr>
            <w:tcW w:w="800" w:type="dxa"/>
            <w:vAlign w:val="bottom"/>
            <w:shd w:val="clear" w:color="auto" w:fill="E1F4FD"/>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480" w:type="dxa"/>
            <w:vAlign w:val="bottom"/>
            <w:shd w:val="clear" w:color="auto" w:fill="E1F4FD"/>
          </w:tcPr>
          <w:p>
            <w:pPr>
              <w:jc w:val="right"/>
              <w:ind w:right="318"/>
              <w:spacing w:after="0"/>
              <w:rPr>
                <w:sz w:val="20"/>
                <w:szCs w:val="20"/>
                <w:color w:val="auto"/>
              </w:rPr>
            </w:pPr>
            <w:r>
              <w:rPr>
                <w:rFonts w:ascii="Arial" w:cs="Arial" w:eastAsia="Arial" w:hAnsi="Arial"/>
                <w:sz w:val="12"/>
                <w:szCs w:val="12"/>
                <w:color w:val="4F8ABE"/>
              </w:rPr>
              <w:t>$</w:t>
            </w: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27.7</w:t>
            </w:r>
          </w:p>
        </w:tc>
        <w:tc>
          <w:tcPr>
            <w:tcW w:w="4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26.0</w:t>
            </w:r>
          </w:p>
        </w:tc>
        <w:tc>
          <w:tcPr>
            <w:tcW w:w="3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Americas</w:t>
            </w:r>
          </w:p>
        </w:tc>
        <w:tc>
          <w:tcPr>
            <w:tcW w:w="480" w:type="dxa"/>
            <w:vAlign w:val="bottom"/>
            <w:tcBorders>
              <w:bottom w:val="single" w:sz="8" w:color="auto"/>
            </w:tcBorders>
            <w:shd w:val="clear" w:color="auto" w:fill="E1F4FD"/>
          </w:tcPr>
          <w:p>
            <w:pPr>
              <w:spacing w:after="0"/>
              <w:rPr>
                <w:sz w:val="16"/>
                <w:szCs w:val="16"/>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6.3</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shd w:val="clear" w:color="auto" w:fill="E1F4FD"/>
          </w:tcPr>
          <w:p>
            <w:pPr>
              <w:spacing w:after="0"/>
              <w:rPr>
                <w:sz w:val="17"/>
                <w:szCs w:val="17"/>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34.0</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2"/>
                <w:szCs w:val="12"/>
                <w:color w:val="auto"/>
              </w:rPr>
              <w:t>Southern Europe:</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France</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39.7</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39.2</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44.6</w:t>
            </w: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Italy</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4.4</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Southern Europe</w:t>
            </w:r>
          </w:p>
        </w:tc>
        <w:tc>
          <w:tcPr>
            <w:tcW w:w="480" w:type="dxa"/>
            <w:vAlign w:val="bottom"/>
            <w:tcBorders>
              <w:bottom w:val="single" w:sz="8" w:color="auto"/>
            </w:tcBorders>
            <w:shd w:val="clear" w:color="auto" w:fill="E1F4FD"/>
          </w:tcPr>
          <w:p>
            <w:pPr>
              <w:spacing w:after="0"/>
              <w:rPr>
                <w:sz w:val="16"/>
                <w:szCs w:val="16"/>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18.3</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shd w:val="clear" w:color="auto" w:fill="E1F4FD"/>
          </w:tcPr>
          <w:p>
            <w:pPr>
              <w:spacing w:after="0"/>
              <w:rPr>
                <w:sz w:val="17"/>
                <w:szCs w:val="17"/>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62.4</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62.7</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Northern Europe</w:t>
            </w:r>
          </w:p>
        </w:tc>
        <w:tc>
          <w:tcPr>
            <w:tcW w:w="480" w:type="dxa"/>
            <w:vAlign w:val="bottom"/>
            <w:shd w:val="clear" w:color="auto" w:fill="E1F4FD"/>
          </w:tcPr>
          <w:p>
            <w:pPr>
              <w:spacing w:after="0"/>
              <w:rPr>
                <w:sz w:val="14"/>
                <w:szCs w:val="14"/>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25.4</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30.5</w:t>
            </w:r>
          </w:p>
        </w:tc>
        <w:tc>
          <w:tcPr>
            <w:tcW w:w="300" w:type="dxa"/>
            <w:vAlign w:val="bottom"/>
          </w:tcPr>
          <w:p>
            <w:pPr>
              <w:spacing w:after="0"/>
              <w:rPr>
                <w:sz w:val="14"/>
                <w:szCs w:val="14"/>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APME</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17.9</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Right Management</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10.7</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10.5</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shd w:val="clear" w:color="auto" w:fill="E1F4FD"/>
          </w:tcPr>
          <w:p>
            <w:pPr>
              <w:spacing w:after="0"/>
              <w:rPr>
                <w:sz w:val="16"/>
                <w:szCs w:val="16"/>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0.2</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shd w:val="clear" w:color="auto" w:fill="E1F4FD"/>
          </w:tcPr>
          <w:p>
            <w:pPr>
              <w:jc w:val="right"/>
              <w:ind w:right="318"/>
              <w:spacing w:after="0"/>
              <w:rPr>
                <w:sz w:val="20"/>
                <w:szCs w:val="20"/>
                <w:color w:val="auto"/>
              </w:rPr>
            </w:pPr>
            <w:r>
              <w:rPr>
                <w:rFonts w:ascii="Arial" w:cs="Arial" w:eastAsia="Arial" w:hAnsi="Arial"/>
                <w:sz w:val="12"/>
                <w:szCs w:val="12"/>
                <w:color w:val="4F8ABE"/>
              </w:rPr>
              <w:t>$</w:t>
            </w: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150.6</w:t>
            </w:r>
          </w:p>
        </w:tc>
        <w:tc>
          <w:tcPr>
            <w:tcW w:w="4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152.2</w:t>
            </w: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154.4</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2"/>
                <w:szCs w:val="12"/>
                <w:color w:val="4F8ABE"/>
              </w:rPr>
              <w:t>Additions to Long-Lived Assets</w:t>
            </w:r>
          </w:p>
        </w:tc>
        <w:tc>
          <w:tcPr>
            <w:tcW w:w="480" w:type="dxa"/>
            <w:vAlign w:val="bottom"/>
            <w:shd w:val="clear" w:color="auto" w:fill="E1F4FD"/>
          </w:tcPr>
          <w:p>
            <w:pPr>
              <w:spacing w:after="0"/>
              <w:rPr>
                <w:sz w:val="19"/>
                <w:szCs w:val="19"/>
                <w:color w:val="auto"/>
              </w:rPr>
            </w:pPr>
          </w:p>
        </w:tc>
        <w:tc>
          <w:tcPr>
            <w:tcW w:w="800" w:type="dxa"/>
            <w:vAlign w:val="bottom"/>
            <w:shd w:val="clear" w:color="auto" w:fill="E1F4FD"/>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2"/>
                <w:szCs w:val="12"/>
                <w:color w:val="auto"/>
              </w:rPr>
              <w:t>Americas:</w:t>
            </w:r>
          </w:p>
        </w:tc>
        <w:tc>
          <w:tcPr>
            <w:tcW w:w="480" w:type="dxa"/>
            <w:vAlign w:val="bottom"/>
            <w:shd w:val="clear" w:color="auto" w:fill="E1F4FD"/>
          </w:tcPr>
          <w:p>
            <w:pPr>
              <w:spacing w:after="0"/>
              <w:rPr>
                <w:sz w:val="17"/>
                <w:szCs w:val="17"/>
                <w:color w:val="auto"/>
              </w:rPr>
            </w:pPr>
          </w:p>
        </w:tc>
        <w:tc>
          <w:tcPr>
            <w:tcW w:w="800" w:type="dxa"/>
            <w:vAlign w:val="bottom"/>
            <w:shd w:val="clear" w:color="auto" w:fill="E1F4FD"/>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480" w:type="dxa"/>
            <w:vAlign w:val="bottom"/>
            <w:shd w:val="clear" w:color="auto" w:fill="E1F4FD"/>
          </w:tcPr>
          <w:p>
            <w:pPr>
              <w:jc w:val="right"/>
              <w:ind w:right="318"/>
              <w:spacing w:after="0"/>
              <w:rPr>
                <w:sz w:val="20"/>
                <w:szCs w:val="20"/>
                <w:color w:val="auto"/>
              </w:rPr>
            </w:pPr>
            <w:r>
              <w:rPr>
                <w:rFonts w:ascii="Arial" w:cs="Arial" w:eastAsia="Arial" w:hAnsi="Arial"/>
                <w:sz w:val="12"/>
                <w:szCs w:val="12"/>
                <w:color w:val="4F8ABE"/>
              </w:rPr>
              <w:t>$</w:t>
            </w: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11.9</w:t>
            </w:r>
          </w:p>
        </w:tc>
        <w:tc>
          <w:tcPr>
            <w:tcW w:w="4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10.1</w:t>
            </w:r>
          </w:p>
        </w:tc>
        <w:tc>
          <w:tcPr>
            <w:tcW w:w="3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Americas</w:t>
            </w:r>
          </w:p>
        </w:tc>
        <w:tc>
          <w:tcPr>
            <w:tcW w:w="480" w:type="dxa"/>
            <w:vAlign w:val="bottom"/>
            <w:tcBorders>
              <w:bottom w:val="single" w:sz="8" w:color="auto"/>
            </w:tcBorders>
            <w:shd w:val="clear" w:color="auto" w:fill="E1F4FD"/>
          </w:tcPr>
          <w:p>
            <w:pPr>
              <w:spacing w:after="0"/>
              <w:rPr>
                <w:sz w:val="16"/>
                <w:szCs w:val="16"/>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1.9</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shd w:val="clear" w:color="auto" w:fill="E1F4FD"/>
          </w:tcPr>
          <w:p>
            <w:pPr>
              <w:spacing w:after="0"/>
              <w:rPr>
                <w:sz w:val="17"/>
                <w:szCs w:val="17"/>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13.8</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2"/>
                <w:szCs w:val="12"/>
                <w:color w:val="auto"/>
              </w:rPr>
              <w:t>Southern Europe:</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France</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13.3</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86"/>
        </w:trPr>
        <w:tc>
          <w:tcPr>
            <w:tcW w:w="7680" w:type="dxa"/>
            <w:vAlign w:val="bottom"/>
          </w:tcPr>
          <w:p>
            <w:pPr>
              <w:ind w:left="240"/>
              <w:spacing w:after="0"/>
              <w:rPr>
                <w:sz w:val="20"/>
                <w:szCs w:val="20"/>
                <w:color w:val="auto"/>
              </w:rPr>
            </w:pPr>
            <w:r>
              <w:rPr>
                <w:rFonts w:ascii="Arial" w:cs="Arial" w:eastAsia="Arial" w:hAnsi="Arial"/>
                <w:sz w:val="12"/>
                <w:szCs w:val="12"/>
                <w:color w:val="auto"/>
              </w:rPr>
              <w:t>Italy</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1.7</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Southern Europe</w:t>
            </w:r>
          </w:p>
        </w:tc>
        <w:tc>
          <w:tcPr>
            <w:tcW w:w="480" w:type="dxa"/>
            <w:vAlign w:val="bottom"/>
            <w:tcBorders>
              <w:bottom w:val="single" w:sz="8" w:color="auto"/>
            </w:tcBorders>
            <w:shd w:val="clear" w:color="auto" w:fill="E1F4FD"/>
          </w:tcPr>
          <w:p>
            <w:pPr>
              <w:spacing w:after="0"/>
              <w:rPr>
                <w:sz w:val="16"/>
                <w:szCs w:val="16"/>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8.9</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shd w:val="clear" w:color="auto" w:fill="E1F4FD"/>
          </w:tcPr>
          <w:p>
            <w:pPr>
              <w:spacing w:after="0"/>
              <w:rPr>
                <w:sz w:val="17"/>
                <w:szCs w:val="17"/>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23.9</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2"/>
                <w:szCs w:val="12"/>
                <w:color w:val="auto"/>
              </w:rPr>
              <w:t>Northern Europe</w:t>
            </w:r>
          </w:p>
        </w:tc>
        <w:tc>
          <w:tcPr>
            <w:tcW w:w="480" w:type="dxa"/>
            <w:vAlign w:val="bottom"/>
            <w:shd w:val="clear" w:color="auto" w:fill="E1F4FD"/>
          </w:tcPr>
          <w:p>
            <w:pPr>
              <w:spacing w:after="0"/>
              <w:rPr>
                <w:sz w:val="14"/>
                <w:szCs w:val="14"/>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8.5</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12.1</w:t>
            </w:r>
          </w:p>
        </w:tc>
        <w:tc>
          <w:tcPr>
            <w:tcW w:w="300" w:type="dxa"/>
            <w:vAlign w:val="bottom"/>
          </w:tcPr>
          <w:p>
            <w:pPr>
              <w:spacing w:after="0"/>
              <w:rPr>
                <w:sz w:val="14"/>
                <w:szCs w:val="14"/>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APME</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3.9</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Right Management</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4.5</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shd w:val="clear" w:color="auto" w:fill="E1F4FD"/>
          </w:tcPr>
          <w:p>
            <w:pPr>
              <w:spacing w:after="0"/>
              <w:rPr>
                <w:sz w:val="16"/>
                <w:szCs w:val="16"/>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shd w:val="clear" w:color="auto" w:fill="E1F4FD"/>
          </w:tcPr>
          <w:p>
            <w:pPr>
              <w:jc w:val="right"/>
              <w:ind w:right="318"/>
              <w:spacing w:after="0"/>
              <w:rPr>
                <w:sz w:val="20"/>
                <w:szCs w:val="20"/>
                <w:color w:val="auto"/>
              </w:rPr>
            </w:pPr>
            <w:r>
              <w:rPr>
                <w:rFonts w:ascii="Arial" w:cs="Arial" w:eastAsia="Arial" w:hAnsi="Arial"/>
                <w:sz w:val="12"/>
                <w:szCs w:val="12"/>
                <w:color w:val="4F8ABE"/>
              </w:rPr>
              <w:t>$</w:t>
            </w: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54.6</w:t>
            </w:r>
          </w:p>
        </w:tc>
        <w:tc>
          <w:tcPr>
            <w:tcW w:w="4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w:t>
            </w:r>
          </w:p>
        </w:tc>
        <w:tc>
          <w:tcPr>
            <w:tcW w:w="3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r>
        <w:trPr>
          <w:trHeight w:val="91"/>
        </w:trPr>
        <w:tc>
          <w:tcPr>
            <w:tcW w:w="7680" w:type="dxa"/>
            <w:vAlign w:val="bottom"/>
            <w:vMerge w:val="restart"/>
          </w:tcPr>
          <w:p>
            <w:pPr>
              <w:spacing w:after="0"/>
              <w:rPr>
                <w:sz w:val="20"/>
                <w:szCs w:val="20"/>
                <w:color w:val="auto"/>
              </w:rPr>
            </w:pPr>
            <w:r>
              <w:rPr>
                <w:rFonts w:ascii="Arial" w:cs="Arial" w:eastAsia="Arial" w:hAnsi="Arial"/>
                <w:sz w:val="11"/>
                <w:szCs w:val="11"/>
                <w:color w:val="282A32"/>
              </w:rPr>
              <w:t>(a) Further breakdown of long-lived assets by geographical region was as follows:</w:t>
            </w:r>
          </w:p>
        </w:tc>
        <w:tc>
          <w:tcPr>
            <w:tcW w:w="480" w:type="dxa"/>
            <w:vAlign w:val="bottom"/>
            <w:shd w:val="clear" w:color="auto" w:fill="2989B9"/>
          </w:tcPr>
          <w:p>
            <w:pPr>
              <w:spacing w:after="0"/>
              <w:rPr>
                <w:sz w:val="7"/>
                <w:szCs w:val="7"/>
                <w:color w:val="auto"/>
              </w:rPr>
            </w:pPr>
          </w:p>
        </w:tc>
        <w:tc>
          <w:tcPr>
            <w:tcW w:w="800" w:type="dxa"/>
            <w:vAlign w:val="bottom"/>
            <w:shd w:val="clear" w:color="auto" w:fill="2989B9"/>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768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7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Long-Lived Assets</w:t>
            </w:r>
          </w:p>
        </w:tc>
        <w:tc>
          <w:tcPr>
            <w:tcW w:w="480" w:type="dxa"/>
            <w:vAlign w:val="bottom"/>
            <w:tcBorders>
              <w:bottom w:val="single" w:sz="8" w:color="auto"/>
            </w:tcBorders>
            <w:shd w:val="clear" w:color="auto" w:fill="E1F4FD"/>
          </w:tcPr>
          <w:p>
            <w:pPr>
              <w:spacing w:after="0"/>
              <w:rPr>
                <w:sz w:val="13"/>
                <w:szCs w:val="13"/>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1"/>
                <w:szCs w:val="11"/>
                <w:color w:val="4F8ABE"/>
              </w:rPr>
              <w:t>2016</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2015</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2014</w:t>
            </w:r>
          </w:p>
        </w:tc>
        <w:tc>
          <w:tcPr>
            <w:tcW w:w="0" w:type="dxa"/>
            <w:vAlign w:val="bottom"/>
          </w:tcPr>
          <w:p>
            <w:pPr>
              <w:spacing w:after="0"/>
              <w:rPr>
                <w:sz w:val="1"/>
                <w:szCs w:val="1"/>
                <w:color w:val="auto"/>
              </w:rPr>
            </w:pPr>
          </w:p>
        </w:tc>
      </w:tr>
      <w:tr>
        <w:trPr>
          <w:trHeight w:val="166"/>
        </w:trPr>
        <w:tc>
          <w:tcPr>
            <w:tcW w:w="768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480" w:type="dxa"/>
            <w:vAlign w:val="bottom"/>
            <w:shd w:val="clear" w:color="auto" w:fill="E1F4FD"/>
          </w:tcPr>
          <w:p>
            <w:pPr>
              <w:jc w:val="right"/>
              <w:ind w:right="318"/>
              <w:spacing w:after="0"/>
              <w:rPr>
                <w:sz w:val="20"/>
                <w:szCs w:val="20"/>
                <w:color w:val="auto"/>
              </w:rPr>
            </w:pPr>
            <w:r>
              <w:rPr>
                <w:rFonts w:ascii="Arial" w:cs="Arial" w:eastAsia="Arial" w:hAnsi="Arial"/>
                <w:sz w:val="12"/>
                <w:szCs w:val="12"/>
                <w:color w:val="4F8ABE"/>
              </w:rPr>
              <w:t>$</w:t>
            </w: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33.9</w:t>
            </w:r>
          </w:p>
        </w:tc>
        <w:tc>
          <w:tcPr>
            <w:tcW w:w="4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32.3</w:t>
            </w:r>
          </w:p>
        </w:tc>
        <w:tc>
          <w:tcPr>
            <w:tcW w:w="3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30.2</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France</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40.9</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40.4</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46.0</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Italy</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4.4</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2"/>
                <w:szCs w:val="12"/>
                <w:color w:val="auto"/>
              </w:rPr>
              <w:t>United Kingdom</w:t>
            </w:r>
          </w:p>
        </w:tc>
        <w:tc>
          <w:tcPr>
            <w:tcW w:w="480" w:type="dxa"/>
            <w:vAlign w:val="bottom"/>
            <w:shd w:val="clear" w:color="auto" w:fill="E1F4FD"/>
          </w:tcPr>
          <w:p>
            <w:pPr>
              <w:spacing w:after="0"/>
              <w:rPr>
                <w:sz w:val="16"/>
                <w:szCs w:val="16"/>
                <w:color w:val="auto"/>
              </w:rPr>
            </w:pPr>
          </w:p>
        </w:tc>
        <w:tc>
          <w:tcPr>
            <w:tcW w:w="800" w:type="dxa"/>
            <w:vAlign w:val="bottom"/>
            <w:shd w:val="clear" w:color="auto" w:fill="E1F4FD"/>
          </w:tcPr>
          <w:p>
            <w:pPr>
              <w:jc w:val="right"/>
              <w:ind w:right="58"/>
              <w:spacing w:after="0"/>
              <w:rPr>
                <w:sz w:val="20"/>
                <w:szCs w:val="20"/>
                <w:color w:val="auto"/>
              </w:rPr>
            </w:pPr>
            <w:r>
              <w:rPr>
                <w:rFonts w:ascii="Arial" w:cs="Arial" w:eastAsia="Arial" w:hAnsi="Arial"/>
                <w:sz w:val="12"/>
                <w:szCs w:val="12"/>
                <w:color w:val="4F8ABE"/>
              </w:rPr>
              <w:t>9.0</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w:t>
            </w:r>
          </w:p>
        </w:tc>
        <w:tc>
          <w:tcPr>
            <w:tcW w:w="3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Foreign</w:t>
            </w:r>
          </w:p>
        </w:tc>
        <w:tc>
          <w:tcPr>
            <w:tcW w:w="480" w:type="dxa"/>
            <w:vAlign w:val="bottom"/>
            <w:tcBorders>
              <w:bottom w:val="single" w:sz="8" w:color="auto"/>
            </w:tcBorders>
            <w:shd w:val="clear" w:color="auto" w:fill="E1F4FD"/>
          </w:tcPr>
          <w:p>
            <w:pPr>
              <w:spacing w:after="0"/>
              <w:rPr>
                <w:sz w:val="16"/>
                <w:szCs w:val="16"/>
                <w:color w:val="auto"/>
              </w:rPr>
            </w:pPr>
          </w:p>
        </w:tc>
        <w:tc>
          <w:tcPr>
            <w:tcW w:w="800" w:type="dxa"/>
            <w:vAlign w:val="bottom"/>
            <w:tcBorders>
              <w:bottom w:val="single" w:sz="8" w:color="auto"/>
            </w:tcBorders>
            <w:shd w:val="clear" w:color="auto" w:fill="E1F4FD"/>
          </w:tcPr>
          <w:p>
            <w:pPr>
              <w:jc w:val="right"/>
              <w:ind w:right="58"/>
              <w:spacing w:after="0"/>
              <w:rPr>
                <w:sz w:val="20"/>
                <w:szCs w:val="20"/>
                <w:color w:val="auto"/>
              </w:rPr>
            </w:pPr>
            <w:r>
              <w:rPr>
                <w:rFonts w:ascii="Arial" w:cs="Arial" w:eastAsia="Arial" w:hAnsi="Arial"/>
                <w:sz w:val="12"/>
                <w:szCs w:val="12"/>
                <w:color w:val="4F8ABE"/>
              </w:rPr>
              <w:t>116.7</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124.2</w:t>
            </w:r>
          </w:p>
        </w:tc>
        <w:tc>
          <w:tcPr>
            <w:tcW w:w="0" w:type="dxa"/>
            <w:vAlign w:val="bottom"/>
          </w:tcPr>
          <w:p>
            <w:pPr>
              <w:spacing w:after="0"/>
              <w:rPr>
                <w:sz w:val="1"/>
                <w:szCs w:val="1"/>
                <w:color w:val="auto"/>
              </w:rPr>
            </w:pPr>
          </w:p>
        </w:tc>
      </w:tr>
      <w:tr>
        <w:trPr>
          <w:trHeight w:val="91"/>
        </w:trPr>
        <w:tc>
          <w:tcPr>
            <w:tcW w:w="7680" w:type="dxa"/>
            <w:vAlign w:val="bottom"/>
            <w:vMerge w:val="restart"/>
          </w:tcPr>
          <w:p>
            <w:pPr>
              <w:ind w:left="40"/>
              <w:spacing w:after="0"/>
              <w:rPr>
                <w:sz w:val="20"/>
                <w:szCs w:val="20"/>
                <w:color w:val="auto"/>
              </w:rPr>
            </w:pPr>
            <w:r>
              <w:rPr>
                <w:rFonts w:ascii="Arial" w:cs="Arial" w:eastAsia="Arial" w:hAnsi="Arial"/>
                <w:sz w:val="9"/>
                <w:szCs w:val="9"/>
                <w:color w:val="auto"/>
              </w:rPr>
              <w:t>Notes to Consolidated Financial Statements</w:t>
            </w:r>
          </w:p>
        </w:tc>
        <w:tc>
          <w:tcPr>
            <w:tcW w:w="480" w:type="dxa"/>
            <w:vAlign w:val="bottom"/>
            <w:shd w:val="clear" w:color="auto" w:fill="2989B9"/>
          </w:tcPr>
          <w:p>
            <w:pPr>
              <w:spacing w:after="0"/>
              <w:rPr>
                <w:sz w:val="7"/>
                <w:szCs w:val="7"/>
                <w:color w:val="auto"/>
              </w:rPr>
            </w:pPr>
          </w:p>
        </w:tc>
        <w:tc>
          <w:tcPr>
            <w:tcW w:w="800" w:type="dxa"/>
            <w:vAlign w:val="bottom"/>
            <w:shd w:val="clear" w:color="auto" w:fill="2989B9"/>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9"/>
                <w:szCs w:val="9"/>
                <w:b w:val="1"/>
                <w:bCs w:val="1"/>
                <w:color w:val="auto"/>
              </w:rPr>
              <w:t xml:space="preserve">82 </w:t>
            </w:r>
            <w:r>
              <w:rPr>
                <w:rFonts w:ascii="Arial" w:cs="Arial" w:eastAsia="Arial" w:hAnsi="Arial"/>
                <w:sz w:val="9"/>
                <w:szCs w:val="9"/>
                <w:color w:val="auto"/>
              </w:rPr>
              <w:t>| ManpowerGroup</w:t>
            </w:r>
          </w:p>
        </w:tc>
        <w:tc>
          <w:tcPr>
            <w:tcW w:w="0" w:type="dxa"/>
            <w:vAlign w:val="bottom"/>
          </w:tcPr>
          <w:p>
            <w:pPr>
              <w:spacing w:after="0"/>
              <w:rPr>
                <w:sz w:val="1"/>
                <w:szCs w:val="1"/>
                <w:color w:val="auto"/>
              </w:rPr>
            </w:pPr>
          </w:p>
        </w:tc>
      </w:tr>
      <w:tr>
        <w:trPr>
          <w:trHeight w:val="492"/>
        </w:trPr>
        <w:tc>
          <w:tcPr>
            <w:tcW w:w="76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9" w:right="21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color w:val="2989B9"/>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4A89BE"/>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2989B9"/>
        </w:rPr>
        <w:t>Note 15. Quarterly Data (Unaudited)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tcPr>
          <w:p>
            <w:pPr>
              <w:jc w:val="right"/>
              <w:ind w:right="19"/>
              <w:spacing w:after="0"/>
              <w:rPr>
                <w:sz w:val="20"/>
                <w:szCs w:val="20"/>
                <w:color w:val="auto"/>
              </w:rPr>
            </w:pPr>
            <w:r>
              <w:rPr>
                <w:rFonts w:ascii="Arial" w:cs="Arial" w:eastAsia="Arial" w:hAnsi="Arial"/>
                <w:sz w:val="11"/>
                <w:szCs w:val="11"/>
                <w:color w:val="auto"/>
              </w:rPr>
              <w:t>First</w:t>
            </w:r>
          </w:p>
        </w:tc>
        <w:tc>
          <w:tcPr>
            <w:tcW w:w="5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Second</w:t>
            </w:r>
          </w:p>
        </w:tc>
        <w:tc>
          <w:tcPr>
            <w:tcW w:w="5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Third</w:t>
            </w:r>
          </w:p>
        </w:tc>
        <w:tc>
          <w:tcPr>
            <w:tcW w:w="520" w:type="dxa"/>
            <w:vAlign w:val="bottom"/>
          </w:tcPr>
          <w:p>
            <w:pPr>
              <w:spacing w:after="0"/>
              <w:rPr>
                <w:sz w:val="10"/>
                <w:szCs w:val="10"/>
                <w:color w:val="auto"/>
              </w:rPr>
            </w:pPr>
          </w:p>
        </w:tc>
        <w:tc>
          <w:tcPr>
            <w:tcW w:w="860" w:type="dxa"/>
            <w:vAlign w:val="bottom"/>
          </w:tcPr>
          <w:p>
            <w:pPr>
              <w:jc w:val="right"/>
              <w:ind w:right="19"/>
              <w:spacing w:after="0"/>
              <w:rPr>
                <w:sz w:val="20"/>
                <w:szCs w:val="20"/>
                <w:color w:val="auto"/>
              </w:rPr>
            </w:pPr>
            <w:r>
              <w:rPr>
                <w:rFonts w:ascii="Arial" w:cs="Arial" w:eastAsia="Arial" w:hAnsi="Arial"/>
                <w:sz w:val="11"/>
                <w:szCs w:val="11"/>
                <w:color w:val="auto"/>
              </w:rPr>
              <w:t>Fourth</w:t>
            </w: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6"/>
        </w:trPr>
        <w:tc>
          <w:tcPr>
            <w:tcW w:w="33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Quarter</w:t>
            </w: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Quarter</w:t>
            </w: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Quarter</w:t>
            </w: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Quarter</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Total</w:t>
            </w:r>
          </w:p>
        </w:tc>
      </w:tr>
      <w:tr>
        <w:trPr>
          <w:trHeight w:val="217"/>
        </w:trPr>
        <w:tc>
          <w:tcPr>
            <w:tcW w:w="3300" w:type="dxa"/>
            <w:vAlign w:val="bottom"/>
          </w:tcPr>
          <w:p>
            <w:pPr>
              <w:ind w:left="20"/>
              <w:spacing w:after="0"/>
              <w:rPr>
                <w:sz w:val="20"/>
                <w:szCs w:val="20"/>
                <w:color w:val="auto"/>
              </w:rPr>
            </w:pPr>
            <w:r>
              <w:rPr>
                <w:rFonts w:ascii="Arial" w:cs="Arial" w:eastAsia="Arial" w:hAnsi="Arial"/>
                <w:sz w:val="12"/>
                <w:szCs w:val="12"/>
                <w:color w:val="2989B9"/>
              </w:rPr>
              <w:t>Year Ended December 31, 2016</w:t>
            </w: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Revenues from services</w:t>
            </w:r>
          </w:p>
        </w:tc>
        <w:tc>
          <w:tcPr>
            <w:tcW w:w="17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4,587.7</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5,022.1</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5,088.2</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4,956.1</w:t>
            </w:r>
          </w:p>
        </w:tc>
        <w:tc>
          <w:tcPr>
            <w:tcW w:w="4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19,654.1</w:t>
            </w: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17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773.8</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860.7</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858.3</w:t>
            </w:r>
          </w:p>
        </w:tc>
        <w:tc>
          <w:tcPr>
            <w:tcW w:w="5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841.0</w:t>
            </w:r>
          </w:p>
        </w:tc>
        <w:tc>
          <w:tcPr>
            <w:tcW w:w="46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3,333.8</w:t>
            </w: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Operating profit</w:t>
            </w:r>
          </w:p>
        </w:tc>
        <w:tc>
          <w:tcPr>
            <w:tcW w:w="17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131.7</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196.0</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211.1</w:t>
            </w:r>
          </w:p>
        </w:tc>
        <w:tc>
          <w:tcPr>
            <w:tcW w:w="5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212.0</w:t>
            </w:r>
          </w:p>
        </w:tc>
        <w:tc>
          <w:tcPr>
            <w:tcW w:w="46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750.8</w:t>
            </w: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Net earnings</w:t>
            </w:r>
          </w:p>
        </w:tc>
        <w:tc>
          <w:tcPr>
            <w:tcW w:w="17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71.7</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115.4</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129.2</w:t>
            </w:r>
          </w:p>
        </w:tc>
        <w:tc>
          <w:tcPr>
            <w:tcW w:w="5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127.4</w:t>
            </w:r>
          </w:p>
        </w:tc>
        <w:tc>
          <w:tcPr>
            <w:tcW w:w="46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443.7</w:t>
            </w: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Net earnings per share — basic</w:t>
            </w:r>
          </w:p>
        </w:tc>
        <w:tc>
          <w:tcPr>
            <w:tcW w:w="17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0.98</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1.61</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1.89</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1.89</w:t>
            </w:r>
          </w:p>
        </w:tc>
        <w:tc>
          <w:tcPr>
            <w:tcW w:w="4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6.33</w:t>
            </w: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Net earnings per share — diluted</w:t>
            </w:r>
          </w:p>
        </w:tc>
        <w:tc>
          <w:tcPr>
            <w:tcW w:w="17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0.98</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1.60</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1.87</w:t>
            </w:r>
          </w:p>
        </w:tc>
        <w:tc>
          <w:tcPr>
            <w:tcW w:w="5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1.87</w:t>
            </w:r>
          </w:p>
        </w:tc>
        <w:tc>
          <w:tcPr>
            <w:tcW w:w="46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6.27</w:t>
            </w: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Dividends per share</w:t>
            </w:r>
          </w:p>
        </w:tc>
        <w:tc>
          <w:tcPr>
            <w:tcW w:w="17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0.86</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0.86</w:t>
            </w:r>
          </w:p>
        </w:tc>
        <w:tc>
          <w:tcPr>
            <w:tcW w:w="46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1.72</w:t>
            </w:r>
          </w:p>
        </w:tc>
      </w:tr>
      <w:tr>
        <w:trPr>
          <w:trHeight w:val="207"/>
        </w:trPr>
        <w:tc>
          <w:tcPr>
            <w:tcW w:w="3300" w:type="dxa"/>
            <w:vAlign w:val="bottom"/>
          </w:tcPr>
          <w:p>
            <w:pPr>
              <w:ind w:left="20"/>
              <w:spacing w:after="0"/>
              <w:rPr>
                <w:sz w:val="20"/>
                <w:szCs w:val="20"/>
                <w:color w:val="auto"/>
              </w:rPr>
            </w:pPr>
            <w:r>
              <w:rPr>
                <w:rFonts w:ascii="Arial" w:cs="Arial" w:eastAsia="Arial" w:hAnsi="Arial"/>
                <w:sz w:val="12"/>
                <w:szCs w:val="12"/>
                <w:color w:val="auto"/>
              </w:rPr>
              <w:t>Market price:</w:t>
            </w: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3300" w:type="dxa"/>
            <w:vAlign w:val="bottom"/>
          </w:tcPr>
          <w:p>
            <w:pPr>
              <w:ind w:left="20"/>
              <w:spacing w:after="0"/>
              <w:rPr>
                <w:sz w:val="20"/>
                <w:szCs w:val="20"/>
                <w:color w:val="auto"/>
              </w:rPr>
            </w:pPr>
            <w:r>
              <w:rPr>
                <w:rFonts w:ascii="Arial" w:cs="Arial" w:eastAsia="Arial" w:hAnsi="Arial"/>
                <w:sz w:val="12"/>
                <w:szCs w:val="12"/>
                <w:color w:val="auto"/>
              </w:rPr>
              <w:t>High</w:t>
            </w:r>
          </w:p>
        </w:tc>
        <w:tc>
          <w:tcPr>
            <w:tcW w:w="17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81.82</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85.38</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72.61</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92.83</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Low</w:t>
            </w: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70.33</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59.90</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60.67</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71.50</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20"/>
        </w:trPr>
        <w:tc>
          <w:tcPr>
            <w:tcW w:w="3300" w:type="dxa"/>
            <w:vAlign w:val="bottom"/>
          </w:tcPr>
          <w:p>
            <w:pPr>
              <w:ind w:left="20"/>
              <w:spacing w:after="0"/>
              <w:rPr>
                <w:sz w:val="20"/>
                <w:szCs w:val="20"/>
                <w:color w:val="auto"/>
              </w:rPr>
            </w:pPr>
            <w:r>
              <w:rPr>
                <w:rFonts w:ascii="Arial" w:cs="Arial" w:eastAsia="Arial" w:hAnsi="Arial"/>
                <w:sz w:val="12"/>
                <w:szCs w:val="12"/>
                <w:color w:val="2989B9"/>
              </w:rPr>
              <w:t>Year Ended December 31, 2015</w:t>
            </w:r>
          </w:p>
        </w:tc>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Revenues from services</w:t>
            </w:r>
          </w:p>
        </w:tc>
        <w:tc>
          <w:tcPr>
            <w:tcW w:w="17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4,542.2</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4,861.3</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4,972.5</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4,953.9</w:t>
            </w:r>
          </w:p>
        </w:tc>
        <w:tc>
          <w:tcPr>
            <w:tcW w:w="4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19,329.9</w:t>
            </w:r>
          </w:p>
        </w:tc>
      </w:tr>
      <w:tr>
        <w:trPr>
          <w:trHeight w:val="186"/>
        </w:trPr>
        <w:tc>
          <w:tcPr>
            <w:tcW w:w="330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17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762.0</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830.6</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852.1</w:t>
            </w:r>
          </w:p>
        </w:tc>
        <w:tc>
          <w:tcPr>
            <w:tcW w:w="5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851.1</w:t>
            </w:r>
          </w:p>
        </w:tc>
        <w:tc>
          <w:tcPr>
            <w:tcW w:w="46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3,295.8</w:t>
            </w:r>
          </w:p>
        </w:tc>
      </w:tr>
      <w:tr>
        <w:trPr>
          <w:trHeight w:val="220"/>
        </w:trPr>
        <w:tc>
          <w:tcPr>
            <w:tcW w:w="3300" w:type="dxa"/>
            <w:vAlign w:val="bottom"/>
          </w:tcPr>
          <w:p>
            <w:pPr>
              <w:ind w:left="20"/>
              <w:spacing w:after="0"/>
              <w:rPr>
                <w:sz w:val="20"/>
                <w:szCs w:val="20"/>
                <w:color w:val="auto"/>
              </w:rPr>
            </w:pPr>
            <w:r>
              <w:rPr>
                <w:rFonts w:ascii="Arial" w:cs="Arial" w:eastAsia="Arial" w:hAnsi="Arial"/>
                <w:sz w:val="12"/>
                <w:szCs w:val="12"/>
                <w:color w:val="auto"/>
              </w:rPr>
              <w:t xml:space="preserve">Operating profit </w:t>
            </w:r>
            <w:r>
              <w:rPr>
                <w:rFonts w:ascii="Arial" w:cs="Arial" w:eastAsia="Arial" w:hAnsi="Arial"/>
                <w:sz w:val="16"/>
                <w:szCs w:val="16"/>
                <w:color w:val="auto"/>
                <w:vertAlign w:val="superscript"/>
              </w:rPr>
              <w:t>(a)</w:t>
            </w:r>
          </w:p>
        </w:tc>
        <w:tc>
          <w:tcPr>
            <w:tcW w:w="17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122.8</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178.7</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206.3</w:t>
            </w:r>
          </w:p>
        </w:tc>
        <w:tc>
          <w:tcPr>
            <w:tcW w:w="5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181.1</w:t>
            </w:r>
          </w:p>
        </w:tc>
        <w:tc>
          <w:tcPr>
            <w:tcW w:w="46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688.9</w:t>
            </w:r>
          </w:p>
        </w:tc>
      </w:tr>
      <w:tr>
        <w:trPr>
          <w:trHeight w:val="190"/>
        </w:trPr>
        <w:tc>
          <w:tcPr>
            <w:tcW w:w="3300" w:type="dxa"/>
            <w:vAlign w:val="bottom"/>
          </w:tcPr>
          <w:p>
            <w:pPr>
              <w:ind w:left="20"/>
              <w:spacing w:after="0"/>
              <w:rPr>
                <w:sz w:val="20"/>
                <w:szCs w:val="20"/>
                <w:color w:val="auto"/>
              </w:rPr>
            </w:pPr>
            <w:r>
              <w:rPr>
                <w:rFonts w:ascii="Arial" w:cs="Arial" w:eastAsia="Arial" w:hAnsi="Arial"/>
                <w:sz w:val="12"/>
                <w:szCs w:val="12"/>
                <w:color w:val="auto"/>
              </w:rPr>
              <w:t xml:space="preserve">Net earnings </w:t>
            </w:r>
            <w:r>
              <w:rPr>
                <w:rFonts w:ascii="Arial" w:cs="Arial" w:eastAsia="Arial" w:hAnsi="Arial"/>
                <w:sz w:val="16"/>
                <w:szCs w:val="16"/>
                <w:color w:val="auto"/>
                <w:vertAlign w:val="superscript"/>
              </w:rPr>
              <w:t>(b)</w:t>
            </w:r>
          </w:p>
        </w:tc>
        <w:tc>
          <w:tcPr>
            <w:tcW w:w="17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65.7</w:t>
            </w: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105.7</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123.9</w:t>
            </w:r>
          </w:p>
        </w:tc>
        <w:tc>
          <w:tcPr>
            <w:tcW w:w="52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123.9</w:t>
            </w:r>
          </w:p>
        </w:tc>
        <w:tc>
          <w:tcPr>
            <w:tcW w:w="460" w:type="dxa"/>
            <w:vAlign w:val="bottom"/>
          </w:tcPr>
          <w:p>
            <w:pPr>
              <w:spacing w:after="0"/>
              <w:rPr>
                <w:sz w:val="16"/>
                <w:szCs w:val="16"/>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419.2</w:t>
            </w:r>
          </w:p>
        </w:tc>
      </w:tr>
      <w:tr>
        <w:trPr>
          <w:trHeight w:val="148"/>
        </w:trPr>
        <w:tc>
          <w:tcPr>
            <w:tcW w:w="3300" w:type="dxa"/>
            <w:vAlign w:val="bottom"/>
          </w:tcPr>
          <w:p>
            <w:pPr>
              <w:ind w:left="20"/>
              <w:spacing w:after="0"/>
              <w:rPr>
                <w:sz w:val="20"/>
                <w:szCs w:val="20"/>
                <w:color w:val="auto"/>
              </w:rPr>
            </w:pPr>
            <w:r>
              <w:rPr>
                <w:rFonts w:ascii="Arial" w:cs="Arial" w:eastAsia="Arial" w:hAnsi="Arial"/>
                <w:sz w:val="12"/>
                <w:szCs w:val="12"/>
                <w:color w:val="auto"/>
              </w:rPr>
              <w:t>Net earnings per share — basic</w:t>
            </w:r>
          </w:p>
        </w:tc>
        <w:tc>
          <w:tcPr>
            <w:tcW w:w="17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0.83</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1.35</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1.63</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1.67</w:t>
            </w:r>
          </w:p>
        </w:tc>
        <w:tc>
          <w:tcPr>
            <w:tcW w:w="4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5.46</w:t>
            </w:r>
          </w:p>
        </w:tc>
      </w:tr>
      <w:tr>
        <w:trPr>
          <w:trHeight w:val="224"/>
        </w:trPr>
        <w:tc>
          <w:tcPr>
            <w:tcW w:w="3300" w:type="dxa"/>
            <w:vAlign w:val="bottom"/>
          </w:tcPr>
          <w:p>
            <w:pPr>
              <w:ind w:left="20"/>
              <w:spacing w:after="0"/>
              <w:rPr>
                <w:sz w:val="20"/>
                <w:szCs w:val="20"/>
                <w:color w:val="auto"/>
              </w:rPr>
            </w:pPr>
            <w:r>
              <w:rPr>
                <w:rFonts w:ascii="Arial" w:cs="Arial" w:eastAsia="Arial" w:hAnsi="Arial"/>
                <w:sz w:val="12"/>
                <w:szCs w:val="12"/>
                <w:color w:val="auto"/>
              </w:rPr>
              <w:t xml:space="preserve">Net earnings per share — diluted </w:t>
            </w:r>
            <w:r>
              <w:rPr>
                <w:rFonts w:ascii="Arial" w:cs="Arial" w:eastAsia="Arial" w:hAnsi="Arial"/>
                <w:sz w:val="16"/>
                <w:szCs w:val="16"/>
                <w:color w:val="auto"/>
                <w:vertAlign w:val="superscript"/>
              </w:rPr>
              <w:t>(c)</w:t>
            </w:r>
          </w:p>
        </w:tc>
        <w:tc>
          <w:tcPr>
            <w:tcW w:w="17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0.83</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1.33</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1.61</w:t>
            </w:r>
          </w:p>
        </w:tc>
        <w:tc>
          <w:tcPr>
            <w:tcW w:w="5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1.66</w:t>
            </w:r>
          </w:p>
        </w:tc>
        <w:tc>
          <w:tcPr>
            <w:tcW w:w="46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5.40</w:t>
            </w:r>
          </w:p>
        </w:tc>
      </w:tr>
      <w:tr>
        <w:trPr>
          <w:trHeight w:val="148"/>
        </w:trPr>
        <w:tc>
          <w:tcPr>
            <w:tcW w:w="3300" w:type="dxa"/>
            <w:vAlign w:val="bottom"/>
          </w:tcPr>
          <w:p>
            <w:pPr>
              <w:ind w:left="20"/>
              <w:spacing w:after="0"/>
              <w:rPr>
                <w:sz w:val="20"/>
                <w:szCs w:val="20"/>
                <w:color w:val="auto"/>
              </w:rPr>
            </w:pPr>
            <w:r>
              <w:rPr>
                <w:rFonts w:ascii="Arial" w:cs="Arial" w:eastAsia="Arial" w:hAnsi="Arial"/>
                <w:sz w:val="12"/>
                <w:szCs w:val="12"/>
                <w:color w:val="auto"/>
              </w:rPr>
              <w:t>Dividends per share</w:t>
            </w:r>
          </w:p>
        </w:tc>
        <w:tc>
          <w:tcPr>
            <w:tcW w:w="1780" w:type="dxa"/>
            <w:vAlign w:val="bottom"/>
          </w:tcPr>
          <w:p>
            <w:pPr>
              <w:spacing w:after="0"/>
              <w:rPr>
                <w:sz w:val="12"/>
                <w:szCs w:val="12"/>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0.80</w:t>
            </w:r>
          </w:p>
        </w:tc>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0.80</w:t>
            </w:r>
          </w:p>
        </w:tc>
        <w:tc>
          <w:tcPr>
            <w:tcW w:w="460" w:type="dxa"/>
            <w:vAlign w:val="bottom"/>
          </w:tcPr>
          <w:p>
            <w:pPr>
              <w:spacing w:after="0"/>
              <w:rPr>
                <w:sz w:val="12"/>
                <w:szCs w:val="12"/>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1.60</w:t>
            </w:r>
          </w:p>
        </w:tc>
      </w:tr>
      <w:tr>
        <w:trPr>
          <w:trHeight w:val="207"/>
        </w:trPr>
        <w:tc>
          <w:tcPr>
            <w:tcW w:w="3300" w:type="dxa"/>
            <w:vAlign w:val="bottom"/>
          </w:tcPr>
          <w:p>
            <w:pPr>
              <w:ind w:left="20"/>
              <w:spacing w:after="0"/>
              <w:rPr>
                <w:sz w:val="20"/>
                <w:szCs w:val="20"/>
                <w:color w:val="auto"/>
              </w:rPr>
            </w:pPr>
            <w:r>
              <w:rPr>
                <w:rFonts w:ascii="Arial" w:cs="Arial" w:eastAsia="Arial" w:hAnsi="Arial"/>
                <w:sz w:val="12"/>
                <w:szCs w:val="12"/>
                <w:color w:val="auto"/>
              </w:rPr>
              <w:t>Market price:</w:t>
            </w: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3300" w:type="dxa"/>
            <w:vAlign w:val="bottom"/>
          </w:tcPr>
          <w:p>
            <w:pPr>
              <w:ind w:left="20"/>
              <w:spacing w:after="0"/>
              <w:rPr>
                <w:sz w:val="20"/>
                <w:szCs w:val="20"/>
                <w:color w:val="auto"/>
              </w:rPr>
            </w:pPr>
            <w:r>
              <w:rPr>
                <w:rFonts w:ascii="Arial" w:cs="Arial" w:eastAsia="Arial" w:hAnsi="Arial"/>
                <w:sz w:val="12"/>
                <w:szCs w:val="12"/>
                <w:color w:val="auto"/>
              </w:rPr>
              <w:t>High</w:t>
            </w:r>
          </w:p>
        </w:tc>
        <w:tc>
          <w:tcPr>
            <w:tcW w:w="17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86.92</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92.00</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96.56</w:t>
            </w:r>
          </w:p>
        </w:tc>
        <w:tc>
          <w:tcPr>
            <w:tcW w:w="52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93.24</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Low</w:t>
            </w: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63.79</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82.76</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77.43</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80.48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bl>
    <w:p>
      <w:pPr>
        <w:spacing w:after="0" w:line="159" w:lineRule="exact"/>
        <w:rPr>
          <w:sz w:val="20"/>
          <w:szCs w:val="20"/>
          <w:color w:val="auto"/>
        </w:rPr>
      </w:pPr>
    </w:p>
    <w:p>
      <w:pPr>
        <w:ind w:left="160" w:hanging="157"/>
        <w:spacing w:after="0"/>
        <w:tabs>
          <w:tab w:leader="none" w:pos="16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Included restructuring costs of $16.4 recorded in the fourth quarter.</w:t>
      </w:r>
    </w:p>
    <w:p>
      <w:pPr>
        <w:spacing w:after="0" w:line="80" w:lineRule="exact"/>
        <w:rPr>
          <w:rFonts w:ascii="Arial" w:cs="Arial" w:eastAsia="Arial" w:hAnsi="Arial"/>
          <w:sz w:val="11"/>
          <w:szCs w:val="11"/>
          <w:color w:val="auto"/>
        </w:rPr>
      </w:pPr>
    </w:p>
    <w:p>
      <w:pPr>
        <w:ind w:left="160" w:hanging="157"/>
        <w:spacing w:after="0"/>
        <w:tabs>
          <w:tab w:leader="none" w:pos="16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Included non-operating gains of $10.6 recorded in the fourth quarter.</w:t>
      </w:r>
    </w:p>
    <w:p>
      <w:pPr>
        <w:spacing w:after="0" w:line="80" w:lineRule="exact"/>
        <w:rPr>
          <w:rFonts w:ascii="Arial" w:cs="Arial" w:eastAsia="Arial" w:hAnsi="Arial"/>
          <w:sz w:val="11"/>
          <w:szCs w:val="11"/>
          <w:color w:val="auto"/>
        </w:rPr>
      </w:pPr>
    </w:p>
    <w:p>
      <w:pPr>
        <w:ind w:left="160" w:hanging="157"/>
        <w:spacing w:after="0"/>
        <w:tabs>
          <w:tab w:leader="none" w:pos="16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Included in the results are restructuring costs per diluted share of $(0.17) and non-operating gains per diluted share of $0.15 for the fourth quarter.</w:t>
      </w:r>
    </w:p>
    <w:p>
      <w:pPr>
        <w:spacing w:after="0" w:line="138" w:lineRule="exact"/>
        <w:rPr>
          <w:sz w:val="20"/>
          <w:szCs w:val="20"/>
          <w:color w:val="auto"/>
        </w:rPr>
      </w:pPr>
    </w:p>
    <w:p>
      <w:pPr>
        <w:ind w:left="2860"/>
        <w:spacing w:after="0"/>
        <w:rPr>
          <w:sz w:val="20"/>
          <w:szCs w:val="20"/>
          <w:color w:val="auto"/>
        </w:rPr>
      </w:pPr>
      <w:r>
        <w:rPr>
          <w:rFonts w:ascii="Arial" w:cs="Arial" w:eastAsia="Arial" w:hAnsi="Arial"/>
          <w:sz w:val="14"/>
          <w:szCs w:val="14"/>
          <w:color w:val="55565A"/>
        </w:rPr>
        <w:t>****</w:t>
      </w:r>
    </w:p>
    <w:p>
      <w:pPr>
        <w:spacing w:after="0" w:line="380" w:lineRule="exact"/>
        <w:rPr>
          <w:sz w:val="20"/>
          <w:szCs w:val="20"/>
          <w:color w:val="auto"/>
        </w:rPr>
      </w:pPr>
    </w:p>
    <w:p>
      <w:pPr>
        <w:ind w:left="40"/>
        <w:spacing w:after="0"/>
        <w:tabs>
          <w:tab w:leader="none" w:pos="9680" w:val="left"/>
        </w:tabs>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83</w:t>
      </w:r>
      <w:r>
        <w:rPr>
          <w:sz w:val="20"/>
          <w:szCs w:val="20"/>
          <w:color w:val="auto"/>
        </w:rPr>
        <w:tab/>
      </w:r>
      <w:r>
        <w:rPr>
          <w:rFonts w:ascii="Arial" w:cs="Arial" w:eastAsia="Arial" w:hAnsi="Arial"/>
          <w:sz w:val="8"/>
          <w:szCs w:val="8"/>
          <w:color w:val="auto"/>
        </w:rPr>
        <w:t>Notes to Consolidated Financial Statements</w:t>
      </w:r>
    </w:p>
    <w:p>
      <w:pPr>
        <w:sectPr>
          <w:pgSz w:w="11900" w:h="16838" w:orient="portrait"/>
          <w:cols w:equalWidth="0" w:num="1">
            <w:col w:w="11460"/>
          </w:cols>
          <w:pgMar w:left="220" w:top="383" w:right="21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color w:val="2989B9"/>
        </w:rPr>
        <w:t>SELECTED FINANCIAL DATA</w:t>
      </w:r>
    </w:p>
    <w:p>
      <w:pPr>
        <w:spacing w:after="0"/>
        <w:rPr>
          <w:sz w:val="20"/>
          <w:szCs w:val="20"/>
          <w:color w:val="auto"/>
        </w:rPr>
      </w:pPr>
      <w:r>
        <w:rPr>
          <w:rFonts w:ascii="Arial" w:cs="Arial" w:eastAsia="Arial" w:hAnsi="Arial"/>
          <w:sz w:val="12"/>
          <w:szCs w:val="12"/>
          <w:i w:val="1"/>
          <w:iCs w:val="1"/>
          <w:color w:val="4A89BE"/>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As of and for the Year Ended December 31</w:t>
            </w:r>
          </w:p>
        </w:tc>
        <w:tc>
          <w:tcPr>
            <w:tcW w:w="440" w:type="dxa"/>
            <w:vAlign w:val="bottom"/>
            <w:tcBorders>
              <w:bottom w:val="single" w:sz="8" w:color="auto"/>
            </w:tcBorders>
            <w:shd w:val="clear" w:color="auto" w:fill="E1F4FD"/>
          </w:tcPr>
          <w:p>
            <w:pPr>
              <w:spacing w:after="0"/>
              <w:rPr>
                <w:sz w:val="13"/>
                <w:szCs w:val="13"/>
                <w:color w:val="auto"/>
              </w:rPr>
            </w:pPr>
          </w:p>
        </w:tc>
        <w:tc>
          <w:tcPr>
            <w:tcW w:w="960" w:type="dxa"/>
            <w:vAlign w:val="bottom"/>
            <w:tcBorders>
              <w:bottom w:val="single" w:sz="8" w:color="auto"/>
            </w:tcBorders>
            <w:shd w:val="clear" w:color="auto" w:fill="E1F4FD"/>
          </w:tcPr>
          <w:p>
            <w:pPr>
              <w:jc w:val="right"/>
              <w:ind w:right="79"/>
              <w:spacing w:after="0"/>
              <w:rPr>
                <w:sz w:val="20"/>
                <w:szCs w:val="20"/>
                <w:color w:val="auto"/>
              </w:rPr>
            </w:pPr>
            <w:r>
              <w:rPr>
                <w:rFonts w:ascii="Arial" w:cs="Arial" w:eastAsia="Arial" w:hAnsi="Arial"/>
                <w:sz w:val="11"/>
                <w:szCs w:val="11"/>
                <w:color w:val="4F8ABE"/>
              </w:rPr>
              <w:t>2016</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2015</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2014</w:t>
            </w: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color w:val="auto"/>
              </w:rPr>
              <w:t>2013</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color w:val="auto"/>
              </w:rPr>
              <w:t>2012</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Arial" w:cs="Arial" w:eastAsia="Arial" w:hAnsi="Arial"/>
                <w:sz w:val="12"/>
                <w:szCs w:val="12"/>
                <w:color w:val="2989B9"/>
              </w:rPr>
              <w:t>Operations Data</w:t>
            </w:r>
          </w:p>
        </w:tc>
        <w:tc>
          <w:tcPr>
            <w:tcW w:w="440" w:type="dxa"/>
            <w:vAlign w:val="bottom"/>
            <w:shd w:val="clear" w:color="auto" w:fill="E1F4FD"/>
          </w:tcPr>
          <w:p>
            <w:pPr>
              <w:spacing w:after="0"/>
              <w:rPr>
                <w:sz w:val="18"/>
                <w:szCs w:val="18"/>
                <w:color w:val="auto"/>
              </w:rPr>
            </w:pPr>
          </w:p>
        </w:tc>
        <w:tc>
          <w:tcPr>
            <w:tcW w:w="960" w:type="dxa"/>
            <w:vAlign w:val="bottom"/>
            <w:shd w:val="clear" w:color="auto" w:fill="E1F4FD"/>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2"/>
                <w:szCs w:val="12"/>
                <w:color w:val="auto"/>
              </w:rPr>
              <w:t>Revenues from services</w:t>
            </w:r>
          </w:p>
        </w:tc>
        <w:tc>
          <w:tcPr>
            <w:tcW w:w="440" w:type="dxa"/>
            <w:vAlign w:val="bottom"/>
            <w:shd w:val="clear" w:color="auto" w:fill="E1F4FD"/>
          </w:tcPr>
          <w:p>
            <w:pPr>
              <w:jc w:val="right"/>
              <w:ind w:right="298"/>
              <w:spacing w:after="0"/>
              <w:rPr>
                <w:sz w:val="20"/>
                <w:szCs w:val="20"/>
                <w:color w:val="auto"/>
              </w:rPr>
            </w:pPr>
            <w:r>
              <w:rPr>
                <w:rFonts w:ascii="Arial" w:cs="Arial" w:eastAsia="Arial" w:hAnsi="Arial"/>
                <w:sz w:val="12"/>
                <w:szCs w:val="12"/>
                <w:color w:val="4F8ABE"/>
                <w:w w:val="89"/>
              </w:rPr>
              <w:t>$</w:t>
            </w:r>
          </w:p>
        </w:tc>
        <w:tc>
          <w:tcPr>
            <w:tcW w:w="960" w:type="dxa"/>
            <w:vAlign w:val="bottom"/>
            <w:shd w:val="clear" w:color="auto" w:fill="E1F4FD"/>
          </w:tcPr>
          <w:p>
            <w:pPr>
              <w:jc w:val="right"/>
              <w:ind w:right="79"/>
              <w:spacing w:after="0"/>
              <w:rPr>
                <w:sz w:val="20"/>
                <w:szCs w:val="20"/>
                <w:color w:val="auto"/>
              </w:rPr>
            </w:pPr>
            <w:r>
              <w:rPr>
                <w:rFonts w:ascii="Arial" w:cs="Arial" w:eastAsia="Arial" w:hAnsi="Arial"/>
                <w:sz w:val="12"/>
                <w:szCs w:val="12"/>
                <w:color w:val="4F8ABE"/>
              </w:rPr>
              <w:t>19,654.1</w:t>
            </w:r>
          </w:p>
        </w:tc>
        <w:tc>
          <w:tcPr>
            <w:tcW w:w="420" w:type="dxa"/>
            <w:vAlign w:val="bottom"/>
          </w:tcPr>
          <w:p>
            <w:pPr>
              <w:jc w:val="right"/>
              <w:ind w:right="278"/>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19,329.9</w:t>
            </w:r>
          </w:p>
        </w:tc>
        <w:tc>
          <w:tcPr>
            <w:tcW w:w="48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20,762.8</w:t>
            </w:r>
          </w:p>
        </w:tc>
        <w:tc>
          <w:tcPr>
            <w:tcW w:w="48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20,250.5</w:t>
            </w:r>
          </w:p>
        </w:tc>
        <w:tc>
          <w:tcPr>
            <w:tcW w:w="3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20,678.0</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440" w:type="dxa"/>
            <w:vAlign w:val="bottom"/>
            <w:shd w:val="clear" w:color="auto" w:fill="E1F4FD"/>
          </w:tcPr>
          <w:p>
            <w:pPr>
              <w:spacing w:after="0"/>
              <w:rPr>
                <w:sz w:val="16"/>
                <w:szCs w:val="16"/>
                <w:color w:val="auto"/>
              </w:rPr>
            </w:pPr>
          </w:p>
        </w:tc>
        <w:tc>
          <w:tcPr>
            <w:tcW w:w="960" w:type="dxa"/>
            <w:vAlign w:val="bottom"/>
            <w:shd w:val="clear" w:color="auto" w:fill="E1F4FD"/>
          </w:tcPr>
          <w:p>
            <w:pPr>
              <w:jc w:val="right"/>
              <w:ind w:right="79"/>
              <w:spacing w:after="0"/>
              <w:rPr>
                <w:sz w:val="20"/>
                <w:szCs w:val="20"/>
                <w:color w:val="auto"/>
              </w:rPr>
            </w:pPr>
            <w:r>
              <w:rPr>
                <w:rFonts w:ascii="Arial" w:cs="Arial" w:eastAsia="Arial" w:hAnsi="Arial"/>
                <w:sz w:val="12"/>
                <w:szCs w:val="12"/>
                <w:color w:val="4F8ABE"/>
              </w:rPr>
              <w:t>3,333.8</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3,295.8</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3,488.2</w:t>
            </w:r>
          </w:p>
        </w:tc>
        <w:tc>
          <w:tcPr>
            <w:tcW w:w="4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3,366.7</w:t>
            </w:r>
          </w:p>
        </w:tc>
        <w:tc>
          <w:tcPr>
            <w:tcW w:w="34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3,442.0</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2"/>
                <w:szCs w:val="12"/>
                <w:color w:val="auto"/>
              </w:rPr>
              <w:t>Operating profit</w:t>
            </w:r>
          </w:p>
        </w:tc>
        <w:tc>
          <w:tcPr>
            <w:tcW w:w="440" w:type="dxa"/>
            <w:vAlign w:val="bottom"/>
            <w:shd w:val="clear" w:color="auto" w:fill="E1F4FD"/>
          </w:tcPr>
          <w:p>
            <w:pPr>
              <w:spacing w:after="0"/>
              <w:rPr>
                <w:sz w:val="16"/>
                <w:szCs w:val="16"/>
                <w:color w:val="auto"/>
              </w:rPr>
            </w:pPr>
          </w:p>
        </w:tc>
        <w:tc>
          <w:tcPr>
            <w:tcW w:w="960" w:type="dxa"/>
            <w:vAlign w:val="bottom"/>
            <w:shd w:val="clear" w:color="auto" w:fill="E1F4FD"/>
          </w:tcPr>
          <w:p>
            <w:pPr>
              <w:jc w:val="right"/>
              <w:ind w:right="79"/>
              <w:spacing w:after="0"/>
              <w:rPr>
                <w:sz w:val="20"/>
                <w:szCs w:val="20"/>
                <w:color w:val="auto"/>
              </w:rPr>
            </w:pPr>
            <w:r>
              <w:rPr>
                <w:rFonts w:ascii="Arial" w:cs="Arial" w:eastAsia="Arial" w:hAnsi="Arial"/>
                <w:sz w:val="12"/>
                <w:szCs w:val="12"/>
                <w:color w:val="4F8ABE"/>
              </w:rPr>
              <w:t>750.8</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688.9</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719.9</w:t>
            </w:r>
          </w:p>
        </w:tc>
        <w:tc>
          <w:tcPr>
            <w:tcW w:w="4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511.9</w:t>
            </w:r>
          </w:p>
        </w:tc>
        <w:tc>
          <w:tcPr>
            <w:tcW w:w="34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411.7</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2"/>
                <w:szCs w:val="12"/>
                <w:color w:val="auto"/>
              </w:rPr>
              <w:t>Net earnings</w:t>
            </w:r>
          </w:p>
        </w:tc>
        <w:tc>
          <w:tcPr>
            <w:tcW w:w="440" w:type="dxa"/>
            <w:vAlign w:val="bottom"/>
            <w:shd w:val="clear" w:color="auto" w:fill="E1F4FD"/>
          </w:tcPr>
          <w:p>
            <w:pPr>
              <w:spacing w:after="0"/>
              <w:rPr>
                <w:sz w:val="16"/>
                <w:szCs w:val="16"/>
                <w:color w:val="auto"/>
              </w:rPr>
            </w:pPr>
          </w:p>
        </w:tc>
        <w:tc>
          <w:tcPr>
            <w:tcW w:w="960" w:type="dxa"/>
            <w:vAlign w:val="bottom"/>
            <w:shd w:val="clear" w:color="auto" w:fill="E1F4FD"/>
          </w:tcPr>
          <w:p>
            <w:pPr>
              <w:jc w:val="right"/>
              <w:ind w:right="79"/>
              <w:spacing w:after="0"/>
              <w:rPr>
                <w:sz w:val="20"/>
                <w:szCs w:val="20"/>
                <w:color w:val="auto"/>
              </w:rPr>
            </w:pPr>
            <w:r>
              <w:rPr>
                <w:rFonts w:ascii="Arial" w:cs="Arial" w:eastAsia="Arial" w:hAnsi="Arial"/>
                <w:sz w:val="12"/>
                <w:szCs w:val="12"/>
                <w:color w:val="4F8ABE"/>
              </w:rPr>
              <w:t>443.7</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419.2</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427.6</w:t>
            </w:r>
          </w:p>
        </w:tc>
        <w:tc>
          <w:tcPr>
            <w:tcW w:w="4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288.0</w:t>
            </w:r>
          </w:p>
        </w:tc>
        <w:tc>
          <w:tcPr>
            <w:tcW w:w="34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197.6</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Arial" w:cs="Arial" w:eastAsia="Arial" w:hAnsi="Arial"/>
                <w:sz w:val="12"/>
                <w:szCs w:val="12"/>
                <w:color w:val="2989B9"/>
              </w:rPr>
              <w:t>Per Share Data</w:t>
            </w:r>
          </w:p>
        </w:tc>
        <w:tc>
          <w:tcPr>
            <w:tcW w:w="440" w:type="dxa"/>
            <w:vAlign w:val="bottom"/>
            <w:shd w:val="clear" w:color="auto" w:fill="E1F4FD"/>
          </w:tcPr>
          <w:p>
            <w:pPr>
              <w:spacing w:after="0"/>
              <w:rPr>
                <w:sz w:val="20"/>
                <w:szCs w:val="20"/>
                <w:color w:val="auto"/>
              </w:rPr>
            </w:pPr>
          </w:p>
        </w:tc>
        <w:tc>
          <w:tcPr>
            <w:tcW w:w="960" w:type="dxa"/>
            <w:vAlign w:val="bottom"/>
            <w:shd w:val="clear" w:color="auto" w:fill="E1F4FD"/>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2"/>
                <w:szCs w:val="12"/>
                <w:color w:val="auto"/>
              </w:rPr>
              <w:t>Net earnings — basic</w:t>
            </w:r>
          </w:p>
        </w:tc>
        <w:tc>
          <w:tcPr>
            <w:tcW w:w="440" w:type="dxa"/>
            <w:vAlign w:val="bottom"/>
            <w:shd w:val="clear" w:color="auto" w:fill="E1F4FD"/>
          </w:tcPr>
          <w:p>
            <w:pPr>
              <w:jc w:val="right"/>
              <w:ind w:right="298"/>
              <w:spacing w:after="0"/>
              <w:rPr>
                <w:sz w:val="20"/>
                <w:szCs w:val="20"/>
                <w:color w:val="auto"/>
              </w:rPr>
            </w:pPr>
            <w:r>
              <w:rPr>
                <w:rFonts w:ascii="Arial" w:cs="Arial" w:eastAsia="Arial" w:hAnsi="Arial"/>
                <w:sz w:val="12"/>
                <w:szCs w:val="12"/>
                <w:color w:val="4F8ABE"/>
                <w:w w:val="89"/>
              </w:rPr>
              <w:t>$</w:t>
            </w:r>
          </w:p>
        </w:tc>
        <w:tc>
          <w:tcPr>
            <w:tcW w:w="960" w:type="dxa"/>
            <w:vAlign w:val="bottom"/>
            <w:shd w:val="clear" w:color="auto" w:fill="E1F4FD"/>
          </w:tcPr>
          <w:p>
            <w:pPr>
              <w:jc w:val="right"/>
              <w:ind w:right="79"/>
              <w:spacing w:after="0"/>
              <w:rPr>
                <w:sz w:val="20"/>
                <w:szCs w:val="20"/>
                <w:color w:val="auto"/>
              </w:rPr>
            </w:pPr>
            <w:r>
              <w:rPr>
                <w:rFonts w:ascii="Arial" w:cs="Arial" w:eastAsia="Arial" w:hAnsi="Arial"/>
                <w:sz w:val="12"/>
                <w:szCs w:val="12"/>
                <w:color w:val="4F8ABE"/>
              </w:rPr>
              <w:t>6.33</w:t>
            </w:r>
          </w:p>
        </w:tc>
        <w:tc>
          <w:tcPr>
            <w:tcW w:w="420" w:type="dxa"/>
            <w:vAlign w:val="bottom"/>
          </w:tcPr>
          <w:p>
            <w:pPr>
              <w:jc w:val="right"/>
              <w:ind w:right="278"/>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5.46</w:t>
            </w:r>
          </w:p>
        </w:tc>
        <w:tc>
          <w:tcPr>
            <w:tcW w:w="48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5.38</w:t>
            </w:r>
          </w:p>
        </w:tc>
        <w:tc>
          <w:tcPr>
            <w:tcW w:w="48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3.69</w:t>
            </w:r>
          </w:p>
        </w:tc>
        <w:tc>
          <w:tcPr>
            <w:tcW w:w="3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2"/>
                <w:szCs w:val="12"/>
                <w:color w:val="auto"/>
              </w:rPr>
              <w:t>Net earnings — diluted</w:t>
            </w:r>
          </w:p>
        </w:tc>
        <w:tc>
          <w:tcPr>
            <w:tcW w:w="440" w:type="dxa"/>
            <w:vAlign w:val="bottom"/>
            <w:shd w:val="clear" w:color="auto" w:fill="E1F4FD"/>
          </w:tcPr>
          <w:p>
            <w:pPr>
              <w:spacing w:after="0"/>
              <w:rPr>
                <w:sz w:val="16"/>
                <w:szCs w:val="16"/>
                <w:color w:val="auto"/>
              </w:rPr>
            </w:pPr>
          </w:p>
        </w:tc>
        <w:tc>
          <w:tcPr>
            <w:tcW w:w="960" w:type="dxa"/>
            <w:vAlign w:val="bottom"/>
            <w:shd w:val="clear" w:color="auto" w:fill="E1F4FD"/>
          </w:tcPr>
          <w:p>
            <w:pPr>
              <w:jc w:val="right"/>
              <w:ind w:right="79"/>
              <w:spacing w:after="0"/>
              <w:rPr>
                <w:sz w:val="20"/>
                <w:szCs w:val="20"/>
                <w:color w:val="auto"/>
              </w:rPr>
            </w:pPr>
            <w:r>
              <w:rPr>
                <w:rFonts w:ascii="Arial" w:cs="Arial" w:eastAsia="Arial" w:hAnsi="Arial"/>
                <w:sz w:val="12"/>
                <w:szCs w:val="12"/>
                <w:color w:val="4F8ABE"/>
              </w:rPr>
              <w:t>6.27</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5.40</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5.30</w:t>
            </w:r>
          </w:p>
        </w:tc>
        <w:tc>
          <w:tcPr>
            <w:tcW w:w="4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3.62</w:t>
            </w:r>
          </w:p>
        </w:tc>
        <w:tc>
          <w:tcPr>
            <w:tcW w:w="34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2"/>
                <w:szCs w:val="12"/>
                <w:color w:val="auto"/>
              </w:rPr>
              <w:t>Dividends</w:t>
            </w:r>
          </w:p>
        </w:tc>
        <w:tc>
          <w:tcPr>
            <w:tcW w:w="440" w:type="dxa"/>
            <w:vAlign w:val="bottom"/>
            <w:shd w:val="clear" w:color="auto" w:fill="E1F4FD"/>
          </w:tcPr>
          <w:p>
            <w:pPr>
              <w:spacing w:after="0"/>
              <w:rPr>
                <w:sz w:val="16"/>
                <w:szCs w:val="16"/>
                <w:color w:val="auto"/>
              </w:rPr>
            </w:pPr>
          </w:p>
        </w:tc>
        <w:tc>
          <w:tcPr>
            <w:tcW w:w="960" w:type="dxa"/>
            <w:vAlign w:val="bottom"/>
            <w:shd w:val="clear" w:color="auto" w:fill="E1F4FD"/>
          </w:tcPr>
          <w:p>
            <w:pPr>
              <w:jc w:val="right"/>
              <w:ind w:right="79"/>
              <w:spacing w:after="0"/>
              <w:rPr>
                <w:sz w:val="20"/>
                <w:szCs w:val="20"/>
                <w:color w:val="auto"/>
              </w:rPr>
            </w:pPr>
            <w:r>
              <w:rPr>
                <w:rFonts w:ascii="Arial" w:cs="Arial" w:eastAsia="Arial" w:hAnsi="Arial"/>
                <w:sz w:val="12"/>
                <w:szCs w:val="12"/>
                <w:color w:val="4F8ABE"/>
              </w:rPr>
              <w:t>1.72</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1.60</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0.98</w:t>
            </w:r>
          </w:p>
        </w:tc>
        <w:tc>
          <w:tcPr>
            <w:tcW w:w="4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0.92</w:t>
            </w:r>
          </w:p>
        </w:tc>
        <w:tc>
          <w:tcPr>
            <w:tcW w:w="34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0.86</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Arial" w:cs="Arial" w:eastAsia="Arial" w:hAnsi="Arial"/>
                <w:sz w:val="12"/>
                <w:szCs w:val="12"/>
                <w:color w:val="2989B9"/>
              </w:rPr>
              <w:t>Balance Sheet Data</w:t>
            </w:r>
          </w:p>
        </w:tc>
        <w:tc>
          <w:tcPr>
            <w:tcW w:w="440" w:type="dxa"/>
            <w:vAlign w:val="bottom"/>
            <w:shd w:val="clear" w:color="auto" w:fill="E1F4FD"/>
          </w:tcPr>
          <w:p>
            <w:pPr>
              <w:spacing w:after="0"/>
              <w:rPr>
                <w:sz w:val="20"/>
                <w:szCs w:val="20"/>
                <w:color w:val="auto"/>
              </w:rPr>
            </w:pPr>
          </w:p>
        </w:tc>
        <w:tc>
          <w:tcPr>
            <w:tcW w:w="960" w:type="dxa"/>
            <w:vAlign w:val="bottom"/>
            <w:shd w:val="clear" w:color="auto" w:fill="E1F4FD"/>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440" w:type="dxa"/>
            <w:vAlign w:val="bottom"/>
            <w:shd w:val="clear" w:color="auto" w:fill="E1F4FD"/>
          </w:tcPr>
          <w:p>
            <w:pPr>
              <w:jc w:val="right"/>
              <w:ind w:right="298"/>
              <w:spacing w:after="0"/>
              <w:rPr>
                <w:sz w:val="20"/>
                <w:szCs w:val="20"/>
                <w:color w:val="auto"/>
              </w:rPr>
            </w:pPr>
            <w:r>
              <w:rPr>
                <w:rFonts w:ascii="Arial" w:cs="Arial" w:eastAsia="Arial" w:hAnsi="Arial"/>
                <w:sz w:val="12"/>
                <w:szCs w:val="12"/>
                <w:color w:val="4F8ABE"/>
                <w:w w:val="89"/>
              </w:rPr>
              <w:t>$</w:t>
            </w:r>
          </w:p>
        </w:tc>
        <w:tc>
          <w:tcPr>
            <w:tcW w:w="960" w:type="dxa"/>
            <w:vAlign w:val="bottom"/>
            <w:shd w:val="clear" w:color="auto" w:fill="E1F4FD"/>
          </w:tcPr>
          <w:p>
            <w:pPr>
              <w:jc w:val="right"/>
              <w:ind w:right="79"/>
              <w:spacing w:after="0"/>
              <w:rPr>
                <w:sz w:val="20"/>
                <w:szCs w:val="20"/>
                <w:color w:val="auto"/>
              </w:rPr>
            </w:pPr>
            <w:r>
              <w:rPr>
                <w:rFonts w:ascii="Arial" w:cs="Arial" w:eastAsia="Arial" w:hAnsi="Arial"/>
                <w:sz w:val="12"/>
                <w:szCs w:val="12"/>
                <w:color w:val="4F8ABE"/>
              </w:rPr>
              <w:t>7,574.2</w:t>
            </w:r>
          </w:p>
        </w:tc>
        <w:tc>
          <w:tcPr>
            <w:tcW w:w="420" w:type="dxa"/>
            <w:vAlign w:val="bottom"/>
          </w:tcPr>
          <w:p>
            <w:pPr>
              <w:jc w:val="right"/>
              <w:ind w:right="278"/>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7,517.5</w:t>
            </w:r>
          </w:p>
        </w:tc>
        <w:tc>
          <w:tcPr>
            <w:tcW w:w="48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7,181.2</w:t>
            </w:r>
          </w:p>
        </w:tc>
        <w:tc>
          <w:tcPr>
            <w:tcW w:w="48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7,286.6</w:t>
            </w:r>
          </w:p>
        </w:tc>
        <w:tc>
          <w:tcPr>
            <w:tcW w:w="3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7,010.4</w:t>
            </w:r>
          </w:p>
        </w:tc>
        <w:tc>
          <w:tcPr>
            <w:tcW w:w="0" w:type="dxa"/>
            <w:vAlign w:val="bottom"/>
          </w:tcPr>
          <w:p>
            <w:pPr>
              <w:spacing w:after="0"/>
              <w:rPr>
                <w:sz w:val="1"/>
                <w:szCs w:val="1"/>
                <w:color w:val="auto"/>
              </w:rPr>
            </w:pPr>
          </w:p>
        </w:tc>
      </w:tr>
      <w:tr>
        <w:trPr>
          <w:trHeight w:val="19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Long-term debt</w:t>
            </w:r>
          </w:p>
        </w:tc>
        <w:tc>
          <w:tcPr>
            <w:tcW w:w="440" w:type="dxa"/>
            <w:vAlign w:val="bottom"/>
            <w:tcBorders>
              <w:bottom w:val="single" w:sz="8" w:color="auto"/>
            </w:tcBorders>
            <w:shd w:val="clear" w:color="auto" w:fill="E1F4FD"/>
          </w:tcPr>
          <w:p>
            <w:pPr>
              <w:spacing w:after="0"/>
              <w:rPr>
                <w:sz w:val="16"/>
                <w:szCs w:val="16"/>
                <w:color w:val="auto"/>
              </w:rPr>
            </w:pPr>
          </w:p>
        </w:tc>
        <w:tc>
          <w:tcPr>
            <w:tcW w:w="960" w:type="dxa"/>
            <w:vAlign w:val="bottom"/>
            <w:tcBorders>
              <w:bottom w:val="single" w:sz="8" w:color="auto"/>
            </w:tcBorders>
            <w:shd w:val="clear" w:color="auto" w:fill="E1F4FD"/>
          </w:tcPr>
          <w:p>
            <w:pPr>
              <w:jc w:val="right"/>
              <w:ind w:right="79"/>
              <w:spacing w:after="0"/>
              <w:rPr>
                <w:sz w:val="20"/>
                <w:szCs w:val="20"/>
                <w:color w:val="auto"/>
              </w:rPr>
            </w:pPr>
            <w:r>
              <w:rPr>
                <w:rFonts w:ascii="Arial" w:cs="Arial" w:eastAsia="Arial" w:hAnsi="Arial"/>
                <w:sz w:val="12"/>
                <w:szCs w:val="12"/>
                <w:color w:val="4F8ABE"/>
              </w:rPr>
              <w:t>785.6</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810.9</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422.6</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480.2</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459.9</w:t>
            </w:r>
          </w:p>
        </w:tc>
        <w:tc>
          <w:tcPr>
            <w:tcW w:w="0" w:type="dxa"/>
            <w:vAlign w:val="bottom"/>
          </w:tcPr>
          <w:p>
            <w:pPr>
              <w:spacing w:after="0"/>
              <w:rPr>
                <w:sz w:val="1"/>
                <w:szCs w:val="1"/>
                <w:color w:val="auto"/>
              </w:rPr>
            </w:pPr>
          </w:p>
        </w:tc>
      </w:tr>
      <w:tr>
        <w:trPr>
          <w:trHeight w:val="91"/>
        </w:trPr>
        <w:tc>
          <w:tcPr>
            <w:tcW w:w="4600" w:type="dxa"/>
            <w:vAlign w:val="bottom"/>
            <w:vMerge w:val="restart"/>
          </w:tcPr>
          <w:p>
            <w:pPr>
              <w:ind w:left="40"/>
              <w:spacing w:after="0"/>
              <w:rPr>
                <w:sz w:val="20"/>
                <w:szCs w:val="20"/>
                <w:color w:val="auto"/>
              </w:rPr>
            </w:pPr>
            <w:r>
              <w:rPr>
                <w:rFonts w:ascii="Arial" w:cs="Arial" w:eastAsia="Arial" w:hAnsi="Arial"/>
                <w:sz w:val="9"/>
                <w:szCs w:val="9"/>
                <w:color w:val="auto"/>
              </w:rPr>
              <w:t>Selected Financial Data</w:t>
            </w:r>
          </w:p>
        </w:tc>
        <w:tc>
          <w:tcPr>
            <w:tcW w:w="440" w:type="dxa"/>
            <w:vAlign w:val="bottom"/>
            <w:shd w:val="clear" w:color="auto" w:fill="2989B9"/>
          </w:tcPr>
          <w:p>
            <w:pPr>
              <w:spacing w:after="0"/>
              <w:rPr>
                <w:sz w:val="7"/>
                <w:szCs w:val="7"/>
                <w:color w:val="auto"/>
              </w:rPr>
            </w:pPr>
          </w:p>
        </w:tc>
        <w:tc>
          <w:tcPr>
            <w:tcW w:w="960" w:type="dxa"/>
            <w:vAlign w:val="bottom"/>
            <w:shd w:val="clear" w:color="auto" w:fill="2989B9"/>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 xml:space="preserve">84 </w:t>
            </w:r>
            <w:r>
              <w:rPr>
                <w:rFonts w:ascii="Arial" w:cs="Arial" w:eastAsia="Arial" w:hAnsi="Arial"/>
                <w:sz w:val="9"/>
                <w:szCs w:val="9"/>
                <w:color w:val="auto"/>
              </w:rPr>
              <w:t>| ManpowerGroup</w:t>
            </w:r>
          </w:p>
        </w:tc>
        <w:tc>
          <w:tcPr>
            <w:tcW w:w="0" w:type="dxa"/>
            <w:vAlign w:val="bottom"/>
          </w:tcPr>
          <w:p>
            <w:pPr>
              <w:spacing w:after="0"/>
              <w:rPr>
                <w:sz w:val="1"/>
                <w:szCs w:val="1"/>
                <w:color w:val="auto"/>
              </w:rPr>
            </w:pPr>
          </w:p>
        </w:tc>
      </w:tr>
      <w:tr>
        <w:trPr>
          <w:trHeight w:val="781"/>
        </w:trPr>
        <w:tc>
          <w:tcPr>
            <w:tcW w:w="46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39" w:right="21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2989B9"/>
        </w:rPr>
        <w:t>PERFORMANCE GRAPH</w:t>
      </w:r>
    </w:p>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82A32"/>
        </w:rPr>
        <w:t>Set forth below is a graph for the periods ending December 31, 2011–2016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26% of the total market capitalization of the companies included in the index. The graph assumes a $100 investment on December 31, 2011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-7620</wp:posOffset>
            </wp:positionV>
            <wp:extent cx="3764280" cy="2030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64280" cy="203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December 31</w:t>
            </w:r>
          </w:p>
        </w:tc>
        <w:tc>
          <w:tcPr>
            <w:tcW w:w="380" w:type="dxa"/>
            <w:vAlign w:val="bottom"/>
            <w:tcBorders>
              <w:bottom w:val="single" w:sz="8" w:color="auto"/>
            </w:tcBorders>
            <w:shd w:val="clear" w:color="auto" w:fill="E1F4FD"/>
          </w:tcPr>
          <w:p>
            <w:pPr>
              <w:spacing w:after="0"/>
              <w:rPr>
                <w:sz w:val="13"/>
                <w:szCs w:val="13"/>
                <w:color w:val="auto"/>
              </w:rPr>
            </w:pPr>
          </w:p>
        </w:tc>
        <w:tc>
          <w:tcPr>
            <w:tcW w:w="680" w:type="dxa"/>
            <w:vAlign w:val="bottom"/>
            <w:tcBorders>
              <w:bottom w:val="single" w:sz="8" w:color="auto"/>
            </w:tcBorders>
            <w:shd w:val="clear" w:color="auto" w:fill="E1F4FD"/>
          </w:tcPr>
          <w:p>
            <w:pPr>
              <w:jc w:val="right"/>
              <w:ind w:right="60"/>
              <w:spacing w:after="0"/>
              <w:rPr>
                <w:sz w:val="20"/>
                <w:szCs w:val="20"/>
                <w:color w:val="auto"/>
              </w:rPr>
            </w:pPr>
            <w:r>
              <w:rPr>
                <w:rFonts w:ascii="Arial" w:cs="Arial" w:eastAsia="Arial" w:hAnsi="Arial"/>
                <w:sz w:val="11"/>
                <w:szCs w:val="11"/>
                <w:color w:val="4F8ABE"/>
              </w:rPr>
              <w:t>2016</w:t>
            </w: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2015</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2014</w:t>
            </w: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color w:val="auto"/>
              </w:rPr>
              <w:t>2013</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color w:val="auto"/>
              </w:rPr>
              <w:t>2012</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2011</w:t>
            </w:r>
          </w:p>
        </w:tc>
        <w:tc>
          <w:tcPr>
            <w:tcW w:w="0" w:type="dxa"/>
            <w:vAlign w:val="bottom"/>
          </w:tcPr>
          <w:p>
            <w:pPr>
              <w:spacing w:after="0"/>
              <w:rPr>
                <w:sz w:val="1"/>
                <w:szCs w:val="1"/>
                <w:color w:val="auto"/>
              </w:rPr>
            </w:pPr>
          </w:p>
        </w:tc>
      </w:tr>
      <w:tr>
        <w:trPr>
          <w:trHeight w:val="166"/>
        </w:trPr>
        <w:tc>
          <w:tcPr>
            <w:tcW w:w="5280" w:type="dxa"/>
            <w:vAlign w:val="bottom"/>
          </w:tcPr>
          <w:p>
            <w:pPr>
              <w:ind w:left="20"/>
              <w:spacing w:after="0"/>
              <w:rPr>
                <w:sz w:val="20"/>
                <w:szCs w:val="20"/>
                <w:color w:val="auto"/>
              </w:rPr>
            </w:pPr>
            <w:r>
              <w:rPr>
                <w:rFonts w:ascii="Arial" w:cs="Arial" w:eastAsia="Arial" w:hAnsi="Arial"/>
                <w:sz w:val="12"/>
                <w:szCs w:val="12"/>
                <w:color w:val="auto"/>
              </w:rPr>
              <w:t>ManpowerGroup</w:t>
            </w:r>
          </w:p>
        </w:tc>
        <w:tc>
          <w:tcPr>
            <w:tcW w:w="380" w:type="dxa"/>
            <w:vAlign w:val="bottom"/>
            <w:shd w:val="clear" w:color="auto" w:fill="E1F4FD"/>
          </w:tcPr>
          <w:p>
            <w:pPr>
              <w:jc w:val="right"/>
              <w:ind w:right="238"/>
              <w:spacing w:after="0"/>
              <w:rPr>
                <w:sz w:val="20"/>
                <w:szCs w:val="20"/>
                <w:color w:val="auto"/>
              </w:rPr>
            </w:pPr>
            <w:r>
              <w:rPr>
                <w:rFonts w:ascii="Arial" w:cs="Arial" w:eastAsia="Arial" w:hAnsi="Arial"/>
                <w:sz w:val="12"/>
                <w:szCs w:val="12"/>
                <w:color w:val="4F8ABE"/>
                <w:w w:val="89"/>
              </w:rPr>
              <w:t>$</w:t>
            </w:r>
          </w:p>
        </w:tc>
        <w:tc>
          <w:tcPr>
            <w:tcW w:w="680" w:type="dxa"/>
            <w:vAlign w:val="bottom"/>
            <w:shd w:val="clear" w:color="auto" w:fill="E1F4FD"/>
          </w:tcPr>
          <w:p>
            <w:pPr>
              <w:jc w:val="right"/>
              <w:ind w:right="80"/>
              <w:spacing w:after="0"/>
              <w:rPr>
                <w:sz w:val="20"/>
                <w:szCs w:val="20"/>
                <w:color w:val="auto"/>
              </w:rPr>
            </w:pPr>
            <w:r>
              <w:rPr>
                <w:rFonts w:ascii="Arial" w:cs="Arial" w:eastAsia="Arial" w:hAnsi="Arial"/>
                <w:sz w:val="12"/>
                <w:szCs w:val="12"/>
                <w:color w:val="4F8ABE"/>
              </w:rPr>
              <w:t>249</w:t>
            </w:r>
          </w:p>
        </w:tc>
        <w:tc>
          <w:tcPr>
            <w:tcW w:w="380" w:type="dxa"/>
            <w:vAlign w:val="bottom"/>
          </w:tcPr>
          <w:p>
            <w:pPr>
              <w:jc w:val="right"/>
              <w:ind w:right="238"/>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236</w:t>
            </w:r>
          </w:p>
        </w:tc>
        <w:tc>
          <w:tcPr>
            <w:tcW w:w="42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191</w:t>
            </w:r>
          </w:p>
        </w:tc>
        <w:tc>
          <w:tcPr>
            <w:tcW w:w="44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240</w:t>
            </w:r>
          </w:p>
        </w:tc>
        <w:tc>
          <w:tcPr>
            <w:tcW w:w="42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119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43"/>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2"/>
                <w:szCs w:val="12"/>
                <w:color w:val="auto"/>
              </w:rPr>
              <w:t>S&amp;P 400 Midcap Stock Index</w:t>
            </w:r>
          </w:p>
        </w:tc>
        <w:tc>
          <w:tcPr>
            <w:tcW w:w="380" w:type="dxa"/>
            <w:vAlign w:val="bottom"/>
            <w:shd w:val="clear" w:color="auto" w:fill="E1F4FD"/>
          </w:tcPr>
          <w:p>
            <w:pPr>
              <w:spacing w:after="0"/>
              <w:rPr>
                <w:sz w:val="16"/>
                <w:szCs w:val="16"/>
                <w:color w:val="auto"/>
              </w:rPr>
            </w:pPr>
          </w:p>
        </w:tc>
        <w:tc>
          <w:tcPr>
            <w:tcW w:w="680" w:type="dxa"/>
            <w:vAlign w:val="bottom"/>
            <w:shd w:val="clear" w:color="auto" w:fill="E1F4FD"/>
          </w:tcPr>
          <w:p>
            <w:pPr>
              <w:jc w:val="right"/>
              <w:ind w:right="80"/>
              <w:spacing w:after="0"/>
              <w:rPr>
                <w:sz w:val="20"/>
                <w:szCs w:val="20"/>
                <w:color w:val="auto"/>
              </w:rPr>
            </w:pPr>
            <w:r>
              <w:rPr>
                <w:rFonts w:ascii="Arial" w:cs="Arial" w:eastAsia="Arial" w:hAnsi="Arial"/>
                <w:sz w:val="12"/>
                <w:szCs w:val="12"/>
                <w:color w:val="4F8ABE"/>
              </w:rPr>
              <w:t>189</w:t>
            </w: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159</w:t>
            </w: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165</w:t>
            </w:r>
          </w:p>
        </w:tc>
        <w:tc>
          <w:tcPr>
            <w:tcW w:w="440" w:type="dxa"/>
            <w:vAlign w:val="bottom"/>
          </w:tcPr>
          <w:p>
            <w:pPr>
              <w:spacing w:after="0"/>
              <w:rPr>
                <w:sz w:val="16"/>
                <w:szCs w:val="16"/>
                <w:color w:val="auto"/>
              </w:rPr>
            </w:pP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153</w:t>
            </w:r>
          </w:p>
        </w:tc>
        <w:tc>
          <w:tcPr>
            <w:tcW w:w="420" w:type="dxa"/>
            <w:vAlign w:val="bottom"/>
          </w:tcPr>
          <w:p>
            <w:pPr>
              <w:spacing w:after="0"/>
              <w:rPr>
                <w:sz w:val="16"/>
                <w:szCs w:val="16"/>
                <w:color w:val="auto"/>
              </w:rPr>
            </w:pP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116</w:t>
            </w:r>
          </w:p>
        </w:tc>
        <w:tc>
          <w:tcPr>
            <w:tcW w:w="200" w:type="dxa"/>
            <w:vAlign w:val="bottom"/>
          </w:tcPr>
          <w:p>
            <w:pPr>
              <w:spacing w:after="0"/>
              <w:rPr>
                <w:sz w:val="16"/>
                <w:szCs w:val="16"/>
                <w:color w:val="auto"/>
              </w:rPr>
            </w:pPr>
          </w:p>
        </w:tc>
        <w:tc>
          <w:tcPr>
            <w:tcW w:w="860" w:type="dxa"/>
            <w:vAlign w:val="bottom"/>
          </w:tcPr>
          <w:p>
            <w:pPr>
              <w:jc w:val="right"/>
              <w:ind w:right="43"/>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83"/>
        </w:trPr>
        <w:tc>
          <w:tcPr>
            <w:tcW w:w="5280" w:type="dxa"/>
            <w:vAlign w:val="bottom"/>
          </w:tcPr>
          <w:p>
            <w:pPr>
              <w:ind w:left="20"/>
              <w:spacing w:after="0"/>
              <w:rPr>
                <w:sz w:val="20"/>
                <w:szCs w:val="20"/>
                <w:color w:val="auto"/>
              </w:rPr>
            </w:pPr>
            <w:r>
              <w:rPr>
                <w:rFonts w:ascii="Arial" w:cs="Arial" w:eastAsia="Arial" w:hAnsi="Arial"/>
                <w:sz w:val="12"/>
                <w:szCs w:val="12"/>
                <w:color w:val="auto"/>
              </w:rPr>
              <w:t>S&amp;P Supercomposite Human Resources and</w:t>
            </w:r>
          </w:p>
        </w:tc>
        <w:tc>
          <w:tcPr>
            <w:tcW w:w="380" w:type="dxa"/>
            <w:vAlign w:val="bottom"/>
            <w:shd w:val="clear" w:color="auto" w:fill="E1F4FD"/>
          </w:tcPr>
          <w:p>
            <w:pPr>
              <w:spacing w:after="0"/>
              <w:rPr>
                <w:sz w:val="15"/>
                <w:szCs w:val="15"/>
                <w:color w:val="auto"/>
              </w:rPr>
            </w:pPr>
          </w:p>
        </w:tc>
        <w:tc>
          <w:tcPr>
            <w:tcW w:w="680" w:type="dxa"/>
            <w:vAlign w:val="bottom"/>
            <w:shd w:val="clear" w:color="auto" w:fill="E1F4FD"/>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Employment Services Index</w:t>
            </w:r>
          </w:p>
        </w:tc>
        <w:tc>
          <w:tcPr>
            <w:tcW w:w="380" w:type="dxa"/>
            <w:vAlign w:val="bottom"/>
            <w:tcBorders>
              <w:bottom w:val="single" w:sz="8" w:color="auto"/>
            </w:tcBorders>
            <w:shd w:val="clear" w:color="auto" w:fill="E1F4FD"/>
          </w:tcPr>
          <w:p>
            <w:pPr>
              <w:spacing w:after="0"/>
              <w:rPr>
                <w:sz w:val="13"/>
                <w:szCs w:val="13"/>
                <w:color w:val="auto"/>
              </w:rPr>
            </w:pPr>
          </w:p>
        </w:tc>
        <w:tc>
          <w:tcPr>
            <w:tcW w:w="680" w:type="dxa"/>
            <w:vAlign w:val="bottom"/>
            <w:tcBorders>
              <w:bottom w:val="single" w:sz="8" w:color="auto"/>
            </w:tcBorders>
            <w:shd w:val="clear" w:color="auto" w:fill="E1F4FD"/>
          </w:tcPr>
          <w:p>
            <w:pPr>
              <w:jc w:val="right"/>
              <w:ind w:right="80"/>
              <w:spacing w:after="0"/>
              <w:rPr>
                <w:sz w:val="20"/>
                <w:szCs w:val="20"/>
                <w:color w:val="auto"/>
              </w:rPr>
            </w:pPr>
            <w:r>
              <w:rPr>
                <w:rFonts w:ascii="Arial" w:cs="Arial" w:eastAsia="Arial" w:hAnsi="Arial"/>
                <w:sz w:val="12"/>
                <w:szCs w:val="12"/>
                <w:color w:val="4F8ABE"/>
              </w:rPr>
              <w:t>220</w:t>
            </w: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w:t>
            </w: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192</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110</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91"/>
        </w:trPr>
        <w:tc>
          <w:tcPr>
            <w:tcW w:w="5280" w:type="dxa"/>
            <w:vAlign w:val="bottom"/>
            <w:vMerge w:val="restart"/>
          </w:tcPr>
          <w:p>
            <w:pPr>
              <w:ind w:left="40"/>
              <w:spacing w:after="0"/>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85</w:t>
            </w:r>
          </w:p>
        </w:tc>
        <w:tc>
          <w:tcPr>
            <w:tcW w:w="380" w:type="dxa"/>
            <w:vAlign w:val="bottom"/>
            <w:shd w:val="clear" w:color="auto" w:fill="2989B9"/>
          </w:tcPr>
          <w:p>
            <w:pPr>
              <w:spacing w:after="0"/>
              <w:rPr>
                <w:sz w:val="7"/>
                <w:szCs w:val="7"/>
                <w:color w:val="auto"/>
              </w:rPr>
            </w:pPr>
          </w:p>
        </w:tc>
        <w:tc>
          <w:tcPr>
            <w:tcW w:w="680" w:type="dxa"/>
            <w:vAlign w:val="bottom"/>
            <w:shd w:val="clear" w:color="auto" w:fill="2989B9"/>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9"/>
                <w:szCs w:val="9"/>
                <w:color w:val="auto"/>
              </w:rPr>
              <w:t>Performance Graph</w:t>
            </w:r>
          </w:p>
        </w:tc>
        <w:tc>
          <w:tcPr>
            <w:tcW w:w="0" w:type="dxa"/>
            <w:vAlign w:val="bottom"/>
          </w:tcPr>
          <w:p>
            <w:pPr>
              <w:spacing w:after="0"/>
              <w:rPr>
                <w:sz w:val="1"/>
                <w:szCs w:val="1"/>
                <w:color w:val="auto"/>
              </w:rPr>
            </w:pPr>
          </w:p>
        </w:tc>
      </w:tr>
      <w:tr>
        <w:trPr>
          <w:trHeight w:val="657"/>
        </w:trPr>
        <w:tc>
          <w:tcPr>
            <w:tcW w:w="5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41" w:right="21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2989B9"/>
        </w:rPr>
        <w:t>PRINCIPAL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1710055</wp:posOffset>
            </wp:positionH>
            <wp:positionV relativeFrom="paragraph">
              <wp:posOffset>273050</wp:posOffset>
            </wp:positionV>
            <wp:extent cx="3862705" cy="18916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62705" cy="189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82A32"/>
        </w:rPr>
        <w:t>Argentina, Australia, Austria, Bahrain, Belarus, Belgium, Bolivia, Brazil, Bulgaria, Canada, Chile, China, Colombia, Costa Rica, Croatia, Cyprus, Czech Republic, Denmark, Dominican Republic, Ecuador, El Salvador, Estonia, Finland, France, Germany, Greece, Guatemala, Honduras, Hong Kong, Hungary, India, Ireland, Israel, Italy, Japan, Kazakhstan, Korea, Latvia, Lithuania, Luxembourg, Macau, Malaysia, Mexico, Monaco, Morocco, Netherlands, New Caledonia, New Zealand, Nicaragua, Norway, Panama, Paraguay, Peru, Philippines, Poland, Portugal, Puerto Rico, Romania, Russia, Serbia, Singapore, Slovakia, Slovenia, South Africa, Spain, Sweden, Switzerland, Taiwan, Thailand, Tunisia, Turkey, Ukraine, United Arab Emirates, United Kingdom, United States, Uruguay, Venezuela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1710055</wp:posOffset>
            </wp:positionH>
            <wp:positionV relativeFrom="paragraph">
              <wp:posOffset>346075</wp:posOffset>
            </wp:positionV>
            <wp:extent cx="3862705" cy="506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6270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989B9"/>
        </w:rPr>
        <w:t xml:space="preserve">About ManpowerGroup: </w:t>
      </w:r>
      <w:r>
        <w:rPr>
          <w:rFonts w:ascii="Arial" w:cs="Arial" w:eastAsia="Arial" w:hAnsi="Arial"/>
          <w:sz w:val="12"/>
          <w:szCs w:val="12"/>
          <w:color w:val="282A32"/>
        </w:rPr>
        <w:t>ManpowerGroup® (NYSE: MAN) is the world’s workforce expert, creating innovative workforce solutions for nearly 70 years. As workforce experts, we connect more than 600,000</w:t>
      </w:r>
      <w:r>
        <w:rPr>
          <w:rFonts w:ascii="Arial" w:cs="Arial" w:eastAsia="Arial" w:hAnsi="Arial"/>
          <w:sz w:val="12"/>
          <w:szCs w:val="12"/>
          <w:color w:val="2989B9"/>
        </w:rPr>
        <w:t xml:space="preserve"> </w:t>
      </w:r>
      <w:r>
        <w:rPr>
          <w:rFonts w:ascii="Arial" w:cs="Arial" w:eastAsia="Arial" w:hAnsi="Arial"/>
          <w:sz w:val="12"/>
          <w:szCs w:val="12"/>
          <w:color w:val="282A32"/>
        </w:rPr>
        <w:t>people to meaningful work across a wide range of skills and industries every day. Through our ManpowerGroup family of brands — Manpower®, Experis®, Right Management® and ManpowerGroup® Solutions — we help our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www.manpowergroup.com.</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Principal Operating Units</w:t>
      </w:r>
      <w:r>
        <w:rPr>
          <w:sz w:val="20"/>
          <w:szCs w:val="20"/>
          <w:color w:val="auto"/>
        </w:rPr>
        <w:tab/>
      </w:r>
      <w:r>
        <w:rPr>
          <w:rFonts w:ascii="Arial" w:cs="Arial" w:eastAsia="Arial" w:hAnsi="Arial"/>
          <w:sz w:val="8"/>
          <w:szCs w:val="8"/>
          <w:b w:val="1"/>
          <w:bCs w:val="1"/>
          <w:color w:val="auto"/>
        </w:rPr>
        <w:t xml:space="preserve">86 </w:t>
      </w:r>
      <w:r>
        <w:rPr>
          <w:rFonts w:ascii="Arial" w:cs="Arial" w:eastAsia="Arial" w:hAnsi="Arial"/>
          <w:sz w:val="8"/>
          <w:szCs w:val="8"/>
          <w:color w:val="auto"/>
        </w:rPr>
        <w:t>| ManpowerGroup</w:t>
      </w:r>
    </w:p>
    <w:p>
      <w:pPr>
        <w:sectPr>
          <w:pgSz w:w="11900" w:h="16838" w:orient="portrait"/>
          <w:cols w:equalWidth="0" w:num="1">
            <w:col w:w="11460"/>
          </w:cols>
          <w:pgMar w:left="220" w:top="579" w:right="21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2989B9"/>
        </w:rPr>
        <w:t>CORPORATE INFORMATION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4F8ABE"/>
        </w:rPr>
        <w:t>DIRECTORS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Jonas Prising</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Chairman and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ManpowerGroup</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Gina R. Boswell</w:t>
      </w:r>
      <w:r>
        <w:rPr>
          <w:rFonts w:ascii="Arial" w:cs="Arial" w:eastAsia="Arial" w:hAnsi="Arial"/>
          <w:sz w:val="16"/>
          <w:szCs w:val="16"/>
          <w:color w:val="4F8ABE"/>
          <w:vertAlign w:val="superscript"/>
        </w:rPr>
        <w:t>1*,3</w:t>
      </w:r>
    </w:p>
    <w:p>
      <w:pPr>
        <w:spacing w:after="0"/>
        <w:rPr>
          <w:sz w:val="20"/>
          <w:szCs w:val="20"/>
          <w:color w:val="auto"/>
        </w:rPr>
      </w:pPr>
      <w:r>
        <w:rPr>
          <w:rFonts w:ascii="Arial" w:cs="Arial" w:eastAsia="Arial" w:hAnsi="Arial"/>
          <w:sz w:val="12"/>
          <w:szCs w:val="12"/>
          <w:color w:val="auto"/>
        </w:rPr>
        <w:t>Executive Vice President —</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General Manager - UK &amp; Ireland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Unilever</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Cari M. Dominguez</w:t>
      </w:r>
      <w:r>
        <w:rPr>
          <w:rFonts w:ascii="Arial" w:cs="Arial" w:eastAsia="Arial" w:hAnsi="Arial"/>
          <w:sz w:val="16"/>
          <w:szCs w:val="16"/>
          <w:color w:val="4F8ABE"/>
          <w:vertAlign w:val="superscript"/>
        </w:rPr>
        <w:t>2</w:t>
      </w:r>
    </w:p>
    <w:p>
      <w:pPr>
        <w:spacing w:after="0"/>
        <w:rPr>
          <w:sz w:val="20"/>
          <w:szCs w:val="20"/>
          <w:color w:val="auto"/>
        </w:rPr>
      </w:pPr>
      <w:r>
        <w:rPr>
          <w:rFonts w:ascii="Arial" w:cs="Arial" w:eastAsia="Arial" w:hAnsi="Arial"/>
          <w:sz w:val="12"/>
          <w:szCs w:val="12"/>
          <w:color w:val="auto"/>
        </w:rPr>
        <w:t>President of Dominguez &amp; Associates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Former Chair of the Equal Employment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Opportunity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William A. Downe</w:t>
      </w:r>
      <w:r>
        <w:rPr>
          <w:rFonts w:ascii="Arial" w:cs="Arial" w:eastAsia="Arial" w:hAnsi="Arial"/>
          <w:sz w:val="16"/>
          <w:szCs w:val="16"/>
          <w:color w:val="4F8ABE"/>
          <w:vertAlign w:val="superscript"/>
        </w:rPr>
        <w:t>2</w:t>
      </w:r>
    </w:p>
    <w:p>
      <w:pPr>
        <w:spacing w:after="0"/>
        <w:rPr>
          <w:sz w:val="20"/>
          <w:szCs w:val="20"/>
          <w:color w:val="auto"/>
        </w:rPr>
      </w:pPr>
      <w:r>
        <w:rPr>
          <w:rFonts w:ascii="Arial" w:cs="Arial" w:eastAsia="Arial" w:hAnsi="Arial"/>
          <w:sz w:val="12"/>
          <w:szCs w:val="12"/>
          <w:color w:val="auto"/>
        </w:rPr>
        <w:t>President and CEO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BMO Financial Group</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John F. Ferraro</w:t>
      </w:r>
      <w:r>
        <w:rPr>
          <w:rFonts w:ascii="Arial" w:cs="Arial" w:eastAsia="Arial" w:hAnsi="Arial"/>
          <w:sz w:val="16"/>
          <w:szCs w:val="16"/>
          <w:color w:val="4F8ABE"/>
          <w:vertAlign w:val="superscript"/>
        </w:rPr>
        <w:t>1</w:t>
      </w:r>
    </w:p>
    <w:p>
      <w:pPr>
        <w:spacing w:after="0"/>
        <w:rPr>
          <w:sz w:val="20"/>
          <w:szCs w:val="20"/>
          <w:color w:val="auto"/>
        </w:rPr>
      </w:pPr>
      <w:r>
        <w:rPr>
          <w:rFonts w:ascii="Arial" w:cs="Arial" w:eastAsia="Arial" w:hAnsi="Arial"/>
          <w:sz w:val="12"/>
          <w:szCs w:val="12"/>
          <w:color w:val="auto"/>
        </w:rPr>
        <w:t>Retired Global COO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Ernst &amp; Young</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Patricia A. Hemingway Hall</w:t>
      </w:r>
      <w:r>
        <w:rPr>
          <w:rFonts w:ascii="Arial" w:cs="Arial" w:eastAsia="Arial" w:hAnsi="Arial"/>
          <w:sz w:val="16"/>
          <w:szCs w:val="16"/>
          <w:color w:val="4F8ABE"/>
          <w:vertAlign w:val="superscript"/>
        </w:rPr>
        <w:t>1</w:t>
      </w:r>
    </w:p>
    <w:p>
      <w:pPr>
        <w:spacing w:after="0"/>
        <w:rPr>
          <w:sz w:val="20"/>
          <w:szCs w:val="20"/>
          <w:color w:val="auto"/>
        </w:rPr>
      </w:pPr>
      <w:r>
        <w:rPr>
          <w:rFonts w:ascii="Arial" w:cs="Arial" w:eastAsia="Arial" w:hAnsi="Arial"/>
          <w:sz w:val="12"/>
          <w:szCs w:val="12"/>
          <w:color w:val="auto"/>
        </w:rPr>
        <w:t>Retired President and CEO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Health Care Service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Julie M. Howard</w:t>
      </w:r>
      <w:r>
        <w:rPr>
          <w:rFonts w:ascii="Arial" w:cs="Arial" w:eastAsia="Arial" w:hAnsi="Arial"/>
          <w:sz w:val="16"/>
          <w:szCs w:val="16"/>
          <w:color w:val="4F8ABE"/>
          <w:vertAlign w:val="superscript"/>
        </w:rPr>
        <w:t>3</w:t>
      </w:r>
    </w:p>
    <w:p>
      <w:pPr>
        <w:spacing w:after="0"/>
        <w:rPr>
          <w:sz w:val="20"/>
          <w:szCs w:val="20"/>
          <w:color w:val="auto"/>
        </w:rPr>
      </w:pPr>
      <w:r>
        <w:rPr>
          <w:rFonts w:ascii="Arial" w:cs="Arial" w:eastAsia="Arial" w:hAnsi="Arial"/>
          <w:sz w:val="12"/>
          <w:szCs w:val="12"/>
          <w:color w:val="auto"/>
        </w:rPr>
        <w:t>Chairman and CEO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Navigant Consulting, Inc.</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Roberto Mendoza</w:t>
      </w:r>
      <w:r>
        <w:rPr>
          <w:rFonts w:ascii="Arial" w:cs="Arial" w:eastAsia="Arial" w:hAnsi="Arial"/>
          <w:sz w:val="16"/>
          <w:szCs w:val="16"/>
          <w:color w:val="4F8ABE"/>
          <w:vertAlign w:val="superscript"/>
        </w:rPr>
        <w:t>1</w:t>
      </w:r>
    </w:p>
    <w:p>
      <w:pPr>
        <w:spacing w:after="0"/>
        <w:rPr>
          <w:sz w:val="20"/>
          <w:szCs w:val="20"/>
          <w:color w:val="auto"/>
        </w:rPr>
      </w:pPr>
      <w:r>
        <w:rPr>
          <w:rFonts w:ascii="Arial" w:cs="Arial" w:eastAsia="Arial" w:hAnsi="Arial"/>
          <w:sz w:val="12"/>
          <w:szCs w:val="12"/>
          <w:color w:val="auto"/>
        </w:rPr>
        <w:t>Senior Managing Director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Atlas Advisors LLC</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Ulice Payne, Jr.</w:t>
      </w:r>
      <w:r>
        <w:rPr>
          <w:rFonts w:ascii="Arial" w:cs="Arial" w:eastAsia="Arial" w:hAnsi="Arial"/>
          <w:sz w:val="16"/>
          <w:szCs w:val="16"/>
          <w:color w:val="4F8ABE"/>
          <w:vertAlign w:val="superscript"/>
        </w:rPr>
        <w:t>1,3*</w:t>
      </w:r>
    </w:p>
    <w:p>
      <w:pPr>
        <w:spacing w:after="0"/>
        <w:rPr>
          <w:sz w:val="20"/>
          <w:szCs w:val="20"/>
          <w:color w:val="auto"/>
        </w:rPr>
      </w:pPr>
      <w:r>
        <w:rPr>
          <w:rFonts w:ascii="Arial" w:cs="Arial" w:eastAsia="Arial" w:hAnsi="Arial"/>
          <w:sz w:val="12"/>
          <w:szCs w:val="12"/>
          <w:color w:val="auto"/>
        </w:rPr>
        <w:t>President and Managing Member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Addison-Clifton, LLC</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Paul Read</w:t>
      </w:r>
      <w:r>
        <w:rPr>
          <w:rFonts w:ascii="Arial" w:cs="Arial" w:eastAsia="Arial" w:hAnsi="Arial"/>
          <w:sz w:val="16"/>
          <w:szCs w:val="16"/>
          <w:color w:val="4F8ABE"/>
          <w:vertAlign w:val="superscript"/>
        </w:rPr>
        <w:t>1</w:t>
      </w:r>
    </w:p>
    <w:p>
      <w:pPr>
        <w:spacing w:after="0"/>
        <w:rPr>
          <w:sz w:val="20"/>
          <w:szCs w:val="20"/>
          <w:color w:val="auto"/>
        </w:rPr>
      </w:pPr>
      <w:r>
        <w:rPr>
          <w:rFonts w:ascii="Arial" w:cs="Arial" w:eastAsia="Arial" w:hAnsi="Arial"/>
          <w:sz w:val="12"/>
          <w:szCs w:val="12"/>
          <w:color w:val="auto"/>
        </w:rPr>
        <w:t>Former President and COO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Ingram Micro Inc.</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4F8ABE"/>
        </w:rPr>
        <w:t>Elizabeth P. Sartain</w:t>
      </w:r>
      <w:r>
        <w:rPr>
          <w:rFonts w:ascii="Arial" w:cs="Arial" w:eastAsia="Arial" w:hAnsi="Arial"/>
          <w:sz w:val="16"/>
          <w:szCs w:val="16"/>
          <w:color w:val="4F8ABE"/>
          <w:vertAlign w:val="superscript"/>
        </w:rPr>
        <w:t>2</w:t>
      </w:r>
    </w:p>
    <w:p>
      <w:pPr>
        <w:spacing w:after="0"/>
        <w:rPr>
          <w:sz w:val="20"/>
          <w:szCs w:val="20"/>
          <w:color w:val="auto"/>
        </w:rPr>
      </w:pPr>
      <w:r>
        <w:rPr>
          <w:rFonts w:ascii="Arial" w:cs="Arial" w:eastAsia="Arial" w:hAnsi="Arial"/>
          <w:sz w:val="12"/>
          <w:szCs w:val="12"/>
          <w:color w:val="auto"/>
        </w:rPr>
        <w:t>Independent Human Resource Advisor and Consultant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Founder of Libby Sartain LLC</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Former CHRO Yahoo! Inc. and Southwest Airlines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9"/>
          <w:szCs w:val="9"/>
          <w:color w:val="auto"/>
        </w:rPr>
        <w:t xml:space="preserve">Annual Report 2016 | </w:t>
      </w:r>
      <w:r>
        <w:rPr>
          <w:rFonts w:ascii="Arial" w:cs="Arial" w:eastAsia="Arial" w:hAnsi="Arial"/>
          <w:sz w:val="9"/>
          <w:szCs w:val="9"/>
          <w:b w:val="1"/>
          <w:bCs w:val="1"/>
          <w:color w:val="auto"/>
        </w:rPr>
        <w:t>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4F8ABE"/>
        </w:rPr>
        <w:t>John R. Walter</w:t>
      </w:r>
      <w:r>
        <w:rPr>
          <w:rFonts w:ascii="Arial" w:cs="Arial" w:eastAsia="Arial" w:hAnsi="Arial"/>
          <w:sz w:val="16"/>
          <w:szCs w:val="16"/>
          <w:color w:val="4F8ABE"/>
          <w:vertAlign w:val="superscript"/>
        </w:rPr>
        <w:t>2,3</w:t>
      </w:r>
    </w:p>
    <w:p>
      <w:pPr>
        <w:spacing w:after="0"/>
        <w:rPr>
          <w:sz w:val="20"/>
          <w:szCs w:val="20"/>
          <w:color w:val="auto"/>
        </w:rPr>
      </w:pPr>
      <w:r>
        <w:rPr>
          <w:rFonts w:ascii="Arial" w:cs="Arial" w:eastAsia="Arial" w:hAnsi="Arial"/>
          <w:sz w:val="12"/>
          <w:szCs w:val="12"/>
          <w:color w:val="auto"/>
        </w:rPr>
        <w:t>Retired President and COO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AT&amp;T Corp.</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Former Chairman, President and CEO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RR Donnelley &amp; Sons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4F8ABE"/>
        </w:rPr>
        <w:t>Edward J. Zore</w:t>
      </w:r>
      <w:r>
        <w:rPr>
          <w:rFonts w:ascii="Arial" w:cs="Arial" w:eastAsia="Arial" w:hAnsi="Arial"/>
          <w:sz w:val="16"/>
          <w:szCs w:val="16"/>
          <w:color w:val="4F8ABE"/>
          <w:vertAlign w:val="superscript"/>
        </w:rPr>
        <w:t>2*,3</w:t>
      </w:r>
    </w:p>
    <w:p>
      <w:pPr>
        <w:spacing w:after="0" w:line="194" w:lineRule="auto"/>
        <w:rPr>
          <w:sz w:val="20"/>
          <w:szCs w:val="20"/>
          <w:color w:val="auto"/>
        </w:rPr>
      </w:pPr>
      <w:r>
        <w:rPr>
          <w:rFonts w:ascii="Arial" w:cs="Arial" w:eastAsia="Arial" w:hAnsi="Arial"/>
          <w:sz w:val="12"/>
          <w:szCs w:val="12"/>
          <w:i w:val="1"/>
          <w:iCs w:val="1"/>
          <w:color w:val="4F8ABE"/>
        </w:rPr>
        <w:t>Lead Director</w:t>
      </w:r>
      <w:r>
        <w:rPr>
          <w:rFonts w:ascii="Arial" w:cs="Arial" w:eastAsia="Arial" w:hAnsi="Arial"/>
          <w:sz w:val="16"/>
          <w:szCs w:val="16"/>
          <w:i w:val="1"/>
          <w:iCs w:val="1"/>
          <w:color w:val="4F8ABE"/>
          <w:vertAlign w:val="superscript"/>
        </w:rPr>
        <w:t>+</w:t>
      </w:r>
    </w:p>
    <w:p>
      <w:pPr>
        <w:spacing w:after="0"/>
        <w:rPr>
          <w:sz w:val="20"/>
          <w:szCs w:val="20"/>
          <w:color w:val="auto"/>
        </w:rPr>
      </w:pPr>
      <w:r>
        <w:rPr>
          <w:rFonts w:ascii="Arial" w:cs="Arial" w:eastAsia="Arial" w:hAnsi="Arial"/>
          <w:sz w:val="12"/>
          <w:szCs w:val="12"/>
          <w:color w:val="auto"/>
        </w:rPr>
        <w:t>Retired President and CEO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Northwestern Mutual</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4F8ABE"/>
        </w:rPr>
        <w:t>MANAGEMENT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Jonas Prising</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Chairman and Chief Executive Officer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Darryl Green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President and Chief Operating Officer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Jack McGinnis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Executive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Ram Chandrashekar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Executive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Operational Excellence and IT;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President — APME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Mara Swan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Executive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Global Strategy and Talent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Richard Buchband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Senior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General Counsel and Secretary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color w:val="4F8ABE"/>
        </w:rPr>
        <w:t>Board Committees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4F8ABE"/>
        </w:rPr>
        <w:t>1 Audit Committee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4F8ABE"/>
        </w:rPr>
        <w:t>2 Executive Compensation and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4F8ABE"/>
        </w:rPr>
        <w:t>Human Resources Committee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4F8ABE"/>
        </w:rPr>
        <w:t>3 Nominating and Governance Committee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2"/>
          <w:szCs w:val="12"/>
          <w:color w:val="4F8ABE"/>
        </w:rPr>
        <w:t>*Denotes Committee Chair</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2"/>
          <w:szCs w:val="12"/>
          <w:color w:val="4F8ABE"/>
        </w:rPr>
        <w:t>+William A. Downe will become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2"/>
          <w:szCs w:val="12"/>
          <w:color w:val="4F8ABE"/>
        </w:rPr>
        <w:t>Lead Director effective May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9"/>
          <w:szCs w:val="9"/>
          <w:color w:val="auto"/>
        </w:rPr>
        <w:t>Corporate Information</w:t>
      </w:r>
    </w:p>
    <w:p>
      <w:pPr>
        <w:sectPr>
          <w:pgSz w:w="11900" w:h="16838" w:orient="portrait"/>
          <w:cols w:equalWidth="0" w:num="2">
            <w:col w:w="5360" w:space="720"/>
            <w:col w:w="5360"/>
          </w:cols>
          <w:pgMar w:left="220" w:top="310"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2989B9"/>
        </w:rPr>
        <w:t>CORPORATE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4F8ABE"/>
        </w:rPr>
        <w:t>Global Headquarters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P.O. Box 2053</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100 Manpower Place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w:t>
      </w:r>
      <w:r>
        <w:rPr>
          <w:rFonts w:ascii="Arial" w:cs="Arial" w:eastAsia="Arial" w:hAnsi="Arial"/>
          <w:sz w:val="12"/>
          <w:szCs w:val="12"/>
          <w:color w:val="282A32"/>
        </w:rPr>
        <w:t>ilwaukee, WI 5321</w:t>
      </w:r>
      <w:r>
        <w:rPr>
          <w:rFonts w:ascii="Arial" w:cs="Arial" w:eastAsia="Arial" w:hAnsi="Arial"/>
          <w:sz w:val="12"/>
          <w:szCs w:val="12"/>
          <w:color w:val="auto"/>
        </w:rPr>
        <w:t>2 USA</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w:t>
      </w:r>
      <w:r>
        <w:rPr>
          <w:rFonts w:ascii="Arial" w:cs="Arial" w:eastAsia="Arial" w:hAnsi="Arial"/>
          <w:sz w:val="12"/>
          <w:szCs w:val="12"/>
          <w:color w:val="282A32"/>
        </w:rPr>
        <w:t>.414.96</w:t>
      </w:r>
      <w:r>
        <w:rPr>
          <w:rFonts w:ascii="Arial" w:cs="Arial" w:eastAsia="Arial" w:hAnsi="Arial"/>
          <w:sz w:val="12"/>
          <w:szCs w:val="12"/>
          <w:color w:val="auto"/>
        </w:rPr>
        <w:t>1.1000</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www.manpowergroup.com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282A32"/>
        </w:rPr>
        <w:t>Transfer Agent and Registrar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82A32"/>
        </w:rPr>
        <w:t>Computershare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82A32"/>
        </w:rPr>
        <w:t>PO Box 30170</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282A32"/>
        </w:rPr>
        <w:t>College Station, TX 77842-3170</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Or for overnight deliveries: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Computershare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211 Q</w:t>
      </w:r>
      <w:r>
        <w:rPr>
          <w:rFonts w:ascii="Arial" w:cs="Arial" w:eastAsia="Arial" w:hAnsi="Arial"/>
          <w:sz w:val="12"/>
          <w:szCs w:val="12"/>
          <w:color w:val="282A32"/>
        </w:rPr>
        <w:t>uality Circle, Suite</w:t>
      </w:r>
      <w:r>
        <w:rPr>
          <w:rFonts w:ascii="Arial" w:cs="Arial" w:eastAsia="Arial" w:hAnsi="Arial"/>
          <w:sz w:val="12"/>
          <w:szCs w:val="12"/>
          <w:color w:val="auto"/>
        </w:rPr>
        <w:t xml:space="preserve"> 210</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College Station, TX 77845</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Shareowners Toll Free: +1.800.874.1547</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Foreign Shareowners: +1.781.575.4223</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Website: www.computershare.com/investor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Stock Exchange Listing</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NYSE Symbol: MAN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Form 10-K</w:t>
      </w:r>
    </w:p>
    <w:p>
      <w:pPr>
        <w:spacing w:after="0" w:line="7" w:lineRule="exact"/>
        <w:rPr>
          <w:sz w:val="20"/>
          <w:szCs w:val="20"/>
          <w:color w:val="auto"/>
        </w:rPr>
      </w:pPr>
    </w:p>
    <w:p>
      <w:pPr>
        <w:jc w:val="both"/>
        <w:ind w:right="300"/>
        <w:spacing w:after="0" w:line="260" w:lineRule="auto"/>
        <w:rPr>
          <w:sz w:val="20"/>
          <w:szCs w:val="20"/>
          <w:color w:val="auto"/>
        </w:rPr>
      </w:pPr>
      <w:r>
        <w:rPr>
          <w:rFonts w:ascii="Arial" w:cs="Arial" w:eastAsia="Arial" w:hAnsi="Arial"/>
          <w:sz w:val="12"/>
          <w:szCs w:val="12"/>
          <w:color w:val="auto"/>
        </w:rPr>
        <w:t>A copy of Form 10-K filed with the Securities and Exchange Commission for the year ended December 31, 2016 is available without charge after March 16, 2017 and can be obtained at www.manpowergroup.com in the section titled “Investor Relations” or by writing to:</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Richard Buchband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ManpowerGroup</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100 Manpower Place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Milwaukee, WI 53212 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4F8ABE"/>
        </w:rPr>
        <w:t>Shareholders</w:t>
      </w:r>
    </w:p>
    <w:p>
      <w:pPr>
        <w:spacing w:after="0" w:line="7" w:lineRule="exact"/>
        <w:rPr>
          <w:sz w:val="20"/>
          <w:szCs w:val="20"/>
          <w:color w:val="auto"/>
        </w:rPr>
      </w:pPr>
    </w:p>
    <w:p>
      <w:pPr>
        <w:ind w:right="360"/>
        <w:spacing w:after="0" w:line="269" w:lineRule="auto"/>
        <w:rPr>
          <w:sz w:val="20"/>
          <w:szCs w:val="20"/>
          <w:color w:val="auto"/>
        </w:rPr>
      </w:pPr>
      <w:r>
        <w:rPr>
          <w:rFonts w:ascii="Arial" w:cs="Arial" w:eastAsia="Arial" w:hAnsi="Arial"/>
          <w:sz w:val="12"/>
          <w:szCs w:val="12"/>
          <w:color w:val="auto"/>
        </w:rPr>
        <w:t>As of February 17, 2017, ManpowerGroup common stock was held by approximately 3,200 record holders.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4F8ABE"/>
        </w:rPr>
        <w:t>Annual Meeting of Shareholders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May 2, 2017 at 10 a.m.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ManpowerGroup Global Headquarters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100 Manpower Place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Milwaukee, WI 53212 USA</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4F8ABE"/>
        </w:rPr>
        <w:t>Investor Relations Website</w:t>
      </w:r>
    </w:p>
    <w:p>
      <w:pPr>
        <w:spacing w:after="0" w:line="7"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The m</w:t>
      </w:r>
      <w:r>
        <w:rPr>
          <w:rFonts w:ascii="Arial" w:cs="Arial" w:eastAsia="Arial" w:hAnsi="Arial"/>
          <w:sz w:val="12"/>
          <w:szCs w:val="12"/>
          <w:color w:val="282A32"/>
        </w:rPr>
        <w:t>ost current corporate and investor information can be found</w:t>
      </w:r>
      <w:r>
        <w:rPr>
          <w:rFonts w:ascii="Arial" w:cs="Arial" w:eastAsia="Arial" w:hAnsi="Arial"/>
          <w:sz w:val="12"/>
          <w:szCs w:val="12"/>
          <w:color w:val="auto"/>
        </w:rPr>
        <w:t xml:space="preserve"> on the ManpowerGroup corporate website at www.manpowergroup.com. Interested individuals may also choose to receive ManpowerGroup press releases and other information via e-mail by subscribing to our E-mail Alert service at www.manpowergroup.com in the section titled “Investor Relations.”</w:t>
      </w:r>
    </w:p>
    <w:p>
      <w:pPr>
        <w:spacing w:after="0" w:line="2809" w:lineRule="exact"/>
        <w:rPr>
          <w:sz w:val="20"/>
          <w:szCs w:val="20"/>
          <w:color w:val="auto"/>
        </w:rPr>
      </w:pPr>
    </w:p>
    <w:p>
      <w:pPr>
        <w:sectPr>
          <w:pgSz w:w="11900" w:h="16838" w:orient="portrait"/>
          <w:cols w:equalWidth="0" w:num="2">
            <w:col w:w="5360" w:space="720"/>
            <w:col w:w="5360"/>
          </w:cols>
          <w:pgMar w:left="220" w:top="1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10580" w:val="left"/>
        </w:tabs>
        <w:rPr>
          <w:sz w:val="20"/>
          <w:szCs w:val="20"/>
          <w:color w:val="auto"/>
        </w:rPr>
      </w:pPr>
      <w:r>
        <w:rPr>
          <w:rFonts w:ascii="Arial" w:cs="Arial" w:eastAsia="Arial" w:hAnsi="Arial"/>
          <w:sz w:val="9"/>
          <w:szCs w:val="9"/>
          <w:color w:val="auto"/>
        </w:rPr>
        <w:t>Corporate Information</w:t>
      </w:r>
      <w:r>
        <w:rPr>
          <w:sz w:val="20"/>
          <w:szCs w:val="20"/>
          <w:color w:val="auto"/>
        </w:rPr>
        <w:tab/>
      </w:r>
      <w:r>
        <w:rPr>
          <w:rFonts w:ascii="Arial" w:cs="Arial" w:eastAsia="Arial" w:hAnsi="Arial"/>
          <w:sz w:val="8"/>
          <w:szCs w:val="8"/>
          <w:b w:val="1"/>
          <w:bCs w:val="1"/>
          <w:color w:val="auto"/>
        </w:rPr>
        <w:t xml:space="preserve">88 </w:t>
      </w:r>
      <w:r>
        <w:rPr>
          <w:rFonts w:ascii="Arial" w:cs="Arial" w:eastAsia="Arial" w:hAnsi="Arial"/>
          <w:sz w:val="8"/>
          <w:szCs w:val="8"/>
          <w:color w:val="auto"/>
        </w:rPr>
        <w:t>| ManpowerGroup</w:t>
      </w:r>
    </w:p>
    <w:p>
      <w:pPr>
        <w:sectPr>
          <w:pgSz w:w="11900" w:h="16838" w:orient="portrait"/>
          <w:cols w:equalWidth="0" w:num="1">
            <w:col w:w="11440"/>
          </w:cols>
          <w:pgMar w:left="220" w:top="145" w:right="2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Exhibit 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480" w:type="dxa"/>
            <w:vAlign w:val="bottom"/>
            <w:gridSpan w:val="2"/>
          </w:tcPr>
          <w:p>
            <w:pPr>
              <w:jc w:val="center"/>
              <w:ind w:right="3391"/>
              <w:spacing w:after="0"/>
              <w:rPr>
                <w:sz w:val="20"/>
                <w:szCs w:val="20"/>
                <w:color w:val="auto"/>
              </w:rPr>
            </w:pPr>
            <w:r>
              <w:rPr>
                <w:rFonts w:ascii="Arial" w:cs="Arial" w:eastAsia="Arial" w:hAnsi="Arial"/>
                <w:sz w:val="14"/>
                <w:szCs w:val="14"/>
                <w:b w:val="1"/>
                <w:bCs w:val="1"/>
                <w:color w:val="auto"/>
                <w:w w:val="98"/>
              </w:rPr>
              <w:t>SUBSIDIARIES OF MANPOWERGROUP INC.</w:t>
            </w:r>
          </w:p>
        </w:tc>
      </w:tr>
      <w:tr>
        <w:trPr>
          <w:trHeight w:val="179"/>
        </w:trPr>
        <w:tc>
          <w:tcPr>
            <w:tcW w:w="10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480" w:type="dxa"/>
            <w:vAlign w:val="bottom"/>
            <w:gridSpan w:val="2"/>
          </w:tcPr>
          <w:p>
            <w:pPr>
              <w:jc w:val="center"/>
              <w:ind w:right="3391"/>
              <w:spacing w:after="0"/>
              <w:rPr>
                <w:sz w:val="20"/>
                <w:szCs w:val="20"/>
                <w:color w:val="auto"/>
              </w:rPr>
            </w:pPr>
            <w:r>
              <w:rPr>
                <w:rFonts w:ascii="Arial" w:cs="Arial" w:eastAsia="Arial" w:hAnsi="Arial"/>
                <w:sz w:val="14"/>
                <w:szCs w:val="14"/>
                <w:b w:val="1"/>
                <w:bCs w:val="1"/>
                <w:color w:val="auto"/>
                <w:w w:val="88"/>
              </w:rPr>
              <w:t>As of December 31, 2016</w:t>
            </w:r>
          </w:p>
        </w:tc>
      </w:tr>
      <w:tr>
        <w:trPr>
          <w:trHeight w:val="260"/>
        </w:trPr>
        <w:tc>
          <w:tcPr>
            <w:tcW w:w="4040" w:type="dxa"/>
            <w:vAlign w:val="bottom"/>
            <w:gridSpan w:val="2"/>
          </w:tcPr>
          <w:p>
            <w:pPr>
              <w:spacing w:after="0"/>
              <w:rPr>
                <w:sz w:val="20"/>
                <w:szCs w:val="20"/>
                <w:color w:val="auto"/>
              </w:rPr>
            </w:pPr>
            <w:r>
              <w:rPr>
                <w:rFonts w:ascii="Arial" w:cs="Arial" w:eastAsia="Arial" w:hAnsi="Arial"/>
                <w:sz w:val="14"/>
                <w:szCs w:val="14"/>
                <w:color w:val="auto"/>
              </w:rPr>
              <w:t>Corporation Name</w:t>
            </w:r>
          </w:p>
        </w:tc>
        <w:tc>
          <w:tcPr>
            <w:tcW w:w="462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Arial" w:cs="Arial" w:eastAsia="Arial" w:hAnsi="Arial"/>
                <w:sz w:val="14"/>
                <w:szCs w:val="14"/>
                <w:color w:val="auto"/>
                <w:w w:val="89"/>
              </w:rPr>
              <w:t>Incorporated in State / Country of</w:t>
            </w:r>
          </w:p>
        </w:tc>
      </w:tr>
      <w:tr>
        <w:trPr>
          <w:trHeight w:val="217"/>
        </w:trPr>
        <w:tc>
          <w:tcPr>
            <w:tcW w:w="1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Benefits S.A.</w:t>
            </w:r>
          </w:p>
        </w:tc>
        <w:tc>
          <w:tcPr>
            <w:tcW w:w="3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Argentina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Cotecsud Compania Technica Sudamericana S.A.S.E.</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Argentina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Management Argentina S.A.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Argentina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Salespower S.A.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Argentina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Greythorn Pty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Services (Australia) Pty.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Marks Sattin (Australia) Pty Limited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Marks Sattin Holdings (AsiaPac) Pty Limited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Management Consultants (OC) Pty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Management Consultants Holdings Pty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Management Consultants International Pty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Management Consultants Pty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Safesearch Pty Limited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Australia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Experis Services GmbH</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ManpowerGroup GmbH</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ManpowerGroup Holding GmbH</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Montaplan Austria GmbH</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Management Austria GmbH</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Stegmann Personaldienstleistung GmbH</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Austria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ManpowerGroup (Barbados) SRL</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Barbados</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Bel LLC</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Belarus</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RO of Manpower CIS LLC in Belarus Republic</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Belarus</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Experis Belgium SA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Belgium</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Personal Services NV</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Belgium</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ManpowerGroup Solutions Belgium SA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Belgium</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Management Belgium NV</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Belgium</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S.A. Manpower (Belgium) N.V.</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Belgium</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Stegmann Belgium SA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Belgium</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w w:val="90"/>
              </w:rPr>
              <w:t>Anyhelp Brasil Assessoria E Servicos em Sistemas de Informacao Ltda.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Brazil</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Brasil Ltda.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Brazil</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Professional Ltda.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Brazil</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Staffing Ltda.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Brazil</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do Brasil Ltda.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Brazil</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ManpowerGroup Greater China (BVI) Limited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British Virgin Islands</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Bulgaria Team EOOD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Bulgaria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Manpowergroup EOOD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Bulgaria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Inc. / California Peninsula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Services Canada Limited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Canada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Right Management Canada</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Canada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Techno5, Inc.</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Canada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Veritaaq</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Canada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ManpowerGroup Greater China (Cayman) Limited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Cayman Islands</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Experis Management Consulting (Beijing)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China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Experis Management Consulting (Shanghai) Co.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China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w w:val="92"/>
              </w:rPr>
              <w:t>Manpower &amp; Reach Human Resource Services (Guangzhou) Co.,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China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&amp; Standard Labor Service (Beijing) Co.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China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Business Consulting (Shanghai) Co.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China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rPr>
              <w:t>Manpower Caden (China) Co.,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China</w:t>
            </w:r>
          </w:p>
        </w:tc>
      </w:tr>
      <w:tr>
        <w:trPr>
          <w:trHeight w:val="207"/>
        </w:trPr>
        <w:tc>
          <w:tcPr>
            <w:tcW w:w="4040" w:type="dxa"/>
            <w:vAlign w:val="bottom"/>
            <w:gridSpan w:val="2"/>
          </w:tcPr>
          <w:p>
            <w:pPr>
              <w:spacing w:after="0"/>
              <w:rPr>
                <w:sz w:val="20"/>
                <w:szCs w:val="20"/>
                <w:color w:val="auto"/>
              </w:rPr>
            </w:pPr>
            <w:r>
              <w:rPr>
                <w:rFonts w:ascii="Arial" w:cs="Arial" w:eastAsia="Arial" w:hAnsi="Arial"/>
                <w:sz w:val="14"/>
                <w:szCs w:val="14"/>
                <w:color w:val="auto"/>
                <w:w w:val="98"/>
              </w:rPr>
              <w:t>Manpower Enterprise Management Consulting (Shanghai) Co. Ltd</w:t>
            </w:r>
          </w:p>
        </w:tc>
        <w:tc>
          <w:tcPr>
            <w:tcW w:w="46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China</w:t>
            </w:r>
          </w:p>
        </w:tc>
      </w:tr>
      <w:tr>
        <w:trPr>
          <w:trHeight w:val="372"/>
        </w:trPr>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20" w:type="dxa"/>
            <w:vAlign w:val="bottom"/>
          </w:tcPr>
          <w:p>
            <w:pPr>
              <w:jc w:val="center"/>
              <w:ind w:right="1531"/>
              <w:spacing w:after="0"/>
              <w:rPr>
                <w:sz w:val="20"/>
                <w:szCs w:val="20"/>
                <w:color w:val="auto"/>
              </w:rPr>
            </w:pPr>
            <w:r>
              <w:rPr>
                <w:rFonts w:ascii="Arial" w:cs="Arial" w:eastAsia="Arial" w:hAnsi="Arial"/>
                <w:sz w:val="14"/>
                <w:szCs w:val="14"/>
                <w:color w:val="auto"/>
                <w:w w:val="76"/>
              </w:rPr>
              <w:t>1</w:t>
            </w:r>
          </w:p>
        </w:tc>
        <w:tc>
          <w:tcPr>
            <w:tcW w:w="1860" w:type="dxa"/>
            <w:vAlign w:val="bottom"/>
          </w:tcPr>
          <w:p>
            <w:pPr>
              <w:spacing w:after="0"/>
              <w:rPr>
                <w:sz w:val="24"/>
                <w:szCs w:val="24"/>
                <w:color w:val="auto"/>
              </w:rPr>
            </w:pPr>
          </w:p>
        </w:tc>
      </w:tr>
    </w:tbl>
    <w:p>
      <w:pPr>
        <w:sectPr>
          <w:pgSz w:w="11900" w:h="16838" w:orient="portrait"/>
          <w:cols w:equalWidth="0" w:num="1">
            <w:col w:w="11280"/>
          </w:cols>
          <w:pgMar w:left="400" w:top="507" w:right="219" w:bottom="1440" w:gutter="0" w:footer="0" w:header="0"/>
        </w:sectPr>
      </w:pPr>
    </w:p>
    <w:bookmarkStart w:id="114" w:name="page115"/>
    <w:bookmarkEnd w:id="114"/>
    <w:p>
      <w:pPr>
        <w:spacing w:after="0"/>
        <w:rPr>
          <w:sz w:val="20"/>
          <w:szCs w:val="20"/>
          <w:color w:val="auto"/>
        </w:rPr>
      </w:pPr>
      <w:r>
        <w:rPr>
          <w:rFonts w:ascii="Arial" w:cs="Arial" w:eastAsia="Arial" w:hAnsi="Arial"/>
          <w:sz w:val="11"/>
          <w:szCs w:val="11"/>
          <w:color w:val="auto"/>
        </w:rPr>
        <w:t>ManpowerGroup (China) Human Resources Co., Ltd.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China</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Right Management Consulting (Shanghai) Co., Ltd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Xi'an Foreign Enterprise Service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de Columbia Ltda.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Professional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Costa Rica,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Professional Costa Rica,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DOO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Savjetovanje DOO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Business Solutions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s.r.o.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Czech Republic [branch]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Stegmann Czech s.r.o.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blueRADIAN Engineering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CareerHarmony Inc.</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COMSYS Information Technology Services, LLC</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Experis IT Services US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Econometrix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Finance US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CIS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Franchises,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US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PFI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Plum Rhino Consulting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License Holding,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Stowe Group Healthcare,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TAPFIN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Europe Holdings, Aps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Denmark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Nordic Holding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Republica Dominicana,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El Salvador,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OÜ</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Contact Center OY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Inclusive Oy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OY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OY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Damilo Consulting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Damilo Information Technology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Damilo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Elan I.T. Resource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Executive 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Executive Lyon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Management de Transition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FuturSkill IT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France Holding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France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France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Enterprise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Nouvelles Competences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China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China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China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China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Colombia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Colombia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Costa Rica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Costa Rica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Croatia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Croatia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Cyprus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Czech Republic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Czech Republic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Czech Republic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Denmark</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Denmark</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Denmark</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Denmark</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Dominican Republic</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El Salvador</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Estonia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Finland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Finland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Finland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Finland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200" w:lineRule="exact"/>
        <w:rPr>
          <w:sz w:val="20"/>
          <w:szCs w:val="20"/>
          <w:color w:val="auto"/>
        </w:rPr>
      </w:pPr>
    </w:p>
    <w:p>
      <w:pPr>
        <w:sectPr>
          <w:pgSz w:w="11900" w:h="16838" w:orient="portrait"/>
          <w:cols w:equalWidth="0" w:num="2">
            <w:col w:w="7940" w:space="720"/>
            <w:col w:w="1399"/>
          </w:cols>
          <w:pgMar w:left="400" w:top="636" w:right="1440" w:bottom="1440" w:gutter="0" w:footer="0" w:header="0"/>
        </w:sectPr>
      </w:pPr>
    </w:p>
    <w:p>
      <w:pPr>
        <w:spacing w:after="0" w:line="11" w:lineRule="exact"/>
        <w:rPr>
          <w:sz w:val="20"/>
          <w:szCs w:val="20"/>
          <w:color w:val="auto"/>
        </w:rPr>
      </w:pPr>
    </w:p>
    <w:p>
      <w:pPr>
        <w:ind w:left="5520"/>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0059"/>
          </w:cols>
          <w:pgMar w:left="400" w:top="636" w:right="1440"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4"/>
          <w:szCs w:val="14"/>
          <w:color w:val="auto"/>
        </w:rPr>
        <w:t>Merci L'ordi</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Ovialis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Proservia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Supplay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Syfadis 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Tapfin Sarl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7(S) Inkasso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7S Group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AIM GmbH &amp; Co. KG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Arcqus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Arcqus Professionals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AviationPower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AviationStaffManagement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Bankpower GmbH Personaldienstleistungen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dactylo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Edwork GmbH &amp; Co. KG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EDWORK Verwaltung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FAO Office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Fink Verwaltungs-und Beteiligungs GmbH</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IMS Industrie &amp; Montage Service Verwaltungs GmbH</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Jefferson Wells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jenovation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K&amp;K HR-Services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Beteiligungsgesellschaft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Deutschland GmbH</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Manpower GmbH &amp; Co. KG Personaldienstleistungen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MFP Production GmbH &amp; Co. KG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Montaplan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OnYourSite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P+P Personal + Projekt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PADES Personalservice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Proservia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Servitus Haus-und Kuechendienste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Shoga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Siebenlist, Grey &amp; Partner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Splu Experts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Stegdoc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Stegmann Aircraft Maintenance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Stegmann Personaldienstleistung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Stegmed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Wolleschensky Personalmanagement GmbH</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Project Solutions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Guatemala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Professional Guatemala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Honduras,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Jefferson Wells HK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Legal Futures (HK)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Greater China (HK)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Services (Hong Kong)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Greece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Greece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Guatemala</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Guatemala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Honduras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211" w:lineRule="exact"/>
        <w:rPr>
          <w:sz w:val="20"/>
          <w:szCs w:val="20"/>
          <w:color w:val="auto"/>
        </w:rPr>
      </w:pPr>
    </w:p>
    <w:p>
      <w:pPr>
        <w:sectPr>
          <w:pgSz w:w="11900" w:h="16838" w:orient="portrait"/>
          <w:cols w:equalWidth="0" w:num="2">
            <w:col w:w="7940" w:space="720"/>
            <w:col w:w="1399"/>
          </w:cols>
          <w:pgMar w:left="400" w:top="635" w:right="1440" w:bottom="1440" w:gutter="0" w:footer="0" w:header="0"/>
        </w:sectPr>
      </w:pPr>
    </w:p>
    <w:p>
      <w:pPr>
        <w:spacing w:after="0" w:line="11" w:lineRule="exact"/>
        <w:rPr>
          <w:sz w:val="20"/>
          <w:szCs w:val="20"/>
          <w:color w:val="auto"/>
        </w:rPr>
      </w:pPr>
    </w:p>
    <w:p>
      <w:pPr>
        <w:ind w:left="552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059"/>
          </w:cols>
          <w:pgMar w:left="400" w:top="635" w:right="1440"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3"/>
          <w:szCs w:val="13"/>
          <w:color w:val="auto"/>
        </w:rPr>
        <w:t>ManpowerGroup Solutions Holdings Hong Kong Limited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Consultants Ltd (Hong Kong)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Hong Kong Holdings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Hong Kong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Standard Management Consulting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Business Solutions Kft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Munkaero Szervezesi KFT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RMC OF Illinois,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COMSYS IT India,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IT Private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Solutions Pvt.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Services India Pvt.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India Pvt.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(Ireland)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Holdings (Ireland)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Transition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Adam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Adi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Career Harmony,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BI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Cyber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I.T.S.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Software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M.F.S. Manpower Facility Services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M.G.S.M. Advanced Medical Services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Care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Israel Holdings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Israel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Language Services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MNPM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Nativ 2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Telepower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Unison Engineering Projects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Elan Solutions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Jefferson Wells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Formazione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Italia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Sales and Marketing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Sport and Events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Talent Solution Company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Executive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Motus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Human Business Associates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JobSupportpower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Pro-Hunt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Kaz LLC</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Representative Office of Manpower CIS LLC in Kazakhstan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Manpower Korea,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Hong Kong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Hungary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Hungary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India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India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India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India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India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Japan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Japan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Japan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Japan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Japan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Japan</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Kazakhstan</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Kazakhstan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Korea</w:t>
      </w:r>
    </w:p>
    <w:p>
      <w:pPr>
        <w:spacing w:after="0" w:line="200" w:lineRule="exact"/>
        <w:rPr>
          <w:sz w:val="20"/>
          <w:szCs w:val="20"/>
          <w:color w:val="auto"/>
        </w:rPr>
      </w:pPr>
    </w:p>
    <w:p>
      <w:pPr>
        <w:sectPr>
          <w:pgSz w:w="11900" w:h="16838" w:orient="portrait"/>
          <w:cols w:equalWidth="0" w:num="2">
            <w:col w:w="7940" w:space="720"/>
            <w:col w:w="1399"/>
          </w:cols>
          <w:pgMar w:left="400" w:top="636" w:right="1440" w:bottom="1440" w:gutter="0" w:footer="0" w:header="0"/>
        </w:sectPr>
      </w:pPr>
    </w:p>
    <w:p>
      <w:pPr>
        <w:spacing w:after="0" w:line="11" w:lineRule="exact"/>
        <w:rPr>
          <w:sz w:val="20"/>
          <w:szCs w:val="20"/>
          <w:color w:val="auto"/>
        </w:rPr>
      </w:pPr>
    </w:p>
    <w:p>
      <w:pPr>
        <w:ind w:left="552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0059"/>
          </w:cols>
          <w:pgMar w:left="400" w:top="636" w:right="1440"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4"/>
          <w:szCs w:val="14"/>
          <w:color w:val="auto"/>
        </w:rPr>
        <w:t>ManpowerGroup Korea,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Service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Korea Co. Ltd.</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Representative Office of UAB "Manpower Lit" in Latvia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Manpower Lit UAB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Elan IT Resource S.a.r.l.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Business Solutions Luxembourg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Luxembourg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Luxembourg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Services (Macau) Limited</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Agensi Pekerjaan Manpower Recruitment Sdn Bhd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Experis (M) Sdn Bhd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Business Solutions (M) Sdn Bhd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Staffing Services (Malaysia) Sdn Bhd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(Malaysia) Sdn Bhd</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Right Management Consultants International Pty Ltd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Agropower,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Mexico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Factoria Y Manufactura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Intelecto Tecnologico,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Corporativo,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Industrial, S. de R.L.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Mensajeria,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Professional,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Nurse.Co de Mexico,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Payment Services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Tecnologia Y Manufactura, S.A. de C.V.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Monaco SAM</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Management Business Services Maroc Sarl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Societe Marocaine De Travail Temporaire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Ciber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Nederland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iJobs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&amp; …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Amsterdam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Beheer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Consulting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Contract Beheer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Corporate Staffing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Eindhoven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General Staffing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Rotterdam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iSense Utrecht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Business Services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Direkt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Engineering Industry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Food Industry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Heavy Industry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Logistics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Management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Netherlands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Korea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Korea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Korea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Latvia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Lithuania</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Luxembourg</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Luxembourg</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Luxembourg</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Luxembourg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Macau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Malaysia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Malaysia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Malaysia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Malaysia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Malaysia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Malaysia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Monaco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Morocco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Morocco</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211" w:lineRule="exact"/>
        <w:rPr>
          <w:sz w:val="20"/>
          <w:szCs w:val="20"/>
          <w:color w:val="auto"/>
        </w:rPr>
      </w:pPr>
    </w:p>
    <w:p>
      <w:pPr>
        <w:sectPr>
          <w:pgSz w:w="11900" w:h="16838" w:orient="portrait"/>
          <w:cols w:equalWidth="0" w:num="2">
            <w:col w:w="7940" w:space="720"/>
            <w:col w:w="1399"/>
          </w:cols>
          <w:pgMar w:left="400" w:top="636" w:right="1440" w:bottom="1440" w:gutter="0" w:footer="0" w:header="0"/>
        </w:sectPr>
      </w:pPr>
    </w:p>
    <w:p>
      <w:pPr>
        <w:spacing w:after="0" w:line="11" w:lineRule="exact"/>
        <w:rPr>
          <w:sz w:val="20"/>
          <w:szCs w:val="20"/>
          <w:color w:val="auto"/>
        </w:rPr>
      </w:pPr>
    </w:p>
    <w:p>
      <w:pPr>
        <w:ind w:left="552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0059"/>
          </w:cols>
          <w:pgMar w:left="400" w:top="636" w:right="1440"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color w:val="auto"/>
        </w:rPr>
        <w:t>Manpower Pharmaceuticals &amp; Basic Industry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Solutions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Special Staffing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Peak Holding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Peak IT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Peak-IT Managed Services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Nederland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Salarisprofs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Stegmann Nederland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Ultrasearch B.V.</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Nouvelle Caledonie Sarl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Recrutement Sarl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Global Career Link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Services (New Zealand)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Nicaruagua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Avan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Ciber Norway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Staffing Service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Framnaes Installajon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Staffing Services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Norway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Workshop Bemanning og Kompetanse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Workshop Holding 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Panama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Panama Pacifico,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Staffing Services Panama,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Paraguay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Peru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Professional Services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Peru S.A.C.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Outsourcing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HR Hunters Sp.z.o.o.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Polska Sp. z 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SP. Zo.o.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Transactions Sp. z 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MP Management Sp.z.o.o.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MP Services Sp. z 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Stegmann Pers. Sp.Zo.o.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Stegmann Polska Sp.Zo.o.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Lda.</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Manpower Portugal Empresa de Trabalho Temporario S.A.</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ManpowerGroup Portugal - SGPS, 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Lda.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HR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SC Manpower Romania SRL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CIS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Private Employment Agency Manpower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New Caledonia</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New Caledonia</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New Zealand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New Zealand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Nicaragua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Norway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Panama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Panama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Panama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Paraguay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Peru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Peru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Peru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Philippines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Portugal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Portugal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Portugal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Portugal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Romania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Romania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Russia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Russia</w:t>
      </w:r>
    </w:p>
    <w:p>
      <w:pPr>
        <w:spacing w:after="0" w:line="200" w:lineRule="exact"/>
        <w:rPr>
          <w:sz w:val="20"/>
          <w:szCs w:val="20"/>
          <w:color w:val="auto"/>
        </w:rPr>
      </w:pPr>
    </w:p>
    <w:p>
      <w:pPr>
        <w:sectPr>
          <w:pgSz w:w="11900" w:h="16838" w:orient="portrait"/>
          <w:cols w:equalWidth="0" w:num="2">
            <w:col w:w="7940" w:space="720"/>
            <w:col w:w="1399"/>
          </w:cols>
          <w:pgMar w:left="400" w:top="636" w:right="1440" w:bottom="1440" w:gutter="0" w:footer="0" w:header="0"/>
        </w:sectPr>
      </w:pPr>
    </w:p>
    <w:p>
      <w:pPr>
        <w:spacing w:after="0" w:line="11" w:lineRule="exact"/>
        <w:rPr>
          <w:sz w:val="20"/>
          <w:szCs w:val="20"/>
          <w:color w:val="auto"/>
        </w:rPr>
      </w:pPr>
    </w:p>
    <w:p>
      <w:pPr>
        <w:ind w:left="552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0059"/>
          </w:cols>
          <w:pgMar w:left="400" w:top="636" w:right="144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color w:val="auto"/>
        </w:rPr>
        <w:t>Clarendon Parker Arabia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Business Solutions d.o.o.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LLC Belgrade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Technology Solutions Pte.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Professional Singapore Pte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Staffing Services (Singapore) Pte.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Marks Sattin (Singapore) Pte.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Singapore Pte.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WDC Consulting Singapore Pte.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Slovensko s.r.o.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Stegman Serv. Slovakis SRO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d.o.o.</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SA (Pty)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ByManpower, S.L.U.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ManpowerGroup S.L.U.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S.L.U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Team E.T.T., S.A.U.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Spain, S.L.U.</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Elan IT Resources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EL &amp; Tele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Solutions IT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Matchning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Student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Sweden AB</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AG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M.S.A.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Schweiz AG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Switzerland AG</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Services (Taiwan)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Consulting Taiwan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Taiwan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HR Power Solution Co., Ltd.</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Manpower Professional and Executive Recruitment Co., Ltd.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Skillpower Services (Thailand) Co.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Business Services Tunisie Sarl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Tunisie International Sarl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Tunisie Sarl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Insan Kaynaklari Limited Sirketi</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Manpower Secme ve Yerlestirme Hizmetleri Limited Sirketi</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Manpower Middle East FZ-LLC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Middle East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Ukraine LLC</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Representative Office of Manpower CIS LLC in Ukraine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AviationPower UK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Bafin Holdings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Brook Street (UK)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Brook Street Bureau PLC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BS Project Services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Challoners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Comsys VMS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Saudi Arabia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Serbia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Serbia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Slovakia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Slovakia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Slovenia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South Africa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Spain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Spain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Spain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Spain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Spain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Sweden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Taiwan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Taiwan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Taiwan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Thailand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Thailand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Thailand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Tunisia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Tunisia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Tunisia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Turkey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Turkey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UAE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UAE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Ukraine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Ukraine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211" w:lineRule="exact"/>
        <w:rPr>
          <w:sz w:val="20"/>
          <w:szCs w:val="20"/>
          <w:color w:val="auto"/>
        </w:rPr>
      </w:pPr>
    </w:p>
    <w:p>
      <w:pPr>
        <w:sectPr>
          <w:pgSz w:w="11900" w:h="16838" w:orient="portrait"/>
          <w:cols w:equalWidth="0" w:num="2">
            <w:col w:w="7940" w:space="720"/>
            <w:col w:w="1399"/>
          </w:cols>
          <w:pgMar w:left="400" w:top="636" w:right="1440" w:bottom="1440" w:gutter="0" w:footer="0" w:header="0"/>
        </w:sectPr>
      </w:pPr>
    </w:p>
    <w:p>
      <w:pPr>
        <w:spacing w:after="0" w:line="11" w:lineRule="exact"/>
        <w:rPr>
          <w:sz w:val="20"/>
          <w:szCs w:val="20"/>
          <w:color w:val="auto"/>
        </w:rPr>
      </w:pPr>
    </w:p>
    <w:p>
      <w:pPr>
        <w:ind w:left="552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0059"/>
          </w:cols>
          <w:pgMar w:left="400" w:top="636" w:right="1440"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4"/>
          <w:szCs w:val="14"/>
          <w:color w:val="auto"/>
        </w:rPr>
        <w:t>Experis Finance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Group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Limited</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Experis Resource Support Services Limited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Integral Search &amp; Selection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Jefferson Wells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Juice Resource Solutions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Contract Services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Holdings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IT Services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Nominees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Public Limited Company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Services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UK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Nicholas Andrews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People Source Consulting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People Source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Right Management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RMC EMEA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SJB Corporate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SJB Services UK Limited</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Temp Finance &amp; Accounting Service Limited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Empower Group Ltd.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Volaris Exec Recruitment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777 Recruitment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Aris Sociedad Anonima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Public Sector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de Venezuela C.A.</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Manpower Empresa de Trabajo Temporal, C.A.</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Servicios Alleray, C.A.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Vietnam Company Ltd.</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Right Management Vietnam Company Ltd.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Brook Street Bureau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 Nominees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Experis US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Signature Graphics of Milwaukee, LLC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US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Global Inc.</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ManpowerGroup Mexico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Uruguay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VA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Venezuela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Venezuela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Venezuela</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Vietnam</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Vietnam</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WI</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WI</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WI</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WI</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WI</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WI</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WI</w:t>
      </w:r>
    </w:p>
    <w:p>
      <w:pPr>
        <w:spacing w:after="0" w:line="200" w:lineRule="exact"/>
        <w:rPr>
          <w:sz w:val="20"/>
          <w:szCs w:val="20"/>
          <w:color w:val="auto"/>
        </w:rPr>
      </w:pPr>
    </w:p>
    <w:p>
      <w:pPr>
        <w:sectPr>
          <w:pgSz w:w="11900" w:h="16838" w:orient="portrait"/>
          <w:cols w:equalWidth="0" w:num="2">
            <w:col w:w="7940" w:space="720"/>
            <w:col w:w="1399"/>
          </w:cols>
          <w:pgMar w:left="400" w:top="6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20"/>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0059"/>
          </w:cols>
          <w:pgMar w:left="400" w:top="636" w:right="1440"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40"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We consent to the incorporation by reference in Registration Statement Nos. 33-40441, 333-1040, 333-105205, 333-126703, 333-135000, 333-161765, 333-174305, and 333-195833 on Form S-8 and Registration Nos. 333-650 and 33-95896 on Form S-4 of our reports dated February 21, 2017, relating to the consolidated financial statements and consolidated financial statement schedule of ManpowerGroup Inc. and subsidiaries (the “Company”), and the effectiveness of the Company’s internal control over financial reporting, appearing in or incorporated by reference in the Annual Report on Form 10-K of ManpowerGroup Inc. for the year ended December 31, 2016.</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Milwaukee, Wisconsin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February 21, 2017</w:t>
      </w:r>
    </w:p>
    <w:p>
      <w:pPr>
        <w:sectPr>
          <w:pgSz w:w="11900" w:h="16838" w:orient="portrait"/>
          <w:cols w:equalWidth="0" w:num="1">
            <w:col w:w="11460"/>
          </w:cols>
          <w:pgMar w:left="220" w:top="477"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Exhibit 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 FOR ANNUAL REPORT ON FORM 10-K</w:t>
      </w:r>
    </w:p>
    <w:p>
      <w:pPr>
        <w:spacing w:after="0" w:line="340" w:lineRule="exact"/>
        <w:rPr>
          <w:sz w:val="20"/>
          <w:szCs w:val="20"/>
          <w:color w:val="auto"/>
        </w:rPr>
      </w:pPr>
    </w:p>
    <w:p>
      <w:pPr>
        <w:ind w:right="80" w:firstLine="497"/>
        <w:spacing w:after="0" w:line="332" w:lineRule="auto"/>
        <w:rPr>
          <w:sz w:val="20"/>
          <w:szCs w:val="20"/>
          <w:color w:val="auto"/>
        </w:rPr>
      </w:pPr>
      <w:r>
        <w:rPr>
          <w:rFonts w:ascii="Arial" w:cs="Arial" w:eastAsia="Arial" w:hAnsi="Arial"/>
          <w:sz w:val="11"/>
          <w:szCs w:val="11"/>
          <w:color w:val="auto"/>
        </w:rPr>
        <w:t>Each of the undersigned directors of ManpowerGroup Inc. (the “Company”) hereby constitutes and appoints Jonas Prising, John T. McGinnis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2016,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WITNESS WHEREOF, the undersigned have each executed this Power of Attorney for Annual Report on Form 10-K, on one or more counterparts, as of the 20th day of January, 2017.</w:t>
      </w:r>
    </w:p>
    <w:p>
      <w:pPr>
        <w:sectPr>
          <w:pgSz w:w="11900" w:h="16838" w:orient="portrait"/>
          <w:cols w:equalWidth="0" w:num="1">
            <w:col w:w="11460"/>
          </w:cols>
          <w:pgMar w:left="220" w:top="476" w:right="219" w:bottom="1440" w:gutter="0" w:footer="0" w:header="0"/>
        </w:sectPr>
      </w:pPr>
    </w:p>
    <w:p>
      <w:pPr>
        <w:spacing w:after="0" w:line="306"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22860</wp:posOffset>
            </wp:positionV>
            <wp:extent cx="16751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75130" cy="13335"/>
                    </a:xfrm>
                    <a:prstGeom prst="rect">
                      <a:avLst/>
                    </a:prstGeom>
                    <a:noFill/>
                  </pic:spPr>
                </pic:pic>
              </a:graphicData>
            </a:graphic>
          </wp:anchor>
        </w:drawing>
      </w:r>
    </w:p>
    <w:p>
      <w:pPr>
        <w:spacing w:after="0" w:line="4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Gina R. Boswell</w:t>
      </w:r>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22860</wp:posOffset>
            </wp:positionV>
            <wp:extent cx="16751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75130" cy="13335"/>
                    </a:xfrm>
                    <a:prstGeom prst="rect">
                      <a:avLst/>
                    </a:prstGeom>
                    <a:noFill/>
                  </pic:spPr>
                </pic:pic>
              </a:graphicData>
            </a:graphic>
          </wp:anchor>
        </w:drawing>
      </w:r>
    </w:p>
    <w:p>
      <w:pPr>
        <w:spacing w:after="0" w:line="4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Cari M. Dominguez</w:t>
      </w:r>
    </w:p>
    <w:p>
      <w:pPr>
        <w:spacing w:after="0" w:line="200" w:lineRule="exact"/>
        <w:rPr>
          <w:sz w:val="20"/>
          <w:szCs w:val="20"/>
          <w:color w:val="auto"/>
        </w:rPr>
      </w:pPr>
    </w:p>
    <w:p>
      <w:pPr>
        <w:spacing w:after="0" w:line="260"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22860</wp:posOffset>
            </wp:positionV>
            <wp:extent cx="16751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75130" cy="13335"/>
                    </a:xfrm>
                    <a:prstGeom prst="rect">
                      <a:avLst/>
                    </a:prstGeom>
                    <a:noFill/>
                  </pic:spPr>
                </pic:pic>
              </a:graphicData>
            </a:graphic>
          </wp:anchor>
        </w:drawing>
      </w:r>
    </w:p>
    <w:p>
      <w:pPr>
        <w:spacing w:after="0" w:line="47"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William Downe</w:t>
      </w:r>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/s/ 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22860</wp:posOffset>
            </wp:positionV>
            <wp:extent cx="16751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75130" cy="13335"/>
                    </a:xfrm>
                    <a:prstGeom prst="rect">
                      <a:avLst/>
                    </a:prstGeom>
                    <a:noFill/>
                  </pic:spPr>
                </pic:pic>
              </a:graphicData>
            </a:graphic>
          </wp:anchor>
        </w:drawing>
      </w:r>
    </w:p>
    <w:p>
      <w:pPr>
        <w:spacing w:after="0" w:line="4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John F. Ferraro</w:t>
      </w:r>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11"/>
          <w:szCs w:val="11"/>
          <w:color w:val="auto"/>
        </w:rPr>
        <w:t>/s/ Patricia A. Hemingway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44450</wp:posOffset>
            </wp:positionV>
            <wp:extent cx="16751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75130" cy="13335"/>
                    </a:xfrm>
                    <a:prstGeom prst="rect">
                      <a:avLst/>
                    </a:prstGeom>
                    <a:noFill/>
                  </pic:spPr>
                </pic:pic>
              </a:graphicData>
            </a:graphic>
          </wp:anchor>
        </w:drawing>
      </w:r>
    </w:p>
    <w:p>
      <w:pPr>
        <w:spacing w:after="0" w:line="81"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Patricia A. Hemingway</w:t>
      </w:r>
    </w:p>
    <w:p>
      <w:pPr>
        <w:spacing w:after="0" w:line="200" w:lineRule="exact"/>
        <w:rPr>
          <w:sz w:val="20"/>
          <w:szCs w:val="20"/>
          <w:color w:val="auto"/>
        </w:rPr>
      </w:pPr>
    </w:p>
    <w:p>
      <w:pPr>
        <w:spacing w:after="0" w:line="342"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/s/ 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22860</wp:posOffset>
            </wp:positionV>
            <wp:extent cx="16751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75130" cy="13335"/>
                    </a:xfrm>
                    <a:prstGeom prst="rect">
                      <a:avLst/>
                    </a:prstGeom>
                    <a:noFill/>
                  </pic:spPr>
                </pic:pic>
              </a:graphicData>
            </a:graphic>
          </wp:anchor>
        </w:drawing>
      </w:r>
    </w:p>
    <w:p>
      <w:pPr>
        <w:spacing w:after="0" w:line="4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Julie M. Howard</w:t>
      </w:r>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22860</wp:posOffset>
            </wp:positionV>
            <wp:extent cx="16751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75130" cy="13335"/>
                    </a:xfrm>
                    <a:prstGeom prst="rect">
                      <a:avLst/>
                    </a:prstGeom>
                    <a:noFill/>
                  </pic:spPr>
                </pic:pic>
              </a:graphicData>
            </a:graphic>
          </wp:anchor>
        </w:drawing>
      </w:r>
    </w:p>
    <w:p>
      <w:pPr>
        <w:spacing w:after="0" w:line="4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Roberto Mendoza</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145161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1610" cy="1333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Ulice Payne, Jr.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145161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51610" cy="1333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Jonas Prising</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145161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1610" cy="1333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Paul Read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145161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1610" cy="1333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Elizabeth P. Sartain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145161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1610" cy="1333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John R. Walter</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145161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51610" cy="1333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Edward J. Zore</w:t>
      </w:r>
    </w:p>
    <w:p>
      <w:pPr>
        <w:sectPr>
          <w:pgSz w:w="11900" w:h="16838" w:orient="portrait"/>
          <w:cols w:equalWidth="0" w:num="2">
            <w:col w:w="6200" w:space="720"/>
            <w:col w:w="4540"/>
          </w:cols>
          <w:pgMar w:left="220" w:top="476" w:right="21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4"/>
          <w:szCs w:val="14"/>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 Jonas Prising, Chairman and Chief Executive Officer of ManpowerGroup Inc., certify that:</w:t>
      </w:r>
    </w:p>
    <w:p>
      <w:pPr>
        <w:spacing w:after="0" w:line="170" w:lineRule="exact"/>
        <w:rPr>
          <w:sz w:val="20"/>
          <w:szCs w:val="20"/>
          <w:color w:val="auto"/>
        </w:rPr>
      </w:pPr>
    </w:p>
    <w:p>
      <w:pPr>
        <w:ind w:left="500" w:hanging="249"/>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ManpowerGroup Inc.;</w:t>
      </w:r>
    </w:p>
    <w:p>
      <w:pPr>
        <w:spacing w:after="0" w:line="170" w:lineRule="exact"/>
        <w:rPr>
          <w:rFonts w:ascii="Arial" w:cs="Arial" w:eastAsia="Arial" w:hAnsi="Arial"/>
          <w:sz w:val="14"/>
          <w:szCs w:val="14"/>
          <w:color w:val="auto"/>
        </w:rPr>
      </w:pPr>
    </w:p>
    <w:p>
      <w:pPr>
        <w:ind w:left="500" w:right="20" w:hanging="249"/>
        <w:spacing w:after="0" w:line="267" w:lineRule="auto"/>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ind w:left="500" w:right="140" w:hanging="249"/>
        <w:spacing w:after="0" w:line="267" w:lineRule="auto"/>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4"/>
          <w:szCs w:val="14"/>
          <w:color w:val="auto"/>
        </w:rPr>
      </w:pPr>
    </w:p>
    <w:p>
      <w:pPr>
        <w:ind w:left="500" w:right="120" w:hanging="249"/>
        <w:spacing w:after="0" w:line="267" w:lineRule="auto"/>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Arial" w:cs="Arial" w:eastAsia="Arial" w:hAnsi="Arial"/>
          <w:sz w:val="14"/>
          <w:szCs w:val="14"/>
          <w:color w:val="auto"/>
        </w:rPr>
      </w:pPr>
    </w:p>
    <w:p>
      <w:pPr>
        <w:ind w:left="1240" w:hanging="254"/>
        <w:spacing w:after="0" w:line="405" w:lineRule="auto"/>
        <w:tabs>
          <w:tab w:leader="none" w:pos="1240" w:val="left"/>
        </w:tabs>
        <w:numPr>
          <w:ilvl w:val="1"/>
          <w:numId w:val="60"/>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1"/>
          <w:szCs w:val="11"/>
          <w:color w:val="auto"/>
        </w:rPr>
      </w:pPr>
    </w:p>
    <w:p>
      <w:pPr>
        <w:ind w:left="1240" w:right="200" w:hanging="254"/>
        <w:spacing w:after="0" w:line="405" w:lineRule="auto"/>
        <w:tabs>
          <w:tab w:leader="none" w:pos="1240" w:val="left"/>
        </w:tabs>
        <w:numPr>
          <w:ilvl w:val="1"/>
          <w:numId w:val="6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1"/>
          <w:szCs w:val="11"/>
          <w:color w:val="auto"/>
        </w:rPr>
      </w:pPr>
    </w:p>
    <w:p>
      <w:pPr>
        <w:ind w:left="1240" w:right="380" w:hanging="254"/>
        <w:spacing w:after="0" w:line="267" w:lineRule="auto"/>
        <w:tabs>
          <w:tab w:leader="none" w:pos="12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4"/>
          <w:szCs w:val="14"/>
          <w:color w:val="auto"/>
        </w:rPr>
      </w:pPr>
    </w:p>
    <w:p>
      <w:pPr>
        <w:ind w:left="1240" w:right="40" w:hanging="254"/>
        <w:spacing w:after="0" w:line="306" w:lineRule="auto"/>
        <w:tabs>
          <w:tab w:leader="none" w:pos="1240" w:val="left"/>
        </w:tabs>
        <w:numPr>
          <w:ilvl w:val="1"/>
          <w:numId w:val="6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3"/>
          <w:szCs w:val="13"/>
          <w:color w:val="auto"/>
        </w:rPr>
      </w:pPr>
    </w:p>
    <w:p>
      <w:pPr>
        <w:ind w:left="500" w:right="80" w:hanging="249"/>
        <w:spacing w:after="0" w:line="267" w:lineRule="auto"/>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4"/>
          <w:szCs w:val="14"/>
          <w:color w:val="auto"/>
        </w:rPr>
      </w:pPr>
    </w:p>
    <w:p>
      <w:pPr>
        <w:ind w:left="1240" w:right="80" w:hanging="254"/>
        <w:spacing w:after="0" w:line="267" w:lineRule="auto"/>
        <w:tabs>
          <w:tab w:leader="none" w:pos="12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4"/>
          <w:szCs w:val="14"/>
          <w:color w:val="auto"/>
        </w:rPr>
      </w:pPr>
    </w:p>
    <w:p>
      <w:pPr>
        <w:ind w:left="1240" w:hanging="254"/>
        <w:spacing w:after="0"/>
        <w:tabs>
          <w:tab w:leader="none" w:pos="124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February 21, 2017</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332355"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32355" cy="1333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Jonas Prising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and Chief Executive Officer</w:t>
      </w:r>
    </w:p>
    <w:p>
      <w:pPr>
        <w:sectPr>
          <w:pgSz w:w="11900" w:h="16838" w:orient="portrait"/>
          <w:cols w:equalWidth="0" w:num="1">
            <w:col w:w="11460"/>
          </w:cols>
          <w:pgMar w:left="220" w:top="477"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4"/>
          <w:szCs w:val="14"/>
          <w:b w:val="1"/>
          <w:bCs w:val="1"/>
          <w:color w:val="auto"/>
        </w:rPr>
        <w:t>Exhibit 31.2</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CERTIFICATION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 John T. McGinnis, Executive Vice President and Chief Financial Officer of ManpowerGroup Inc., certify that:</w:t>
      </w:r>
    </w:p>
    <w:p>
      <w:pPr>
        <w:spacing w:after="0" w:line="170" w:lineRule="exact"/>
        <w:rPr>
          <w:sz w:val="20"/>
          <w:szCs w:val="20"/>
          <w:color w:val="auto"/>
        </w:rPr>
      </w:pPr>
    </w:p>
    <w:p>
      <w:pPr>
        <w:ind w:left="540" w:hanging="289"/>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ManpowerGroup Inc.;</w:t>
      </w:r>
    </w:p>
    <w:p>
      <w:pPr>
        <w:spacing w:after="0" w:line="170" w:lineRule="exact"/>
        <w:rPr>
          <w:rFonts w:ascii="Arial" w:cs="Arial" w:eastAsia="Arial" w:hAnsi="Arial"/>
          <w:sz w:val="14"/>
          <w:szCs w:val="14"/>
          <w:color w:val="auto"/>
        </w:rPr>
      </w:pPr>
    </w:p>
    <w:p>
      <w:pPr>
        <w:ind w:left="500" w:hanging="249"/>
        <w:spacing w:after="0" w:line="267"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ind w:left="500" w:hanging="249"/>
        <w:spacing w:after="0" w:line="267"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4"/>
          <w:szCs w:val="14"/>
          <w:color w:val="auto"/>
        </w:rPr>
      </w:pPr>
    </w:p>
    <w:p>
      <w:pPr>
        <w:ind w:left="500" w:hanging="249"/>
        <w:spacing w:after="0" w:line="267"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Arial" w:cs="Arial" w:eastAsia="Arial" w:hAnsi="Arial"/>
          <w:sz w:val="14"/>
          <w:szCs w:val="14"/>
          <w:color w:val="auto"/>
        </w:rPr>
      </w:pPr>
    </w:p>
    <w:p>
      <w:pPr>
        <w:ind w:left="1240" w:hanging="254"/>
        <w:spacing w:after="0" w:line="405" w:lineRule="auto"/>
        <w:tabs>
          <w:tab w:leader="none" w:pos="1240" w:val="left"/>
        </w:tabs>
        <w:numPr>
          <w:ilvl w:val="1"/>
          <w:numId w:val="61"/>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1"/>
          <w:szCs w:val="11"/>
          <w:color w:val="auto"/>
        </w:rPr>
      </w:pPr>
    </w:p>
    <w:p>
      <w:pPr>
        <w:ind w:left="1240" w:right="200" w:hanging="254"/>
        <w:spacing w:after="0" w:line="405" w:lineRule="auto"/>
        <w:tabs>
          <w:tab w:leader="none" w:pos="1240" w:val="left"/>
        </w:tabs>
        <w:numPr>
          <w:ilvl w:val="1"/>
          <w:numId w:val="6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1"/>
          <w:szCs w:val="11"/>
          <w:color w:val="auto"/>
        </w:rPr>
      </w:pPr>
    </w:p>
    <w:p>
      <w:pPr>
        <w:ind w:left="1240" w:right="380" w:hanging="254"/>
        <w:spacing w:after="0" w:line="267" w:lineRule="auto"/>
        <w:tabs>
          <w:tab w:leader="none" w:pos="1240" w:val="left"/>
        </w:tabs>
        <w:numPr>
          <w:ilvl w:val="1"/>
          <w:numId w:val="6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4"/>
          <w:szCs w:val="14"/>
          <w:color w:val="auto"/>
        </w:rPr>
      </w:pPr>
    </w:p>
    <w:p>
      <w:pPr>
        <w:ind w:left="1240" w:right="40" w:hanging="254"/>
        <w:spacing w:after="0" w:line="306" w:lineRule="auto"/>
        <w:tabs>
          <w:tab w:leader="none" w:pos="1240" w:val="left"/>
        </w:tabs>
        <w:numPr>
          <w:ilvl w:val="1"/>
          <w:numId w:val="6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3"/>
          <w:szCs w:val="13"/>
          <w:color w:val="auto"/>
        </w:rPr>
      </w:pPr>
    </w:p>
    <w:p>
      <w:pPr>
        <w:ind w:left="500" w:right="80" w:hanging="249"/>
        <w:spacing w:after="0" w:line="267"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4"/>
          <w:szCs w:val="14"/>
          <w:color w:val="auto"/>
        </w:rPr>
      </w:pPr>
    </w:p>
    <w:p>
      <w:pPr>
        <w:ind w:left="1240" w:right="80" w:hanging="254"/>
        <w:spacing w:after="0" w:line="267" w:lineRule="auto"/>
        <w:tabs>
          <w:tab w:leader="none" w:pos="1240" w:val="left"/>
        </w:tabs>
        <w:numPr>
          <w:ilvl w:val="1"/>
          <w:numId w:val="6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4"/>
          <w:szCs w:val="14"/>
          <w:color w:val="auto"/>
        </w:rPr>
      </w:pPr>
    </w:p>
    <w:p>
      <w:pPr>
        <w:ind w:left="1240" w:hanging="254"/>
        <w:spacing w:after="0"/>
        <w:tabs>
          <w:tab w:leader="none" w:pos="1240" w:val="left"/>
        </w:tabs>
        <w:numPr>
          <w:ilvl w:val="1"/>
          <w:numId w:val="6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February 21, 2017</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036445"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36445" cy="1333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 T. McGinnis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 Chief Financial Officer</w:t>
      </w:r>
    </w:p>
    <w:p>
      <w:pPr>
        <w:sectPr>
          <w:pgSz w:w="11900" w:h="16838" w:orient="portrait"/>
          <w:cols w:equalWidth="0" w:num="1">
            <w:col w:w="11460"/>
          </w:cols>
          <w:pgMar w:left="220" w:top="476"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4"/>
          <w:szCs w:val="14"/>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460" w:right="160" w:hanging="240"/>
        <w:spacing w:after="0" w:line="267" w:lineRule="auto"/>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Company’s Annual Report on Form 10-K for the year ended December 31, 2016 fully complies with the requirements of Section 13(a) or 15(d), as applicable, of the Securities Exchange Act of 1934, and</w:t>
      </w:r>
    </w:p>
    <w:p>
      <w:pPr>
        <w:spacing w:after="0" w:line="138" w:lineRule="exact"/>
        <w:rPr>
          <w:rFonts w:ascii="Arial" w:cs="Arial" w:eastAsia="Arial" w:hAnsi="Arial"/>
          <w:sz w:val="14"/>
          <w:szCs w:val="14"/>
          <w:color w:val="auto"/>
        </w:rPr>
      </w:pPr>
    </w:p>
    <w:p>
      <w:pPr>
        <w:ind w:left="460" w:hanging="240"/>
        <w:spacing w:after="0"/>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MANPOWERGROUP INC.</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February 21, 2017</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40411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4110" cy="1333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Jonas Prising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Chairman and Chief Executive Officer</w:t>
      </w:r>
    </w:p>
    <w:p>
      <w:pPr>
        <w:spacing w:after="0" w:line="191"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60"/>
          </w:cols>
          <w:pgMar w:left="220" w:top="476"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4"/>
          <w:szCs w:val="14"/>
          <w:b w:val="1"/>
          <w:bCs w:val="1"/>
          <w:color w:val="auto"/>
        </w:rPr>
        <w:t>Exhibit 32.2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460" w:right="160" w:hanging="240"/>
        <w:spacing w:after="0" w:line="267"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Company’s Annual Report on Form 10-K for the year ended December 31, 2016 fully complies with the requirements of Section 13(a) or 15(d), as applicable, of the Securities Exchange Act of 1934, and</w:t>
      </w:r>
    </w:p>
    <w:p>
      <w:pPr>
        <w:spacing w:after="0" w:line="138" w:lineRule="exact"/>
        <w:rPr>
          <w:rFonts w:ascii="Arial" w:cs="Arial" w:eastAsia="Arial" w:hAnsi="Arial"/>
          <w:sz w:val="14"/>
          <w:szCs w:val="14"/>
          <w:color w:val="auto"/>
        </w:rPr>
      </w:pPr>
    </w:p>
    <w:p>
      <w:pPr>
        <w:ind w:left="460" w:hanging="240"/>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MANPOWERGROUP INC.</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February 21, 2017</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181991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9910" cy="1333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 T. McGinnis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 Chief Financial</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Officer</w:t>
      </w:r>
    </w:p>
    <w:p>
      <w:pPr>
        <w:spacing w:after="0" w:line="181"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60"/>
          </w:cols>
          <w:pgMar w:left="220" w:top="476" w:right="219" w:bottom="1440" w:gutter="0" w:footer="0" w:header="0"/>
        </w:sectPr>
      </w:pPr>
    </w:p>
    <w:bookmarkStart w:id="127" w:name="page128"/>
    <w:bookmarkEnd w:id="127"/>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begin 644 a2016rightmanagementa01.jpg M_]C_X1!X17AI9@ 34T *@ @ # $ , !"LX $! , !"&gt;&lt; M $" , # G@$&amp; , ! ( $2 , ! $ $5 , ! M , $: 4 ! I $; 4 ! K $H , ! ( $Q ( M D M</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$R ( 4 V(=I 0 ! [ 20 " ( @ +&lt;; M G$ MQL "&lt;0061O8F4@4&amp;AO=&amp;]S:&amp;]P($-#(#(P,34@*$UA8VEN=&amp;]S M:"D ,C Q-SHP,CHQ-B Q-CHS.3HU- !) &lt; $,#(R,: ! , ! M__\ * "</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0 ! "=* # 0 ! #+ &amp; 0, P $ M!@ 1H !0 $ %R 1L !0 $ %Z 2@ P $ @ @$ ! M $ &amp;" @( ! $ [N $@ ! 2 '_V/_M Q! M9&amp;]B95]#30 "_^X #D%D;V)E &amp;2 ?_; (0 # @(" 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D)#!$+"@L1 M%0\,# \5&amp;!,3%1,3&amp;!$,# P,# P1# P,# P,# P,# P,# P,# P,# P,# P, M# P,# $-"PL-#@T0#@X0% X.#A04#@X.#A01# P,# P1$0P,# P,#!$,# P, M# P,# P,# P,# P,# 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 P,# P,_\ $0@ H !\ P$B (1 0,1 ?_= M 0 "/_$ 3\ $% 0$! 0$! , 0($!08'" D*"P$ 04! 0$! M 0$ 0 " P0%!@&lt;("0H+$ !! $# @0"!0&lt;&amp;" 4###,! (1 P0A</w:t>
      </w:r>
    </w:p>
    <w:p>
      <w:pPr>
        <w:spacing w:after="0"/>
        <w:rPr>
          <w:sz w:val="20"/>
          <w:szCs w:val="20"/>
          <w:color w:val="auto"/>
        </w:rPr>
      </w:pPr>
      <w:r>
        <w:rPr>
          <w:rFonts w:ascii="Arial" w:cs="Arial" w:eastAsia="Arial" w:hAnsi="Arial"/>
          <w:sz w:val="16"/>
          <w:szCs w:val="16"/>
          <w:color w:val="auto"/>
        </w:rPr>
        <w:t>M$C$%05%A$R)Q@3(&amp;%)&amp;AL4(C)!52P6(S-'*"T4,')9)3\.'Q8W,U%J*R@R9$ MDU1D1&lt;*C=#87TE7B9?*SA,/3=&gt;/S1B&gt;4I(6TE&lt;34Y/2EM&lt;75Y?569G:&amp;EJ:V</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MQM;F]C='5V=WAY&gt;GM\?7Y_&lt;1 (" 0($! ,$!08'!P8%-0$ A$#(3$2!$%1 M87$B$P4R@9$4H;%"(\%2T? S)&amp;+A7U5F9VAI:FML;6YO8G M-T=79W&gt;'EZ&gt;WQ__: P# 0</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"$0,1 #\ ]522224I))9C.L$3ZM?B6ANA@&gt;[_ M A;^9]%_P#AD1$G9!(&amp;[II+-_:MKJK2RD&gt;K72;6M+Q#G0#6S0%VQ^]GO2JZ MRQ_YFX/&gt;YM.QP]S8::W/W[-</w:t>
      </w:r>
    </w:p>
    <w:p>
      <w:pPr>
        <w:spacing w:after="0" w:line="231" w:lineRule="auto"/>
        <w:rPr>
          <w:sz w:val="20"/>
          <w:szCs w:val="20"/>
          <w:color w:val="auto"/>
        </w:rPr>
      </w:pPr>
      <w:r>
        <w:rPr>
          <w:rFonts w:ascii="Arial" w:cs="Arial" w:eastAsia="Arial" w:hAnsi="Arial"/>
          <w:sz w:val="17"/>
          <w:szCs w:val="17"/>
          <w:color w:val="auto"/>
        </w:rPr>
        <w:t>GJ^]'@EV1QATDEG'K6. 3L&lt;0T!Q@M^B?I?G?3 M8[V^G]-.&gt;L5 ;G5/#0#N/MTC;^;NWN_G*TN"79/$.[H)*@WJ@&gt;]C&amp;U$%S@PE</w:t>
      </w:r>
    </w:p>
    <w:p>
      <w:pPr>
        <w:spacing w:after="0" w:line="228" w:lineRule="auto"/>
        <w:rPr>
          <w:sz w:val="20"/>
          <w:szCs w:val="20"/>
          <w:color w:val="auto"/>
        </w:rPr>
      </w:pPr>
      <w:r>
        <w:rPr>
          <w:rFonts w:ascii="Arial" w:cs="Arial" w:eastAsia="Arial" w:hAnsi="Arial"/>
          <w:sz w:val="17"/>
          <w:szCs w:val="17"/>
          <w:color w:val="auto"/>
        </w:rPr>
        <w:t>MSFB/H[_WOH^K7_74&amp;=7A[FV5DZN+=G9K2YNX[]N[CZ?Y_O\ ]$EP2[(X@Z22 MH#J]+B-M;RT[8=[0(X,:'.&lt;-L"0'_2W?FM^DEP2[ M)XAW=%)-</w:t>
      </w:r>
    </w:p>
    <w:p>
      <w:pPr>
        <w:spacing w:after="0" w:line="229" w:lineRule="auto"/>
        <w:rPr>
          <w:sz w:val="20"/>
          <w:szCs w:val="20"/>
          <w:color w:val="auto"/>
        </w:rPr>
      </w:pPr>
      <w:r>
        <w:rPr>
          <w:rFonts w:ascii="Arial" w:cs="Arial" w:eastAsia="Arial" w:hAnsi="Arial"/>
          <w:sz w:val="17"/>
          <w:szCs w:val="17"/>
          <w:color w:val="auto"/>
        </w:rPr>
        <w:t>SJ$Z:E22222G_]#U5))))2ED[\J]EXNQ_59OK%=&gt;TL !'O:ZR7&gt;K MZ+_YSV^G_P"&gt;J].RT5E@(G&gt;XM^$-=9_WQQD_=_$+?&gt;Q]_</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MP+T5#&amp;95+++ZMKVOW!NH@L&lt;6U[OZL*P&amp;- X "Y7_ )]._P"X'_@W_J%+ M_GT[_N!_X-_ZA2]G+V_$*]['W_ O5"M@ : !$"-!''_ %*6QD@[1(XTX_UW M+E?^?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3O^X'_@W_J%29]=[K'AE?3G6/=HUC+2YQ_JM;27)&gt;QD[?B%&gt;]C[_@7J M Q@,AH!TUCPX3&gt;E5$;&amp;Q\!X[O^J7-#ZY9;@QS&gt;E6.%DFLASB'!OTS7^K^_9^ 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M4!]&gt;+2PV#IQ-8(:7BT[03JUI?Z.S^QP@&gt;X.JM_1O&lt; M[&lt;[VN]_L7G%7\TS^J/R+U5S6N+21)89;Y&amp;"W_J7++=TWI!)/[/QB29/Z-O\ MY%2XLPC=B[8LF(RJC5/</w:t>
      </w:r>
    </w:p>
    <w:p>
      <w:pPr>
        <w:spacing w:after="0" w:line="231" w:lineRule="auto"/>
        <w:rPr>
          <w:sz w:val="20"/>
          <w:szCs w:val="20"/>
          <w:color w:val="auto"/>
        </w:rPr>
      </w:pPr>
      <w:r>
        <w:rPr>
          <w:rFonts w:ascii="Arial" w:cs="Arial" w:eastAsia="Arial" w:hAnsi="Arial"/>
          <w:sz w:val="17"/>
          <w:szCs w:val="17"/>
          <w:color w:val="auto"/>
        </w:rPr>
        <w:t>I+NST[I _P"\[&amp;_[;;_Y%1.#TD?]YV-_VVW_ ,@I M?O,&gt;Q6?=Y=P\,DNW.'TD?]YN-_VVW_R"B&lt;;I0_[S&lt;7_,;_Y!+[S'L4?=Y=P\ M4K&amp;!D58V4VZWU/3:"'-</w:t>
      </w:r>
    </w:p>
    <w:p>
      <w:pPr>
        <w:spacing w:after="0"/>
        <w:rPr>
          <w:sz w:val="20"/>
          <w:szCs w:val="20"/>
          <w:color w:val="auto"/>
        </w:rPr>
      </w:pPr>
      <w:r>
        <w:rPr>
          <w:rFonts w:ascii="Arial" w:cs="Arial" w:eastAsia="Arial" w:hAnsi="Arial"/>
          <w:sz w:val="16"/>
          <w:szCs w:val="16"/>
          <w:color w:val="auto"/>
        </w:rPr>
        <w:t>JY=/T66&gt;^G?1N_GJO5_2_S:ZLT=*'_&gt;9B_P"8W_R" M@:^EC_O,Q?\ ,;_Y! \Q$Z44C!(&amp;[#D4=&gt;HK?5;;79?YUI):Y\&gt;W&gt;ZB^_W-=[_P!+C?H] M]6_\_P!2K])4NA(Z6/\</w:t>
      </w:r>
    </w:p>
    <w:p>
      <w:pPr>
        <w:spacing w:after="0" w:line="231" w:lineRule="auto"/>
        <w:rPr>
          <w:sz w:val="20"/>
          <w:szCs w:val="20"/>
          <w:color w:val="auto"/>
        </w:rPr>
      </w:pPr>
      <w:r>
        <w:rPr>
          <w:rFonts w:ascii="Arial" w:cs="Arial" w:eastAsia="Arial" w:hAnsi="Arial"/>
          <w:sz w:val="17"/>
          <w:szCs w:val="17"/>
          <w:color w:val="auto"/>
        </w:rPr>
        <w:t>O+Q?\QO_ )!1)Z9VZ7B'^RW_ ,@@,T!^B4G%,_I! MO?4\@]"J_P",N_\ /CUM+%Z=U1HMIPV8U=-)):UM1@-.KM&amp;;6M^DMI03-R)[ MFV&gt;</w:t>
      </w:r>
    </w:p>
    <w:p>
      <w:pPr>
        <w:spacing w:after="0" w:line="228" w:lineRule="auto"/>
        <w:rPr>
          <w:sz w:val="20"/>
          <w:szCs w:val="20"/>
          <w:color w:val="auto"/>
        </w:rPr>
      </w:pPr>
      <w:r>
        <w:rPr>
          <w:rFonts w:ascii="Arial" w:cs="Arial" w:eastAsia="Arial" w:hAnsi="Arial"/>
          <w:sz w:val="17"/>
          <w:szCs w:val="17"/>
          <w:color w:val="auto"/>
        </w:rPr>
        <w:t>(J('84I)))-2__]+U5432)B=?!)339B/H=4UMSMIO&gt;\M !#F/=L?NWN=[_P!+]+Z?_!_HU$JU;_.4 M_P!&lt;_P#46(+KW&lt;[6_,)*:[B%!Q'BK)R'?</w:t>
      </w:r>
    </w:p>
    <w:p>
      <w:pPr>
        <w:spacing w:after="0" w:line="229" w:lineRule="auto"/>
        <w:rPr>
          <w:sz w:val="20"/>
          <w:szCs w:val="20"/>
          <w:color w:val="auto"/>
        </w:rPr>
      </w:pPr>
      <w:r>
        <w:rPr>
          <w:rFonts w:ascii="Arial" w:cs="Arial" w:eastAsia="Arial" w:hAnsi="Arial"/>
          <w:sz w:val="17"/>
          <w:szCs w:val="17"/>
          <w:color w:val="auto"/>
        </w:rPr>
        <w:t>N,^[_:H')=^Y7_F_P"U%35&lt;1XH; MB/%6SEO_ -'7_F_[5 YC_P#15?YO^U)33)'BAN(\0KQSK/\ 14_YI_\ )*!Z MA8/\#3_F'_R22G.O LJ?6'-!&lt;(!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(#@//8[VN588U;'L&gt;PL!K&lt;'#VSHU@J97N MW;MNFY:YZC8/\#1_F'_R2&amp;_JKFD!U6,W&lt;8;+8D^4O24U.C5-IR\:EKM\6$@] MX@_ZN76KFQURRL&amp;QC,9@@$O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CVN^B=WJ?1%^R MTL8]K+7 V-:U[B0XG:7'\[Z.[&gt;M[ZMZOR"T&gt;T-K:".--_M"W$D;4I)))!3__ MU/54DDDE*6?7U=AG?61R6ALDD ;W?3;5]&amp;O])_H_]!9RAQ?52;=I&lt;</w:t>
      </w:r>
    </w:p>
    <w:p>
      <w:pPr>
        <w:spacing w:after="0" w:line="231" w:lineRule="auto"/>
        <w:rPr>
          <w:sz w:val="20"/>
          <w:szCs w:val="20"/>
          <w:color w:val="auto"/>
        </w:rPr>
      </w:pPr>
      <w:r>
        <w:rPr>
          <w:rFonts w:ascii="Arial" w:cs="Arial" w:eastAsia="Arial" w:hAnsi="Arial"/>
          <w:sz w:val="17"/>
          <w:szCs w:val="17"/>
          <w:color w:val="auto"/>
        </w:rPr>
        <w:t>"8EE8=K_.S M[7[$]?5Z7S["07N;46$.W@!I8[\W9ZL_HU"W)V6^?M_XNU&amp;X]D5+NF/5\4 F'PUH&gt;XP(##]* MSG_!N]EG^$2/5L&lt;"7,L:T ESBV V-L[A._\</w:t>
      </w:r>
    </w:p>
    <w:p>
      <w:pPr>
        <w:spacing w:after="0"/>
        <w:rPr>
          <w:sz w:val="20"/>
          <w:szCs w:val="20"/>
          <w:color w:val="auto"/>
        </w:rPr>
      </w:pPr>
      <w:r>
        <w:rPr>
          <w:rFonts w:ascii="Arial" w:cs="Arial" w:eastAsia="Arial" w:hAnsi="Arial"/>
          <w:sz w:val="16"/>
          <w:szCs w:val="16"/>
          <w:color w:val="auto"/>
        </w:rPr>
        <w:t>/K^BW\]/1CXV54RUU+:R'[H MVZUNAH %; !P T&gt;7_D4O3V*O5W#7;U.MSV,959+G!IW -B M8W_2=_@][-W_ ('O4!U:MI?ZK"QC9.\&gt;Z&amp;!SZO4L'MV&gt;^KZ#?45L8^.</w:t>
      </w:r>
    </w:p>
    <w:p>
      <w:pPr>
        <w:spacing w:after="0" w:line="231" w:lineRule="auto"/>
        <w:rPr>
          <w:sz w:val="20"/>
          <w:szCs w:val="20"/>
          <w:color w:val="auto"/>
        </w:rPr>
      </w:pPr>
      <w:r>
        <w:rPr>
          <w:rFonts w:ascii="Arial" w:cs="Arial" w:eastAsia="Arial" w:hAnsi="Arial"/>
          <w:sz w:val="17"/>
          <w:szCs w:val="17"/>
          <w:color w:val="auto"/>
        </w:rPr>
        <w:t>*F M-@M :-(V[8_S&amp;*)Q,8V"STF[VN+P8_.(VFP_\)M_/2N/952[M&lt;]5I#9%=D\0 M0![HG9J[S9[_ .;_ $C$OVK5&amp;M;]VOM !U;J^OZ0][&amp;&gt;_P#&lt;5G[-C0T&gt;DR&amp;Z</w:t>
      </w:r>
    </w:p>
    <w:p>
      <w:pPr>
        <w:spacing w:after="0"/>
        <w:rPr>
          <w:sz w:val="20"/>
          <w:szCs w:val="20"/>
          <w:color w:val="auto"/>
        </w:rPr>
      </w:pPr>
      <w:r>
        <w:rPr>
          <w:rFonts w:ascii="Arial" w:cs="Arial" w:eastAsia="Arial" w:hAnsi="Arial"/>
          <w:sz w:val="16"/>
          <w:szCs w:val="16"/>
          <w:color w:val="auto"/>
        </w:rPr>
        <w:t>MM&amp;T:'^3]RC;A8MM)I=6T5N$$- ;III[?ZJ5Q[%7J[H7]28RQS/3+@';1M(D^ MVFSZ+MO_ '(_&gt;47=4_0FVJDO]X8S7Z6YGJ^W8VRS^3[J_P#H*WZ%)&lt;7FMN\@ M</w:t>
      </w:r>
    </w:p>
    <w:p>
      <w:pPr>
        <w:spacing w:after="0" w:line="231" w:lineRule="auto"/>
        <w:rPr>
          <w:sz w:val="20"/>
          <w:szCs w:val="20"/>
          <w:color w:val="auto"/>
        </w:rPr>
      </w:pPr>
      <w:r>
        <w:rPr>
          <w:rFonts w:ascii="Arial" w:cs="Arial" w:eastAsia="Arial" w:hAnsi="Arial"/>
          <w:sz w:val="17"/>
          <w:szCs w:val="17"/>
          <w:color w:val="auto"/>
        </w:rPr>
        <w:t>N@3 U:)2;12W5M;6Q$0 .!M;_FI7'LJI=VM9U-C1[:G%V[9[H ^GZ;_ '2[ MZ+?TBE]O'V'[9Z;HW1LD3&amp;_T=W.W_A$?[/1NW&gt;FS=$3M$Q/J1_G^]/Z-.ST]</w:t>
      </w:r>
    </w:p>
    <w:p>
      <w:pPr>
        <w:spacing w:after="0"/>
        <w:rPr>
          <w:sz w:val="20"/>
          <w:szCs w:val="20"/>
          <w:color w:val="auto"/>
        </w:rPr>
      </w:pPr>
      <w:r>
        <w:rPr>
          <w:rFonts w:ascii="Arial" w:cs="Arial" w:eastAsia="Arial" w:hAnsi="Arial"/>
          <w:sz w:val="16"/>
          <w:szCs w:val="16"/>
          <w:color w:val="auto"/>
        </w:rPr>
        <w:t>MC=D[ML")G?NV_P!?W)7'LFCW?__5]5225._$R;-(+9?8UA8#/O.T1Y-&lt;__ +XN&lt;_Y]81U;B7EI^B26"1\-ZUG49=;\ M;?D;VB][G@MDN::K=M&gt;[=^BVN]_M_P"+7G-</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7\VS^J/R*?#CC*[UJF'+DE&amp;JT MNWL/^?.)_P!Q+OO9_P"32_Y\XG_&lt;2[[V?^37(I*7V,?;\6/WLG?\'KO^?.)_ MW$N^]G_DTO\ GSB?]Q+OO9_Y-R=_P&gt;N_Y\XG_&lt;2[[V?</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^32_Y M\XG_ '$N^]G_ )-R=_P&gt;N_Y\XG_&lt;2[[V?^32'UXQ3QAWGX;# M_P!_7.8.5BT49E614^PY5)J#F.#3'^A.YKMC+7?3M9^XQ67]5H_:+.HX_JTO</w:t>
      </w:r>
    </w:p>
    <w:p>
      <w:pPr>
        <w:spacing w:after="0"/>
        <w:rPr>
          <w:sz w:val="20"/>
          <w:szCs w:val="20"/>
          <w:color w:val="auto"/>
        </w:rPr>
      </w:pPr>
      <w:r>
        <w:rPr>
          <w:rFonts w:ascii="Arial" w:cs="Arial" w:eastAsia="Arial" w:hAnsi="Arial"/>
          <w:sz w:val="16"/>
          <w:szCs w:val="16"/>
          <w:color w:val="auto"/>
        </w:rPr>
        <w:t>M;4&amp;&amp;@0&amp;ES*XJ:;*G5;L?[1Z6^KTO?73ZG_ IIPPL^D_:D99:&gt;H?8]3T?ZQXW M5K[**Z;*;*V;_?M((G;RQSOSEKKBOJ3/[4ODR?LYDGDG&gt;V7+M5!FB(SH;,V*</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M1E&amp;RI)))1LC_ /_6]5225'(P+KLDW"]U;2-H:TO'9PG2P-W[C^;_ .?/TJ2F MXYC7%KB-6'[TR]^YW\Y^D_P# OYM1/"(D1L2/)!B#N ?-SST3H(_[0-_SW?WJ)Z/T M$?\</w:t>
      </w:r>
    </w:p>
    <w:p>
      <w:pPr>
        <w:spacing w:after="0" w:line="231" w:lineRule="auto"/>
        <w:rPr>
          <w:sz w:val="20"/>
          <w:szCs w:val="20"/>
          <w:color w:val="auto"/>
        </w:rPr>
      </w:pPr>
      <w:r>
        <w:rPr>
          <w:rFonts w:ascii="Arial" w:cs="Arial" w:eastAsia="Arial" w:hAnsi="Arial"/>
          <w:sz w:val="17"/>
          <w:szCs w:val="17"/>
          <w:color w:val="auto"/>
        </w:rPr>
        <w:t>&gt;&gt;W_ #W?WJ\Y"/VJX(_NC[&amp;N&lt;'H(_[S6_\ ;CE$X?0NW3&amp;G_KCD5RK9-1M8&amp;M(: M0X.#C.D?N[2WW)</w:t>
      </w:r>
    </w:p>
    <w:p>
      <w:pPr>
        <w:spacing w:after="0" w:line="228" w:lineRule="auto"/>
        <w:rPr>
          <w:sz w:val="20"/>
          <w:szCs w:val="20"/>
          <w:color w:val="auto"/>
        </w:rPr>
      </w:pPr>
      <w:r>
        <w:rPr>
          <w:rFonts w:ascii="Arial" w:cs="Arial" w:eastAsia="Arial" w:hAnsi="Arial"/>
          <w:sz w:val="17"/>
          <w:szCs w:val="17"/>
          <w:color w:val="auto"/>
        </w:rPr>
        <w:t>&lt;&lt;_P!X_:K@A^Z/L9'&amp;Z&amp;/^\MNG_".6CA]!^K^5C,O&amp;$UF^ M9:7.,$$M=^=_)6&amp;S&amp;?6* 7 ^@7&amp;=9(=N]O[OYRZGHO\ R;5\7_\ 5O2XY_O'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M[5&lt;$/W1]C+"Z1TWI[W/P\=M3WB'.$DD#\W&lt;[=[5&lt;22322=2;2 !H!2DDDD$O M_]?U5))4QWZ9UQ!VF=S37Z3O;_-LGV;4)Q"2EW7M_T+/]?DAN MR6?Z"O\</w:t>
      </w:r>
    </w:p>
    <w:p>
      <w:pPr>
        <w:spacing w:after="0" w:line="231" w:lineRule="auto"/>
        <w:rPr>
          <w:sz w:val="20"/>
          <w:szCs w:val="20"/>
          <w:color w:val="auto"/>
        </w:rPr>
      </w:pPr>
      <w:r>
        <w:rPr>
          <w:rFonts w:ascii="Arial" w:cs="Arial" w:eastAsia="Arial" w:hAnsi="Arial"/>
          <w:sz w:val="17"/>
          <w:szCs w:val="17"/>
          <w:color w:val="auto"/>
        </w:rPr>
        <w:t>U^2BXCQ0G$&gt;**F;LQ@_[35?Z_P!E#=G5C_M+5]W_ )BA.(\0@OH5_P#&lt;.D_+_P P0G=2J'_:*CRX_P#(*GDUMM:T;FC:]KY(W?1U]NK5</w:t>
      </w:r>
    </w:p>
    <w:p>
      <w:pPr>
        <w:spacing w:after="0"/>
        <w:rPr>
          <w:sz w:val="20"/>
          <w:szCs w:val="20"/>
          <w:color w:val="auto"/>
        </w:rPr>
      </w:pPr>
      <w:r>
        <w:rPr>
          <w:rFonts w:ascii="Arial" w:cs="Arial" w:eastAsia="Arial" w:hAnsi="Arial"/>
          <w:sz w:val="16"/>
          <w:szCs w:val="16"/>
          <w:color w:val="auto"/>
        </w:rPr>
        <w:t>M6;0VLUG&gt;V*@\0!&amp;CR7;![W;6;C_T$E/4X5.#EXM=YQ:F%X,MVM,$$M.NW^2K MK&amp;,8T,8T-:W0- @ ?!4^B_\ )E/GN_ZIRO(*4DDDDI22222G_]#U5))))2DV</w:t>
      </w:r>
    </w:p>
    <w:p>
      <w:pPr>
        <w:spacing w:after="0" w:line="231" w:lineRule="auto"/>
        <w:rPr>
          <w:sz w:val="20"/>
          <w:szCs w:val="20"/>
          <w:color w:val="auto"/>
        </w:rPr>
      </w:pPr>
      <w:r>
        <w:rPr>
          <w:rFonts w:ascii="Arial" w:cs="Arial" w:eastAsia="Arial" w:hAnsi="Arial"/>
          <w:sz w:val="17"/>
          <w:szCs w:val="17"/>
          <w:color w:val="auto"/>
        </w:rPr>
        <w:t>MUIY ^Y.DDICZ;/W1]R;TJ_W&amp;_&lt;%-))3#T:OW&amp;_&lt;$O1I_T;?N"FDDI'Z%'^C9 M_FA+[-C_ .B9_FA$224L (&amp;@' 3I))*4DDDDI22222G_]G_[1A&lt;4&amp;AO=&amp;]S</w:t>
      </w:r>
    </w:p>
    <w:p>
      <w:pPr>
        <w:spacing w:after="0"/>
        <w:rPr>
          <w:sz w:val="20"/>
          <w:szCs w:val="20"/>
          <w:color w:val="auto"/>
        </w:rPr>
      </w:pPr>
      <w:r>
        <w:rPr>
          <w:rFonts w:ascii="Arial" w:cs="Arial" w:eastAsia="Arial" w:hAnsi="Arial"/>
          <w:sz w:val="16"/>
          <w:szCs w:val="16"/>
          <w:color w:val="auto"/>
        </w:rPr>
        <w:t>M:&amp;]P(#,N, X0DE-! 0 "H&lt; 5H QLE1QP" " &lt; @4 %DUA;G!O M=V5R(#(P,3=&amp;3B!''1E96Y":71B;V]L MP.$))3009 $ 'CA"24T#\P M"0 0 X0DE-)Q H 0 !.$))30/U !( M</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"]F9@ ! &amp;QF9@ &amp; ! "]F9@ ! *&amp;9F@ &amp; ! #( ! %H M &amp; ! #4 ! "T &amp; !.$))30/X !P #_____ M________________________ ^@ ____________________________ M_P/H</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/____________________________\#Z #_____________ M________________ ^@ #A"24T$" $ $ ) "0 X M0DE-!!X 0 .$))300: -5 !@ #+ M G0 0 %( :0!G &amp;@ = @ $T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80!N &amp;$ 9P!E &amp;T 90!N '0 ! M $ G0 ,L M $ $ $ !N=6QL @ M 9B;W5N9'-/8FIC 0 %)C=#$ $ %1O&lt;"!L;VYG M !,969T;&amp;]N9P 0G1O;6QO;F&lt; ,L %)G:'1L;VYG M "=</w:t>
      </w:r>
    </w:p>
    <w:p>
      <w:pPr>
        <w:spacing w:after="0" w:line="231" w:lineRule="auto"/>
        <w:rPr>
          <w:sz w:val="20"/>
          <w:szCs w:val="20"/>
          <w:color w:val="auto"/>
        </w:rPr>
      </w:pPr>
      <w:r>
        <w:rPr>
          <w:rFonts w:ascii="Arial" w:cs="Arial" w:eastAsia="Arial" w:hAnsi="Arial"/>
          <w:sz w:val="17"/>
          <w:szCs w:val="17"/>
          <w:color w:val="auto"/>
        </w:rPr>
        <w:t>9S;&amp;EC97-6;$QS 4]B:F, ! %7!E96YU;0 I%4VQI8V54&gt;7!E $EM9R &amp;8F]U;F1S3V)J8P M $ !28W0Q ! !4;W @;&amp;]N9P 3&amp;5F=&amp;QO;F&lt; M $)T;VUL;VYG #+</w:t>
      </w:r>
    </w:p>
    <w:p>
      <w:pPr>
        <w:spacing w:after="0"/>
        <w:rPr>
          <w:sz w:val="20"/>
          <w:szCs w:val="20"/>
          <w:color w:val="auto"/>
        </w:rPr>
      </w:pPr>
      <w:r>
        <w:rPr>
          <w:rFonts w:ascii="Arial" w:cs="Arial" w:eastAsia="Arial" w:hAnsi="Arial"/>
          <w:sz w:val="14"/>
          <w:szCs w:val="14"/>
          <w:color w:val="auto"/>
        </w:rPr>
        <w:t>!29VAT;&amp;]N9P G0 #=7)L5$58 M5 $ !N=6QL5$585 $ !-'1415A4 0 "6AOD%L:6=N !V1E9F%U;'0 )=F5R=$%L:6=N96YU;0 ]%4VQI M8V5697)T06QI9VX '9&amp;5F875L=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MB9T-O;&amp;]R5'EP965N=6T 1 M15-L:6-E0D=#;VQO7U5F9VAI:FML;6YO8W1U=G M=X&gt;7I[?'U^?W$0 " @$"! 0#! 4&amp;!P&lt;&amp;!34! (1 R$Q$@1!46%Q(A,%,H&amp;1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M%*&amp;Q0B/!4M'P,R1BX7*"DD-3%6-S-/$E!A:BLH,')C7"TD235*,79$55-G1E MXO*SA,/3=&gt;/S1I2DA;25Q-3D]*6UQ=7E]59F=H:6IK;&amp;UN;V)S='5V=WAY&gt;G MM\?</w:t>
      </w:r>
    </w:p>
    <w:p>
      <w:pPr>
        <w:spacing w:after="0" w:line="231" w:lineRule="auto"/>
        <w:rPr>
          <w:sz w:val="20"/>
          <w:szCs w:val="20"/>
          <w:color w:val="auto"/>
        </w:rPr>
      </w:pPr>
      <w:r>
        <w:rPr>
          <w:rFonts w:ascii="Arial" w:cs="Arial" w:eastAsia="Arial" w:hAnsi="Arial"/>
          <w:sz w:val="17"/>
          <w:szCs w:val="17"/>
          <w:color w:val="auto"/>
        </w:rPr>
        <w:t>_V@ , P$ A$#$0 _ /54DDDE*2268SK!$^K7XEH;H8'N_P (6_F?1?\ MX9$1)V02!NZ:2S?VK:ZJTLI'JUTFUK2\0YT ULT!=L?O9[TJNLL?^9N#WN;3</w:t>
      </w:r>
    </w:p>
    <w:p>
      <w:pPr>
        <w:spacing w:after="0"/>
        <w:rPr>
          <w:sz w:val="20"/>
          <w:szCs w:val="20"/>
          <w:color w:val="auto"/>
        </w:rPr>
      </w:pPr>
      <w:r>
        <w:rPr>
          <w:rFonts w:ascii="Arial" w:cs="Arial" w:eastAsia="Arial" w:hAnsi="Arial"/>
          <w:sz w:val="16"/>
          <w:szCs w:val="16"/>
          <w:color w:val="auto"/>
        </w:rPr>
        <w:t>MLYME9.KBW9V:TN;N._;NX^G^?[_ /1)&lt;$NR.(.DDJ ZO2XC;6\M M.V'&gt;T"'#U-VKOW'-47=:QP'%K'N#&amp;ASG#; D!_TMWYK?I)&lt;$NR&gt;(=W123+L?U6;ZQ77M+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1[VNLEWJ^B_^&lt;]OI_\ MGJO3LM%98")WN+?A#76?]\7+?\^]VK&lt; [3JV;0#'\H"IW_5)\(3E\HV6RG&amp;/ MS'=W+LK,YKQ-2UL.F2"X,[^K"L!C0 . N5_P"?3O\ N!_X-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_ZA2_Y]._[@?^#? M^H4O9R]OQ"O&gt;Q]_P+U0K8 &amp;@ 1 C01Q_P!2EL9(.T2.-./]=RY7_GT[_N!_ MX-_ZA4F?7&gt;ZQX97TYUCW:-8RTN.[_JES0^N66X,IX#,P5FK&gt;7-</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+"9@ ML&lt;:W&gt;X?2^BKJC(()!Z+P00".JDDDD$O_T?553OP'79!M]4L!;M#6[AV&lt;)W!_ MTO=^[_-[V?X17$D02-D$ [N&gt;[$MI?C_K#RT7OL&lt;('N#JK?T;W.W.]KO?[%YQ</w:t>
      </w:r>
    </w:p>
    <w:p>
      <w:pPr>
        <w:spacing w:after="0" w:line="231" w:lineRule="auto"/>
        <w:rPr>
          <w:sz w:val="20"/>
          <w:szCs w:val="20"/>
          <w:color w:val="auto"/>
        </w:rPr>
      </w:pPr>
      <w:r>
        <w:rPr>
          <w:rFonts w:ascii="Arial" w:cs="Arial" w:eastAsia="Arial" w:hAnsi="Arial"/>
          <w:sz w:val="17"/>
          <w:szCs w:val="17"/>
          <w:color w:val="auto"/>
        </w:rPr>
        <w:t>M5_-,_JC\B]5=C?]MM_P#(*7[S'L5GW&gt;7&lt; M/#)+MSA])'_&gt;;C?]MM_\@HG&amp;Z4/^\W%_S&amp;_^02^\Q[%'W&gt;7_\ 2XWZ/?5O_/\ 4J_2 M5+H2.EC_</w:t>
      </w:r>
    </w:p>
    <w:p>
      <w:pPr>
        <w:spacing w:after="0"/>
        <w:rPr>
          <w:sz w:val="20"/>
          <w:szCs w:val="20"/>
          <w:color w:val="auto"/>
        </w:rPr>
      </w:pPr>
      <w:r>
        <w:rPr>
          <w:rFonts w:ascii="Arial" w:cs="Arial" w:eastAsia="Arial" w:hAnsi="Arial"/>
          <w:sz w:val="16"/>
          <w:szCs w:val="16"/>
          <w:color w:val="auto"/>
        </w:rPr>
        <w:t>+R\7_,;_P"042&gt;F=NEXA_LM_P#((#- ?HE)Q3/Z0;WU/(/0JO\ MC+O_ #X];2Q&gt;G=4:+:&lt;-F-73226M;48#3J[1FUK?I+:4$S</w:t>
      </w:r>
      <w:r>
        <w:rPr>
          <w:rFonts w:ascii="Arial" w:cs="Arial" w:eastAsia="Arial" w:hAnsi="Arial"/>
          <w:sz w:val="16"/>
          <w:szCs w:val="16"/>
          <w:b w:val="1"/>
          <w:bCs w:val="1"/>
          <w:color w:val="auto"/>
        </w:rPr>
        <w:t>YMGB*B!V%*2 M2234O__2]55'(Z8,C)-[K-</w:t>
      </w:r>
    </w:p>
    <w:p>
      <w:pPr>
        <w:spacing w:after="0" w:line="231" w:lineRule="auto"/>
        <w:rPr>
          <w:sz w:val="20"/>
          <w:szCs w:val="20"/>
          <w:color w:val="auto"/>
        </w:rPr>
      </w:pPr>
      <w:r>
        <w:rPr>
          <w:rFonts w:ascii="Arial" w:cs="Arial" w:eastAsia="Arial" w:hAnsi="Arial"/>
          <w:sz w:val="17"/>
          <w:szCs w:val="17"/>
          <w:b w:val="1"/>
          <w:bCs w:val="1"/>
          <w:color w:val="auto"/>
        </w:rPr>
        <w:t>LC;#1!C:YNKMWTO?\ 3_T?J5?X57DTB8G7P24T MV8CZ'5-;&lt;[:;WO+0 0YCW;'[M[G&gt;_\ 2_2^G_P?Z-1*M6_SE/\ 7/\ U%B"</w:t>
      </w:r>
    </w:p>
    <w:p>
      <w:pPr>
        <w:spacing w:after="0" w:line="228" w:lineRule="auto"/>
        <w:rPr>
          <w:sz w:val="20"/>
          <w:szCs w:val="20"/>
          <w:color w:val="auto"/>
        </w:rPr>
      </w:pPr>
      <w:r>
        <w:rPr>
          <w:rFonts w:ascii="Arial" w:cs="Arial" w:eastAsia="Arial" w:hAnsi="Arial"/>
          <w:sz w:val="17"/>
          <w:szCs w:val="17"/>
          <w:b w:val="1"/>
          <w:bCs w:val="1"/>
          <w:color w:val="auto"/>
        </w:rPr>
        <w:t>MZ]W.UOS"2FNXA0&lt;1XJR*&amp;XCQ5LY;_P#1 MU_YO^U0.8_\ T57^;_M24TR1XH;B/$*\H6#_ T_YA_\ MDDISKP+*GUAS07" 2 X#SV.]KE6&amp;-6Q['L+</w:t>
      </w:r>
    </w:p>
    <w:p>
      <w:pPr>
        <w:spacing w:after="0" w:line="229" w:lineRule="auto"/>
        <w:rPr>
          <w:sz w:val="20"/>
          <w:szCs w:val="20"/>
          <w:color w:val="auto"/>
        </w:rPr>
      </w:pPr>
      <w:r>
        <w:rPr>
          <w:rFonts w:ascii="Arial" w:cs="Arial" w:eastAsia="Arial" w:hAnsi="Arial"/>
          <w:sz w:val="17"/>
          <w:szCs w:val="17"/>
          <w:b w:val="1"/>
          <w:bCs w:val="1"/>
          <w:color w:val="auto"/>
        </w:rPr>
        <w:t>:W!P]LZ-8*F5[MV[;IN6N&gt;HV M#_ T?YA_\DAOZJYI =5C-W&amp;&amp;RV)/E+TE-3HU3:(/^KEUJYL= M(6\DDIYUSF^(0W.;X</w:t>
      </w:r>
    </w:p>
    <w:p>
      <w:pPr>
        <w:spacing w:after="0" w:line="229" w:lineRule="auto"/>
        <w:rPr>
          <w:sz w:val="20"/>
          <w:szCs w:val="20"/>
          <w:color w:val="auto"/>
        </w:rPr>
      </w:pPr>
      <w:r>
        <w:rPr>
          <w:rFonts w:ascii="Arial" w:cs="Arial" w:eastAsia="Arial" w:hAnsi="Arial"/>
          <w:sz w:val="17"/>
          <w:szCs w:val="17"/>
          <w:b w:val="1"/>
          <w:bCs w:val="1"/>
          <w:color w:val="auto"/>
        </w:rPr>
        <w:t>MA=,DDIY5SF^(0,BNNX-:YT-!DMT(=IPZ?W?I_P!==BDE:GA?LM+&amp;/:RUP-C6 MM&gt;XD.)VEQ_.^CNWK&gt;^K&gt;K\@M'M#:V@CC3?</w:t>
      </w:r>
    </w:p>
    <w:p>
      <w:pPr>
        <w:spacing w:after="0"/>
        <w:rPr>
          <w:sz w:val="20"/>
          <w:szCs w:val="20"/>
          <w:color w:val="auto"/>
        </w:rPr>
      </w:pPr>
      <w:r>
        <w:rPr>
          <w:rFonts w:ascii="Arial" w:cs="Arial" w:eastAsia="Arial" w:hAnsi="Arial"/>
          <w:sz w:val="16"/>
          <w:szCs w:val="16"/>
          <w:b w:val="1"/>
          <w:bCs w:val="1"/>
          <w:color w:val="auto"/>
        </w:rPr>
        <w:t>[0MQ)&amp;U*22204__]3U5))))2EG MU]789WUDE\^ MPD%[FU%A#MX :6._-V&gt;K/Z-0MR7-UKPB26M =LGZ08=CFM;]%OMW&gt;[_!J+,@ M0S=@&gt;]@&amp;H9$?</w:t>
      </w:r>
    </w:p>
    <w:p>
      <w:pPr>
        <w:spacing w:after="0" w:line="231" w:lineRule="auto"/>
        <w:rPr>
          <w:sz w:val="20"/>
          <w:szCs w:val="20"/>
          <w:color w:val="auto"/>
        </w:rPr>
      </w:pPr>
      <w:r>
        <w:rPr>
          <w:rFonts w:ascii="Arial" w:cs="Arial" w:eastAsia="Arial" w:hAnsi="Arial"/>
          <w:sz w:val="17"/>
          <w:szCs w:val="17"/>
          <w:b w:val="1"/>
          <w:bCs w:val="1"/>
          <w:color w:val="auto"/>
        </w:rPr>
        <w:t>1'MEOG[?^+M1N/9%2[ICU?% )A\-:'N," P_2LY_P;O99_A$ MCU;' ES+&amp;M )S= M_P"![U =6K:7^JPL8V3O'NA@&lt;^KU+![=GOJ^@WU%;&amp;/C@</w:t>
      </w:r>
    </w:p>
    <w:p>
      <w:pPr>
        <w:spacing w:after="0"/>
        <w:rPr>
          <w:sz w:val="20"/>
          <w:szCs w:val="20"/>
          <w:color w:val="auto"/>
        </w:rPr>
      </w:pPr>
      <w:r>
        <w:rPr>
          <w:rFonts w:ascii="Arial" w:cs="Arial" w:eastAsia="Arial" w:hAnsi="Arial"/>
          <w:sz w:val="16"/>
          <w:szCs w:val="16"/>
          <w:b w:val="1"/>
          <w:bCs w:val="1"/>
          <w:color w:val="auto"/>
        </w:rPr>
        <w:t>"I@#8+0&amp;C2-NV/ M\QBB&lt;3&amp;-@L])N]KB\&amp;/SB-IL/_";?STKCV54N[7/5:0V179/$$ &gt;Z)V:N\V&gt; M_P#F_P!(Q+]JU1K6_=K[0 =6ZOK^D/&gt;QGO\ W%9^S8T-</w:t>
      </w:r>
    </w:p>
    <w:p>
      <w:pPr>
        <w:spacing w:after="0" w:line="231" w:lineRule="auto"/>
        <w:rPr>
          <w:sz w:val="20"/>
          <w:szCs w:val="20"/>
          <w:color w:val="auto"/>
        </w:rPr>
      </w:pPr>
      <w:r>
        <w:rPr>
          <w:rFonts w:ascii="Arial" w:cs="Arial" w:eastAsia="Arial" w:hAnsi="Arial"/>
          <w:sz w:val="17"/>
          <w:szCs w:val="17"/>
          <w:b w:val="1"/>
          <w:bCs w:val="1"/>
          <w:color w:val="auto"/>
        </w:rPr>
        <w:t>'I,ANK1M&amp;A_D_W^JE&lt;&gt;Q5ZNZ%_4F,L&amp;,U^EN9ZOMV-LL_D^ZO\ Z"M^A27%YK;O( +H$P-6B4FT M4MU;6UL1$</w:t>
      </w:r>
    </w:p>
    <w:p>
      <w:pPr>
        <w:spacing w:after="0" w:line="228" w:lineRule="auto"/>
        <w:rPr>
          <w:sz w:val="20"/>
          <w:szCs w:val="20"/>
          <w:color w:val="auto"/>
        </w:rPr>
      </w:pPr>
      <w:r>
        <w:rPr>
          <w:rFonts w:ascii="Arial" w:cs="Arial" w:eastAsia="Arial" w:hAnsi="Arial"/>
          <w:sz w:val="17"/>
          <w:szCs w:val="17"/>
          <w:b w:val="1"/>
          <w:bCs w:val="1"/>
          <w:color w:val="auto"/>
        </w:rPr>
        <w:t>#@;6_YJ5Q[*J7=K6=38T&gt;VIQ=NV&gt;Z /I^F_P!TN^BW](I?;Q]A M^V&gt;FZ-T;)$QO]'=SM_X1'^ST;MWILW1$[1,3ZD?Y_O3^C3L]/8W9.[; B9W[ MMO\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7]R5Q[)H]W__U?54DE3OQ,FW(=8VXUUD0&amp;M[Z6W=_K_ #B('C2" MV7V-86 S[SM$&gt;37/_P"^+G/^?6$=6XEY:?HDE@D?#&gt;M9U&amp;76_&amp;WY&amp;]HO&gt;YX+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M9+FFJW;7NW?HMKO?[?\ BUYS5_-L_JC\BGPXXRN]:IARY)1JM+M[#_GSB?\ M&lt;2[[V?\ DTO^?.)_W$N^]G_DUR*2E]C'V_%C][)W_!Z[_GSB?]Q+OO9_Y-</w:t>
      </w:r>
    </w:p>
    <w:p>
      <w:pPr>
        <w:spacing w:after="0" w:line="231" w:lineRule="auto"/>
        <w:rPr>
          <w:sz w:val="20"/>
          <w:szCs w:val="20"/>
          <w:color w:val="auto"/>
        </w:rPr>
      </w:pPr>
      <w:r>
        <w:rPr>
          <w:rFonts w:ascii="Arial" w:cs="Arial" w:eastAsia="Arial" w:hAnsi="Arial"/>
          <w:sz w:val="17"/>
          <w:szCs w:val="17"/>
          <w:b w:val="1"/>
          <w:bCs w:val="1"/>
          <w:color w:val="auto"/>
        </w:rPr>
        <w:t>+_ M )\XG_&lt;2[[V?^37(I)&gt;QC[?BKWLG?\'KO^?.)_W$N^]G_DTO^?.)_P!Q+OO9 M_P"37(I)&gt;QC[?BKWLG?\'KO^?.)_W$N^]G_DTA]&gt;,4\8=Y^&amp;P_\ ?</w:t>
      </w:r>
    </w:p>
    <w:p>
      <w:pPr>
        <w:spacing w:after="0" w:line="228" w:lineRule="auto"/>
        <w:rPr>
          <w:sz w:val="20"/>
          <w:szCs w:val="20"/>
          <w:color w:val="auto"/>
        </w:rPr>
      </w:pPr>
      <w:r>
        <w:rPr>
          <w:rFonts w:ascii="Arial" w:cs="Arial" w:eastAsia="Arial" w:hAnsi="Arial"/>
          <w:sz w:val="17"/>
          <w:szCs w:val="17"/>
          <w:b w:val="1"/>
          <w:bCs w:val="1"/>
          <w:color w:val="auto"/>
        </w:rPr>
        <w:t>USF#E8M M%&amp;95D5/L.52:@YC@TQ_H3N:[8RUWT[6?N,5E_5:/VBSJ./ZM+VU!AH$!IEOJ]+WUT^I_P*:&lt;,+/I/VI&amp;66GJ'V/4]'^L&gt;-U:^RBNFRFRM</w:t>
      </w:r>
    </w:p>
    <w:p>
      <w:pPr>
        <w:spacing w:after="0" w:line="229" w:lineRule="auto"/>
        <w:rPr>
          <w:sz w:val="20"/>
          <w:szCs w:val="20"/>
          <w:color w:val="auto"/>
        </w:rPr>
      </w:pPr>
      <w:r>
        <w:rPr>
          <w:rFonts w:ascii="Arial" w:cs="Arial" w:eastAsia="Arial" w:hAnsi="Arial"/>
          <w:sz w:val="17"/>
          <w:szCs w:val="17"/>
          <w:b w:val="1"/>
          <w:bCs w:val="1"/>
          <w:color w:val="auto"/>
        </w:rPr>
        <w:t>MF_W[2")V\L&lt;[\Y:ZXKZDS^U+Y,G[.9)Y)WMER[509HB,Z&amp;S-BD91LJ2224;( M_P#_UO54DE1R,"Z[)-</w:t>
      </w:r>
    </w:p>
    <w:p>
      <w:pPr>
        <w:spacing w:after="0" w:line="229" w:lineRule="auto"/>
        <w:rPr>
          <w:sz w:val="20"/>
          <w:szCs w:val="20"/>
          <w:color w:val="auto"/>
        </w:rPr>
      </w:pPr>
      <w:r>
        <w:rPr>
          <w:rFonts w:ascii="Arial" w:cs="Arial" w:eastAsia="Arial" w:hAnsi="Arial"/>
          <w:sz w:val="17"/>
          <w:szCs w:val="17"/>
          <w:b w:val="1"/>
          <w:bCs w:val="1"/>
          <w:color w:val="auto"/>
        </w:rPr>
        <w:t>PO=6TC:&amp;M+QV&lt;)TL#=^X_F_P#GS]*DIN.8UQ:XC5AW M-^,%G_4N6*[H709)&amp; P29@.C]!'_ 'GM_P ] MW]ZO.0G)W'/]X_:C@C^Z/L:AZ7T$?]Y[?</w:t>
      </w:r>
    </w:p>
    <w:p>
      <w:pPr>
        <w:spacing w:after="0" w:line="228" w:lineRule="auto"/>
        <w:rPr>
          <w:sz w:val="20"/>
          <w:szCs w:val="20"/>
          <w:color w:val="auto"/>
        </w:rPr>
      </w:pPr>
      <w:r>
        <w:rPr>
          <w:rFonts w:ascii="Arial" w:cs="Arial" w:eastAsia="Arial" w:hAnsi="Arial"/>
          <w:sz w:val="17"/>
          <w:szCs w:val="17"/>
          <w:b w:val="1"/>
          <w:bCs w:val="1"/>
          <w:color w:val="auto"/>
        </w:rPr>
        <w:t>\]RB&gt;F]!'_&gt;/VJX(?NC[&amp;1QNAC_O+;I_PCEHX?0?J_E8S+QA-9OF6ESC!!+7?G M?R5ALQGUB@%P/H%QG62';O;^[^]S\/';4]XASA)) _-</w:t>
      </w:r>
    </w:p>
    <w:p>
      <w:pPr>
        <w:spacing w:after="0" w:line="229" w:lineRule="auto"/>
        <w:rPr>
          <w:sz w:val="20"/>
          <w:szCs w:val="20"/>
          <w:color w:val="auto"/>
        </w:rPr>
      </w:pPr>
      <w:r>
        <w:rPr>
          <w:rFonts w:ascii="Arial" w:cs="Arial" w:eastAsia="Arial" w:hAnsi="Arial"/>
          <w:sz w:val="17"/>
          <w:szCs w:val="17"/>
          <w:b w:val="1"/>
          <w:bCs w:val="1"/>
          <w:color w:val="auto"/>
        </w:rPr>
        <w:t>W.W&gt;U7$DDTDG4FT@ : 4I)))!+__7]5225')Z M9]HR#&lt;;-LMVPT$&amp;-KFZN#_I&gt;_P"G_H_4J_PJ2FS;_.4_US_U%B"ZYO/IM/Q2 MJP75O#O7L=^F=</w:t>
      </w:r>
    </w:p>
    <w:p>
      <w:pPr>
        <w:spacing w:after="0" w:line="229" w:lineRule="auto"/>
        <w:rPr>
          <w:sz w:val="20"/>
          <w:szCs w:val="20"/>
          <w:color w:val="auto"/>
        </w:rPr>
      </w:pPr>
      <w:r>
        <w:rPr>
          <w:rFonts w:ascii="Arial" w:cs="Arial" w:eastAsia="Arial" w:hAnsi="Arial"/>
          <w:sz w:val="17"/>
          <w:szCs w:val="17"/>
          <w:b w:val="1"/>
          <w:bCs w:val="1"/>
          <w:color w:val="auto"/>
        </w:rPr>
        <w:t>&lt;0=IG]VUFX_]!)3U.%3@Y&gt;+7&gt;&lt;6IA&gt;#+=K3!!+3KM_DJZQC&amp;-#&amp;-#6M MT#0( 'P5/HO_ "93Y[O^J0/N3I)*8 M^FS]T?</w:t>
      </w:r>
    </w:p>
    <w:p>
      <w:pPr>
        <w:spacing w:after="0" w:line="228" w:lineRule="auto"/>
        <w:rPr>
          <w:sz w:val="20"/>
          <w:szCs w:val="20"/>
          <w:color w:val="auto"/>
        </w:rPr>
      </w:pPr>
      <w:r>
        <w:rPr>
          <w:rFonts w:ascii="Arial" w:cs="Arial" w:eastAsia="Arial" w:hAnsi="Arial"/>
          <w:sz w:val="17"/>
          <w:szCs w:val="17"/>
          <w:b w:val="1"/>
          <w:bCs w:val="1"/>
          <w:color w:val="auto"/>
        </w:rPr>
        <w:t>FMC.60B/SX@/'@Z&gt;&amp;UP;65T82!X;6QN#IX;7!T:STB061O8F4@6$U0($-O&amp;UL;G,Z&gt;&amp;UP M34T](FAT=' Z+R]N&amp;%P+S$N,"]M;2\B('AM;&amp;YS.G-T</w:t>
      </w:r>
    </w:p>
    <w:p>
      <w:pPr>
        <w:spacing w:after="0" w:line="229" w:lineRule="auto"/>
        <w:rPr>
          <w:sz w:val="20"/>
          <w:szCs w:val="20"/>
          <w:color w:val="auto"/>
        </w:rPr>
      </w:pPr>
      <w:r>
        <w:rPr>
          <w:rFonts w:ascii="Arial" w:cs="Arial" w:eastAsia="Arial" w:hAnsi="Arial"/>
          <w:sz w:val="17"/>
          <w:szCs w:val="17"/>
          <w:b w:val="1"/>
          <w:bCs w:val="1"/>
          <w:color w:val="auto"/>
        </w:rPr>
        <w:t>M4F5F/2)H='1P.B\O;G,N861O8F4N8V]M+WAA&lt;"\Q+C O7!E+U)E&amp;UP.D-R96%T941A=&amp;4](C(P,3&amp;UP34TZ26YS=&amp;%N8V5)1#TB</w:t>
      </w:r>
    </w:p>
    <w:p>
      <w:pPr>
        <w:spacing w:after="0" w:line="229" w:lineRule="auto"/>
        <w:rPr>
          <w:sz w:val="20"/>
          <w:szCs w:val="20"/>
          <w:color w:val="auto"/>
        </w:rPr>
      </w:pPr>
      <w:r>
        <w:rPr>
          <w:rFonts w:ascii="Arial" w:cs="Arial" w:eastAsia="Arial" w:hAnsi="Arial"/>
          <w:sz w:val="17"/>
          <w:szCs w:val="17"/>
          <w:b w:val="1"/>
          <w:bCs w:val="1"/>
          <w:color w:val="auto"/>
        </w:rPr>
        <w:t>M&gt;&amp;UP+FEI9#HX,3DV,V%A.2UF8C(T+30X-&amp;4M.#(T,2UC.#%D,65A.#,V-SDB M('AM&lt;$U-.D1O8W5M96YT240](GAM&lt;"YD:60Z-</w:t>
      </w:r>
    </w:p>
    <w:p>
      <w:pPr>
        <w:spacing w:after="0" w:line="228" w:lineRule="auto"/>
        <w:rPr>
          <w:sz w:val="20"/>
          <w:szCs w:val="20"/>
          <w:color w:val="auto"/>
        </w:rPr>
      </w:pPr>
      <w:r>
        <w:rPr>
          <w:rFonts w:ascii="Arial" w:cs="Arial" w:eastAsia="Arial" w:hAnsi="Arial"/>
          <w:sz w:val="17"/>
          <w:szCs w:val="17"/>
          <w:b w:val="1"/>
          <w:bCs w:val="1"/>
          <w:color w:val="auto"/>
        </w:rPr>
        <w:t>#AC,V)B,S$M,V8W,2TT,#@Q M+3DY,F,M-&amp;(Y8C,V9F8S,#0R(B!X;7!-33I/2 Q-2XP,"(@&lt;&amp;AO=&amp;]S:&amp;]P.D-O;&amp;]R36]D93TB,R(^(#QD8SIT:71L</w:t>
      </w:r>
    </w:p>
    <w:p>
      <w:pPr>
        <w:spacing w:after="0" w:line="229" w:lineRule="auto"/>
        <w:rPr>
          <w:sz w:val="20"/>
          <w:szCs w:val="20"/>
          <w:color w:val="auto"/>
        </w:rPr>
      </w:pPr>
      <w:r>
        <w:rPr>
          <w:rFonts w:ascii="Arial" w:cs="Arial" w:eastAsia="Arial" w:hAnsi="Arial"/>
          <w:sz w:val="17"/>
          <w:szCs w:val="17"/>
          <w:b w:val="1"/>
          <w:bCs w:val="1"/>
          <w:color w:val="auto"/>
        </w:rPr>
        <w:t>M93X@/')D9CI!;'0^(#QR9&amp;8Z;&amp;D@&gt;&amp;UL.FQA;F&lt;](G@M9&amp;5F875L="(^36%N M&lt;&amp;]W97(@,C Q-T9.($=R87!H&amp;UP+F1I9#HR8CED9C-</w:t>
      </w:r>
    </w:p>
    <w:p>
      <w:pPr>
        <w:spacing w:after="0"/>
        <w:rPr>
          <w:sz w:val="20"/>
          <w:szCs w:val="20"/>
          <w:color w:val="auto"/>
        </w:rPr>
      </w:pPr>
      <w:r>
        <w:rPr>
          <w:rFonts w:ascii="Arial" w:cs="Arial" w:eastAsia="Arial" w:hAnsi="Arial"/>
          <w:sz w:val="16"/>
          <w:szCs w:val="16"/>
          <w:b w:val="1"/>
          <w:bCs w:val="1"/>
          <w:color w:val="auto"/>
        </w:rPr>
        <w:t>B,2TU861C+30U.#&amp;UP34TZ2&amp;ES=&amp;]R&gt;3X@/')D M9CI397$^(#QR9&amp;8Z;&amp;D@&amp;UP+FEI9#HR8CED9C-B,2TU861C+30U.##IX;7!M M971A/B @(" @("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 @(" @(" @(" @(" @(" @(" @(" @(" @ M(" @(" @(" @(" @(" @(" @(" @(" @(" @(" @(" @(" @(" @(" @(" @ M(" @(" @(" @(" @(" @("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 @(" @(" @(" @(" @(" @(" @ M(" @(" @(" @(" @(" @(" @(" @(" @(" @(" @(" @(" @(" @(" @(" @ M(" @(" @(" @(" @(" @(" @(" @("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 @(" @(" @(" @(" @ M(" @(" @(" @(" @(" @(" @(" @(" @(" @(" @(" @(" @(" @(" @(" @ M(" @(" @(" @(" @(" @(" @(" @(" @(" @("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 @(" @(" @ M(" @(" @(" @(" @(" @(" @(" @(" @(" @(" @(" @(" @(" @(" @(" @ M(" @(" @(" @(" @(" @(" @(" @(" @(" @(" @(" @("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 @ M(" @(" @(" @(" @(" @(" @(" @(" @(" @(" @(" @(" @(" @(" @(" @ M(" @(" @(" @(" @(" @(" @(" @(" @(" @(" @(" @(" @(" @(" @("</w:t>
      </w:r>
    </w:p>
    <w:p>
      <w:pPr>
        <w:spacing w:after="0" w:line="2" w:lineRule="exact"/>
        <w:rPr>
          <w:sz w:val="20"/>
          <w:szCs w:val="20"/>
          <w:color w:val="auto"/>
        </w:rPr>
      </w:pPr>
    </w:p>
    <w:p>
      <w:pPr>
        <w:ind w:right="140" w:firstLine="3"/>
        <w:spacing w:after="0" w:line="245" w:lineRule="auto"/>
        <w:tabs>
          <w:tab w:leader="none" w:pos="195"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M(" @(" @(" @(" @(" @(" @(" @(" @(" @(" @(" @(" @(" @(" @(" @ M(" @(" @(" @(" @(" @(" @(" @(" @(" @(" @(" @(" @(" @(" @(" @ M(" @(" @(" @(" @(" @(" @(" @(" @(" @(" @(" @(" @(" @(" @(" @ M(" @(" @(" @(" @(" @(" @(" @(" @(" @(" @(" @(" @(" @(" @(" @ M(" @(" @(" @(" @(" @(" @(" @(" @(" @(" @(" @(" @(" @(" @(" @ M(" @(" @(" @(" @(" @(" @(" @(" @(" @(" @(" @(" @(" @(" @(" @ M(" @(" @(" @(" @(" @(" @(" @(" @(" @(" @(" @(" @(" @(" @(" @ M(" @(" @(" @(" @(" @(" @(" @(" @(" @(" @(" @(" @(" @(" @(" @ M(" @(" @(" @(" @(" @(" @(" @(" @(" @(" @(" @(" @(" @(" @(" @ M(" @(" @(" @(" @(" @(" @(" @(" @(" @(" @(" @(" @(" @(" @(" @ M(" @(" @(" @(" @(" @(" @(" @(" @(" @(" @(" @(" @(" @(" @(" @ M(" @(" @(" @(" @(" @(" @(" @(" @(" @(" @(" @(" @(" @(" @(" @ M(" @(" @(" @(" @(" @(" @(" @(" @(" @(" @(" @(" @(" @(" @(" @ M(" @(" @(" @(" @(" @(" @(" @(" @(" @(" @(" @(" @(" @(" @(" @ M(" @(" @(" @(" @(" @(" @(" @(" @(" @(" @(" @(" @(" @(" @(" @ M(" @(" @(" @(" @(" @(" @(" @(" @(" @(" @(" @(" @(" @(" @(" @ M(" @(" @(" @(" @(" @(" @(" @(" @(" @(" @(" @(" @(" @(" @("</w:t>
      </w:r>
    </w:p>
    <w:p>
      <w:pPr>
        <w:sectPr>
          <w:pgSz w:w="11900" w:h="16923" w:orient="portrait"/>
          <w:cols w:equalWidth="0" w:num="1">
            <w:col w:w="11460"/>
          </w:cols>
          <w:pgMar w:left="220" w:top="124" w:right="219" w:bottom="0" w:gutter="0" w:footer="0" w:header="0"/>
        </w:sectPr>
      </w:pPr>
    </w:p>
    <w:bookmarkStart w:id="128" w:name="page129"/>
    <w:bookmarkEnd w:id="128"/>
    <w:p>
      <w:pPr>
        <w:spacing w:after="0" w:line="80" w:lineRule="exact"/>
        <w:rPr>
          <w:sz w:val="20"/>
          <w:szCs w:val="20"/>
          <w:color w:val="auto"/>
        </w:rPr>
      </w:pPr>
    </w:p>
    <w:p>
      <w:pPr>
        <w:ind w:right="120" w:firstLine="3"/>
        <w:spacing w:after="0" w:line="246" w:lineRule="auto"/>
        <w:tabs>
          <w:tab w:leader="none" w:pos="19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M(" @(" @(" @(" @(" @(" @(" @(" @(" @(" @(" @(" @(" @(" @(" @ M(" @(" @(" @(" @(" @(" @(" @(" @(" @(" @(" @(" @(" @(" @(" @ M(" @(" @(" @(" @(" @(" @(" @(" @(" @(" @(" @(" @(" @(" @(" @ M(" @(" @(" @(" @(" @(" @(" @(" @(" @(" @(" @(" @(" @(" @(" @ M(" @(" @(" @(" @(" @(" @(" @(" @(" @(" @(" @(" @(" @(" @(" @ M(" @(" @(" @(" @(" @(" @(" @(" @(" @(" @(" @(" @(" @(" @(" @ M(" @(" @(" @(" @(" @(" @(" @(" @(" @(" @(" @(" @(" @(" @(" @ M(" @(" @(" @(" @(" @(" @(" @(" @(" @(" @(" @(" @(" @(" @(" @ M(" @(" @(" @(" @(" @(" @(" @(" @(" @(" @(" @(" @(" @(" @(" @ M(" @(" @(" @(" @(" @(" @(" @(" @(" @(" @(" @(" @(" @(" @(" @ M(" @(" @(" @(" @(" @(" @(" @(" @(" @(" @(" @(" @(" @(" @(" @ M(" @(" @(" @(" @(" @(" @(" @(" @(" @(" @(" @(" @(" @(" @(" @ M(" @(" @(" @(" @(" @(" @(" @(" @(" @(" @(" @(" @(" @(" @(" @ M(" @(" @(" @(" @(" @(" @(" @(" @(" @(" @(" @(" @(" @(" @(" @ M(" @(" @(" @(" @(" @(" @(" @(" @(" @(" @(" @(" @(" @(" @(" @ M(" @(" @(" @(" @(" @(" @(" @(" @(" @(" @(" @(" @(" @(" @(" @ M(" @(" @(" @(" @(" @(" @(" @(" @(" @(" @(" @(" @(" @(" @("</w:t>
      </w:r>
    </w:p>
    <w:p>
      <w:pPr>
        <w:ind w:left="200" w:hanging="197"/>
        <w:spacing w:after="0" w:line="228" w:lineRule="auto"/>
        <w:tabs>
          <w:tab w:leader="none" w:pos="20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M(" @(" @(" @(" @(" @(" @(" @(" @(" @(#P_&gt;'!A8VME="!E;F0](G"(V-$="4U5296-U=W.!GQTC-SL],D M-%1DM$5E=96E-</w:t>
      </w:r>
    </w:p>
    <w:p>
      <w:pPr>
        <w:spacing w:after="0" w:line="229" w:lineRule="auto"/>
        <w:rPr>
          <w:sz w:val="20"/>
          <w:szCs w:val="20"/>
          <w:color w:val="auto"/>
        </w:rPr>
      </w:pPr>
      <w:r>
        <w:rPr>
          <w:rFonts w:ascii="Arial" w:cs="Arial" w:eastAsia="Arial" w:hAnsi="Arial"/>
          <w:sz w:val="17"/>
          <w:szCs w:val="17"/>
          <w:b w:val="1"/>
          <w:bCs w:val="1"/>
          <w:color w:val="auto"/>
        </w:rPr>
        <w:t>D9VMCGA8L*$M6:FMW@*4D-3@Y.%1X7:+A)Q,7&amp; M)Z?7*$AY$0 " 0($ @0)!@P# P@)! , 0(1 Q($!08A,4%181-Q@=$B,I)5</w:t>
      </w:r>
    </w:p>
    <w:p>
      <w:pPr>
        <w:spacing w:after="0"/>
        <w:rPr>
          <w:sz w:val="20"/>
          <w:szCs w:val="20"/>
          <w:color w:val="auto"/>
        </w:rPr>
      </w:pPr>
      <w:r>
        <w:rPr>
          <w:rFonts w:ascii="Arial" w:cs="Arial" w:eastAsia="Arial" w:hAnsi="Arial"/>
          <w:sz w:val="16"/>
          <w:szCs w:val="16"/>
          <w:b w:val="1"/>
          <w:bCs w:val="1"/>
          <w:color w:val="auto"/>
        </w:rPr>
        <w:t>M%@&gt;1L5+2DQ3PH&lt;%"8K(CLQ4V5A=S=#5R,S?A@D-3@[1E=?&amp;B8R0T1"5%)Z/3 M5"9DA)3_V@ , P$ A$#$0 _ /?P M M /_]#W\ M M #__1 M]_ M 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__TO?P M M /_]/W\ M M #__4]_ M M M __U??P &amp; --?9["$5 ,PJ!KWC#Q $&gt;IZ M?5$@U, ::^SV$(J!K[7#KWM.]QAQY=(&amp;O-X1(&amp;OLU]L -?9P^X(J#3K:!7D*</w:t>
      </w:r>
    </w:p>
    <w:p>
      <w:pPr>
        <w:spacing w:after="0" w:line="231" w:lineRule="auto"/>
        <w:rPr>
          <w:sz w:val="20"/>
          <w:szCs w:val="20"/>
          <w:color w:val="auto"/>
        </w:rPr>
      </w:pPr>
      <w:r>
        <w:rPr>
          <w:rFonts w:ascii="Arial" w:cs="Arial" w:eastAsia="Arial" w:hAnsi="Arial"/>
          <w:sz w:val="17"/>
          <w:szCs w:val="17"/>
          <w:b w:val="1"/>
          <w:bCs w:val="1"/>
          <w:color w:val="auto"/>
        </w:rPr>
        <w:t>MKGT&amp;NOL+A!.H&amp;OL]G?"OR@U$@ TUU#YAXC4^ M ::]/+X.]WQ Z:#42#4 M ?_];W\ &gt;#F#!S?QN1R)M?Q-9EZ MXQA[.F[DNG+-NX^527O0S-?</w:t>
      </w:r>
    </w:p>
    <w:p>
      <w:pPr>
        <w:spacing w:after="0" w:line="228" w:lineRule="auto"/>
        <w:rPr>
          <w:sz w:val="20"/>
          <w:szCs w:val="20"/>
          <w:color w:val="auto"/>
        </w:rPr>
      </w:pPr>
      <w:r>
        <w:rPr>
          <w:rFonts w:ascii="Arial" w:cs="Arial" w:eastAsia="Arial" w:hAnsi="Arial"/>
          <w:sz w:val="17"/>
          <w:szCs w:val="17"/>
          <w:b w:val="1"/>
          <w:bCs w:val="1"/>
          <w:color w:val="auto"/>
        </w:rPr>
        <w:t>$)H9NV;REC?:;@Y^W:MJN376_3H2XI];26EN$ M:#,TJ3V&gt;Q=NZ?N75,WE-2O7H9&gt;WE)W:VW%2K&amp;=M4\Z,TU23Z$ZTXKDP3M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MKNN!M^G&gt;DYR)L&gt;NNYRY51-&amp;R[45M1',UN1'S?K?5]@ROATWN4T MCX89^_;R=G6]1M7YM*,KBMJ&amp;)O@FU:7RMQ7::7-:K\2,C8N9N_H^GW;,$Y2C</w:t>
      </w:r>
    </w:p>
    <w:p>
      <w:pPr>
        <w:spacing w:after="0" w:line="231" w:lineRule="auto"/>
        <w:rPr>
          <w:sz w:val="20"/>
          <w:szCs w:val="20"/>
          <w:color w:val="auto"/>
        </w:rPr>
      </w:pPr>
      <w:r>
        <w:rPr>
          <w:rFonts w:ascii="Arial" w:cs="Arial" w:eastAsia="Arial" w:hAnsi="Arial"/>
          <w:sz w:val="17"/>
          <w:szCs w:val="17"/>
          <w:b w:val="1"/>
          <w:bCs w:val="1"/>
          <w:color w:val="auto"/>
        </w:rPr>
        <w:t>M;=QSPI5;2=Q_(E)]A&gt;NW=UE^9WV?26=MLU@1\_EQNIC86FQI&lt;[IR$?2W)271 M;]#=T=555--VGY]2T=K23\C2/&gt;=TBEMFTI:.MUF#TU_:V1T/=MO1-</w:t>
      </w:r>
    </w:p>
    <w:p>
      <w:pPr>
        <w:spacing w:after="0" w:line="228" w:lineRule="auto"/>
        <w:rPr>
          <w:sz w:val="20"/>
          <w:szCs w:val="20"/>
          <w:color w:val="auto"/>
        </w:rPr>
      </w:pPr>
      <w:r>
        <w:rPr>
          <w:rFonts w:ascii="Arial" w:cs="Arial" w:eastAsia="Arial" w:hAnsi="Arial"/>
          <w:sz w:val="17"/>
          <w:szCs w:val="17"/>
          <w:b w:val="1"/>
          <w:bCs w:val="1"/>
          <w:color w:val="auto"/>
        </w:rPr>
        <w:t>QY^5O26 MI2[Z'!N#A-VVEAN4;FE"2PRHZI/E(W%CUG,U;REUSRD;LU"3YR@I-1D^"X MN-.A&gt;</w:t>
      </w:r>
    </w:p>
    <w:p>
      <w:pPr>
        <w:spacing w:after="0" w:line="229" w:lineRule="auto"/>
        <w:rPr>
          <w:sz w:val="20"/>
          <w:szCs w:val="20"/>
          <w:color w:val="auto"/>
        </w:rPr>
      </w:pPr>
      <w:r>
        <w:rPr>
          <w:rFonts w:ascii="Arial" w:cs="Arial" w:eastAsia="Arial" w:hAnsi="Arial"/>
          <w:sz w:val="17"/>
          <w:szCs w:val="17"/>
          <w:b w:val="1"/>
          <w:bCs w:val="1"/>
          <w:color w:val="auto"/>
        </w:rPr>
        <w:t>ZK*3OW,KEKF:MJ&amp;9E;BYQ7*,G%.27%\$Z]+\)R;77ZA]_37@/33AXA MYL7#ASH&gt;CPF%&amp;^KR+%WT,O7T#,+.6_=TK5U M5&amp;U#3L!4-RC51</w:t>
      </w:r>
    </w:p>
    <w:p>
      <w:pPr>
        <w:spacing w:after="0" w:line="229" w:lineRule="auto"/>
        <w:rPr>
          <w:sz w:val="20"/>
          <w:szCs w:val="20"/>
          <w:color w:val="auto"/>
        </w:rPr>
      </w:pPr>
      <w:r>
        <w:rPr>
          <w:rFonts w:ascii="Arial" w:cs="Arial" w:eastAsia="Arial" w:hAnsi="Arial"/>
          <w:sz w:val="17"/>
          <w:szCs w:val="17"/>
          <w:b w:val="1"/>
          <w:bCs w:val="1"/>
          <w:color w:val="auto"/>
        </w:rPr>
        <w:t>,DVMQUQDFU+)3:C-)I[/9&amp;W.O9S;VGY+-Y*U;G=NYN%N6-2:PRC-MK#*+3 MK%4K5=%#-;EU+0^#C[O*&gt;G&amp;.-7XJ_A^'XNDZ[I[:&amp;)&amp;\?T?:5)</w:t>
      </w:r>
    </w:p>
    <w:p>
      <w:pPr>
        <w:spacing w:after="0"/>
        <w:rPr>
          <w:sz w:val="20"/>
          <w:szCs w:val="20"/>
          <w:color w:val="auto"/>
        </w:rPr>
      </w:pPr>
      <w:r>
        <w:rPr>
          <w:rFonts w:ascii="Arial" w:cs="Arial" w:eastAsia="Arial" w:hAnsi="Arial"/>
          <w:sz w:val="16"/>
          <w:szCs w:val="16"/>
          <w:b w:val="1"/>
          <w:bCs w:val="1"/>
          <w:color w:val="auto"/>
        </w:rPr>
        <w:t>M&gt;+MV95MO'+L?62[T,W1,3T+&lt;\LJ5;J&amp;(^14^]3*MY*"9-"263IGURZNA]3M' M;&lt;-SZAG_P#5\0Y9UK3@=,8-;_=RF1-K&gt;(;0OC&amp;, M):,_WE97:VW%.L9VX\</w:t>
      </w:r>
    </w:p>
    <w:p>
      <w:pPr>
        <w:spacing w:after="0" w:line="231" w:lineRule="auto"/>
        <w:rPr>
          <w:sz w:val="20"/>
          <w:szCs w:val="20"/>
          <w:color w:val="auto"/>
        </w:rPr>
      </w:pPr>
      <w:r>
        <w:rPr>
          <w:rFonts w:ascii="Arial" w:cs="Arial" w:eastAsia="Arial" w:hAnsi="Arial"/>
          <w:sz w:val="17"/>
          <w:szCs w:val="17"/>
          <w:b w:val="1"/>
          <w:bCs w:val="1"/>
          <w:color w:val="auto"/>
        </w:rPr>
        <w:t>&lt;49IJDVWPK5+CT''[UU_/;&lt; MTS*YS3[5J&gt;8N9J-NDU)JDH3?##*+K6*7.E*\.DY;LDW$3.Y[ D1DFZ8V%A[S M8N"YK7N^*MZFKZ.</w:t>
      </w:r>
    </w:p>
    <w:p>
      <w:pPr>
        <w:spacing w:after="0" w:line="228" w:lineRule="auto"/>
        <w:rPr>
          <w:sz w:val="20"/>
          <w:szCs w:val="20"/>
          <w:color w:val="auto"/>
        </w:rPr>
      </w:pPr>
      <w:r>
        <w:rPr>
          <w:rFonts w:ascii="Arial" w:cs="Arial" w:eastAsia="Arial" w:hAnsi="Arial"/>
          <w:sz w:val="17"/>
          <w:szCs w:val="17"/>
          <w:b w:val="1"/>
          <w:bCs w:val="1"/>
          <w:color w:val="auto"/>
        </w:rPr>
        <w:t>(H)B%DEKIFJ.CEI&amp;7DZ0WK?K:%UQM^H&lt;43KBM-$FDB\N\ M]OV=M:[=TW*7)SR;MPG!S:TMC7#54&gt;MMMQIQY2W5JUZA%IVFR/AYI.X-%M</w:t>
      </w:r>
    </w:p>
    <w:p>
      <w:pPr>
        <w:spacing w:after="0" w:line="229" w:lineRule="auto"/>
        <w:rPr>
          <w:sz w:val="20"/>
          <w:szCs w:val="20"/>
          <w:color w:val="auto"/>
        </w:rPr>
      </w:pPr>
      <w:r>
        <w:rPr>
          <w:rFonts w:ascii="Arial" w:cs="Arial" w:eastAsia="Arial" w:hAnsi="Arial"/>
          <w:sz w:val="17"/>
          <w:szCs w:val="17"/>
          <w:b w:val="1"/>
          <w:bCs w:val="1"/>
          <w:color w:val="auto"/>
        </w:rPr>
        <w:t>MZEJN:S-NY6_-4T+5YZ?IN6R\[=NU" M4WS^*%5TN@XT[377B[^G+W0KQIT@TZW'P'P(&amp;NO=X/9_NB0-1'A'8-</w:t>
      </w:r>
    </w:p>
    <w:p>
      <w:pPr>
        <w:spacing w:after="0" w:line="229" w:lineRule="auto"/>
        <w:rPr>
          <w:sz w:val="20"/>
          <w:szCs w:val="20"/>
          <w:color w:val="auto"/>
        </w:rPr>
      </w:pPr>
      <w:r>
        <w:rPr>
          <w:rFonts w:ascii="Arial" w:cs="Arial" w:eastAsia="Arial" w:hAnsi="Arial"/>
          <w:sz w:val="17"/>
          <w:szCs w:val="17"/>
          <w:b w:val="1"/>
          <w:bCs w:val="1"/>
          <w:color w:val="auto"/>
        </w:rPr>
        <w:t>&gt;\%4#3K=X$TP.MWO9WN[QB0.M[/;$)UZ M"*FNHFO'F2::\?!Q&gt;+NB*\: :^P@?4.HQ(VW;F:_/&amp;0=RUDUEHTEM-8"RI(8</w:t>
      </w:r>
    </w:p>
    <w:p>
      <w:pPr>
        <w:spacing w:after="0" w:line="228" w:lineRule="auto"/>
        <w:rPr>
          <w:sz w:val="20"/>
          <w:szCs w:val="20"/>
          <w:color w:val="auto"/>
        </w:rPr>
      </w:pPr>
      <w:r>
        <w:rPr>
          <w:rFonts w:ascii="Arial" w:cs="Arial" w:eastAsia="Arial" w:hAnsi="Arial"/>
          <w:sz w:val="17"/>
          <w:szCs w:val="17"/>
          <w:b w:val="1"/>
          <w:bCs w:val="1"/>
          <w:color w:val="auto"/>
        </w:rPr>
        <w:t>MYI)"FEWI)RYF*&amp;:NN)*5J:=V@HTQCKJ;&lt;2YV25O$1NF77,DZGU&gt;X=N6]#T_;</w:t>
      </w:r>
    </w:p>
    <w:p>
      <w:pPr>
        <w:spacing w:after="0" w:line="229" w:lineRule="auto"/>
        <w:rPr>
          <w:sz w:val="20"/>
          <w:szCs w:val="20"/>
          <w:color w:val="auto"/>
        </w:rPr>
      </w:pPr>
      <w:r>
        <w:rPr>
          <w:rFonts w:ascii="Arial" w:cs="Arial" w:eastAsia="Arial" w:hAnsi="Arial"/>
          <w:sz w:val="17"/>
          <w:szCs w:val="17"/>
          <w:b w:val="1"/>
          <w:bCs w:val="1"/>
          <w:color w:val="auto"/>
        </w:rPr>
        <w:t>MF=AFI7/O^55YIQI@;C"5$ZO%Z=*T7+EQ.8T'&lt;$]9SNOY2&gt;55M9+,NTFI5QTE M..*C2I7!6E7SY\#+W4[^,NY9W#65@S'VVV4MS M!^6;HQ\NKO-</w:t>
      </w:r>
    </w:p>
    <w:p>
      <w:pPr>
        <w:spacing w:after="0" w:line="229" w:lineRule="auto"/>
        <w:rPr>
          <w:sz w:val="20"/>
          <w:szCs w:val="20"/>
          <w:color w:val="auto"/>
        </w:rPr>
      </w:pPr>
      <w:r>
        <w:rPr>
          <w:rFonts w:ascii="Arial" w:cs="Arial" w:eastAsia="Arial" w:hAnsi="Arial"/>
          <w:sz w:val="17"/>
          <w:szCs w:val="17"/>
          <w:b w:val="1"/>
          <w:bCs w:val="1"/>
          <w:color w:val="auto"/>
        </w:rPr>
        <w:t>J]XV7&gt;H8ZY;DB8)ZJCY+(2R^3S4[=;G&gt;*5%.48MTNT;:C5T25&gt;A'-&lt;9;T\^VCN!M+;QO"Q!:=AS&gt; M2#6QCZ]\=UU&lt;_:LO7K=&lt;9CZ4V*^Z</w:t>
      </w:r>
    </w:p>
    <w:p>
      <w:pPr>
        <w:spacing w:after="0" w:line="228" w:lineRule="auto"/>
        <w:rPr>
          <w:sz w:val="20"/>
          <w:szCs w:val="20"/>
          <w:color w:val="auto"/>
        </w:rPr>
      </w:pPr>
      <w:r>
        <w:rPr>
          <w:rFonts w:ascii="Arial" w:cs="Arial" w:eastAsia="Arial" w:hAnsi="Arial"/>
          <w:sz w:val="17"/>
          <w:szCs w:val="17"/>
          <w:b w:val="1"/>
          <w:bCs w:val="1"/>
          <w:color w:val="auto"/>
        </w:rPr>
        <w:t>M=+M6;N8X6[EIMPD^27&amp;4^;X&gt;EB3:K%)U7:1UB]GM#YER/HQKJ(X]7$=AIUN3 MO:^SD$@UU]G+WN#OB*]@Z*FG6[Q\6H)U5&gt;@=AKK[/9X0KR</w:t>
      </w:r>
    </w:p>
    <w:p>
      <w:pPr>
        <w:spacing w:after="0" w:line="229" w:lineRule="auto"/>
        <w:rPr>
          <w:sz w:val="20"/>
          <w:szCs w:val="20"/>
          <w:color w:val="auto"/>
        </w:rPr>
      </w:pPr>
      <w:r>
        <w:rPr>
          <w:rFonts w:ascii="Arial" w:cs="Arial" w:eastAsia="Arial" w:hAnsi="Arial"/>
          <w:sz w:val="17"/>
          <w:szCs w:val="17"/>
          <w:b w:val="1"/>
          <w:bCs w:val="1"/>
          <w:color w:val="auto"/>
        </w:rPr>
        <w:t>UYPJ!J%:\A\XU M$\&gt;H&amp;G6[W^Z(KV!FNOLX&gt;;D"O%I$5Y&amp;FO=+3G]OA"O7R)Y]!J1Z\G?\ 9RB&gt; ML&amp;H /__7]_ M</w:t>
      </w:r>
    </w:p>
    <w:p>
      <w:pPr>
        <w:spacing w:after="0"/>
        <w:rPr>
          <w:sz w:val="20"/>
          <w:szCs w:val="20"/>
          <w:color w:val="auto"/>
        </w:rPr>
      </w:pPr>
      <w:r>
        <w:rPr>
          <w:rFonts w:ascii="Arial" w:cs="Arial" w:eastAsia="Arial" w:hAnsi="Arial"/>
          <w:sz w:val="16"/>
          <w:szCs w:val="16"/>
          <w:b w:val="1"/>
          <w:bCs w:val="1"/>
          <w:color w:val="auto"/>
        </w:rPr>
        <w:t>.I[UP553T.WS$==5N=E2T&gt;Y&gt;PZNI=ZBW.S8I['R:\\YU&amp;TK&lt;7U&amp;T&amp;&gt;B4J M,^0CXA]0^$D93UW4X0])Z;&lt;2\+N63YI\4I1AH&gt;F3EZ*U"VWXK=XYK?'K4=IM</w:t>
      </w:r>
    </w:p>
    <w:p>
      <w:pPr>
        <w:spacing w:after="0" w:line="231" w:lineRule="auto"/>
        <w:rPr>
          <w:sz w:val="20"/>
          <w:szCs w:val="20"/>
          <w:color w:val="auto"/>
        </w:rPr>
      </w:pPr>
      <w:r>
        <w:rPr>
          <w:rFonts w:ascii="Arial" w:cs="Arial" w:eastAsia="Arial" w:hAnsi="Arial"/>
          <w:sz w:val="17"/>
          <w:szCs w:val="17"/>
          <w:b w:val="1"/>
          <w:bCs w:val="1"/>
          <w:color w:val="auto"/>
        </w:rPr>
        <w:t>M!;4F&gt;.;QE\G7S54[E#:EE0U@W]'U4W&lt;%:DZ:(HG:NYK9@X]JEJ*]UM+O5&lt;&lt;&gt; MZAGU&amp;W%:)/QY'X8;JN9FU_$,I#+9).L[DKMIX8+TFE"Y]QS6-</w:t>
      </w:r>
    </w:p>
    <w:p>
      <w:pPr>
        <w:spacing w:after="0" w:line="228" w:lineRule="auto"/>
        <w:rPr>
          <w:sz w:val="20"/>
          <w:szCs w:val="20"/>
          <w:color w:val="auto"/>
        </w:rPr>
      </w:pPr>
      <w:r>
        <w:rPr>
          <w:rFonts w:ascii="Arial" w:cs="Arial" w:eastAsia="Arial" w:hAnsi="Arial"/>
          <w:sz w:val="17"/>
          <w:szCs w:val="17"/>
          <w:b w:val="1"/>
          <w:bCs w:val="1"/>
          <w:color w:val="auto"/>
        </w:rPr>
        <w:t>H'JG\K.U,U/X\R MI/7;:^0WGK8GZV'N*T3N7(6*K49C$3D%6LU-)75-KQ""K$,.D2?.G6%ZZ+(^ MHGJ&gt;E;N^*6EJ-</w:t>
      </w:r>
    </w:p>
    <w:p>
      <w:pPr>
        <w:spacing w:after="0" w:line="229" w:lineRule="auto"/>
        <w:rPr>
          <w:sz w:val="20"/>
          <w:szCs w:val="20"/>
          <w:color w:val="auto"/>
        </w:rPr>
      </w:pPr>
      <w:r>
        <w:rPr>
          <w:rFonts w:ascii="Arial" w:cs="Arial" w:eastAsia="Arial" w:hAnsi="Arial"/>
          <w:sz w:val="17"/>
          <w:szCs w:val="17"/>
          <w:b w:val="1"/>
          <w:bCs w:val="1"/>
          <w:color w:val="auto"/>
        </w:rPr>
        <w:t>B&amp;8TRW9G:2E%2A/!:OW*N,E1K'+S6UQPJ2Z#F5INI[6^&amp;NI MN5^5C4KEV-VL9.,H8[MF"CBBZIN$5BH^EQ?29*[D-PN3&lt;:;1=N4=C&gt;4JGLUY</w:t>
      </w:r>
    </w:p>
    <w:p>
      <w:pPr>
        <w:spacing w:after="0" w:line="229" w:lineRule="auto"/>
        <w:rPr>
          <w:sz w:val="20"/>
          <w:szCs w:val="20"/>
          <w:color w:val="auto"/>
        </w:rPr>
      </w:pPr>
      <w:r>
        <w:rPr>
          <w:rFonts w:ascii="Arial" w:cs="Arial" w:eastAsia="Arial" w:hAnsi="Arial"/>
          <w:sz w:val="17"/>
          <w:szCs w:val="17"/>
          <w:b w:val="1"/>
          <w:bCs w:val="1"/>
          <w:color w:val="auto"/>
        </w:rPr>
        <w:t>M_H,1X]MRZ)12Y*MHI2YK6BWYFXZBLKT5IU,W55+K;*77DNN=M6&amp;_HI;8Y[;V M@:=J.[-PW=2M):-D)7[LX1\U-0G+#"BI2-$W1/E'#R9T&amp;O:YJ.0VQH-</w:t>
      </w:r>
    </w:p>
    <w:p>
      <w:pPr>
        <w:spacing w:after="0" w:line="228" w:lineRule="auto"/>
        <w:rPr>
          <w:sz w:val="20"/>
          <w:szCs w:val="20"/>
          <w:color w:val="auto"/>
        </w:rPr>
      </w:pPr>
      <w:r>
        <w:rPr>
          <w:rFonts w:ascii="Arial" w:cs="Arial" w:eastAsia="Arial" w:hAnsi="Arial"/>
          <w:sz w:val="17"/>
          <w:szCs w:val="17"/>
          <w:b w:val="1"/>
          <w:bCs w:val="1"/>
          <w:color w:val="auto"/>
        </w:rPr>
        <w:t>O3[C_ M (OG8V+49OBTYP6*=76LF^%6G1RKS1CONHQ9NMVE;&gt;KHR!;V[G+&gt;3X^11#P&gt;</w:t>
      </w:r>
    </w:p>
    <w:p>
      <w:pPr>
        <w:spacing w:after="0" w:line="229" w:lineRule="auto"/>
        <w:rPr>
          <w:sz w:val="20"/>
          <w:szCs w:val="20"/>
          <w:color w:val="auto"/>
        </w:rPr>
      </w:pPr>
      <w:r>
        <w:rPr>
          <w:rFonts w:ascii="Arial" w:cs="Arial" w:eastAsia="Arial" w:hAnsi="Arial"/>
          <w:sz w:val="17"/>
          <w:szCs w:val="17"/>
          <w:b w:val="1"/>
          <w:bCs w:val="1"/>
          <w:color w:val="auto"/>
        </w:rPr>
        <w:t>M16+FEI&gt;FEK7J)Z4BZ6.O+'%TMS=;/6LBEN1%/0KHFG4MO4D@HC7J7#O]L:IM M;=&gt;X,MD,QM/*Y6Y'%*TX1C2:BI-V[L,"A.L:RQ-</w:t>
      </w:r>
    </w:p>
    <w:p>
      <w:pPr>
        <w:spacing w:after="0" w:line="229" w:lineRule="auto"/>
        <w:rPr>
          <w:sz w:val="20"/>
          <w:szCs w:val="20"/>
          <w:color w:val="auto"/>
        </w:rPr>
      </w:pPr>
      <w:r>
        <w:rPr>
          <w:rFonts w:ascii="Arial" w:cs="Arial" w:eastAsia="Arial" w:hAnsi="Arial"/>
          <w:sz w:val="17"/>
          <w:szCs w:val="17"/>
          <w:b w:val="1"/>
          <w:bCs w:val="1"/>
          <w:color w:val="auto"/>
        </w:rPr>
        <w:t>54H*AHMQZ=N3;.AYG.V-S M9G,PDHQNJ4I*4,325RU/$Y1I.D&lt;*='&amp;31NWK%)29D-A^TB;&gt;&gt;JIVX:[(F!91 MY^3K77ZN8FJG#=[5;CU?</w:t>
      </w:r>
    </w:p>
    <w:p>
      <w:pPr>
        <w:spacing w:after="0"/>
        <w:rPr>
          <w:sz w:val="20"/>
          <w:szCs w:val="20"/>
          <w:color w:val="auto"/>
        </w:rPr>
      </w:pPr>
      <w:r>
        <w:rPr>
          <w:rFonts w:ascii="Arial" w:cs="Arial" w:eastAsia="Arial" w:hAnsi="Arial"/>
          <w:sz w:val="16"/>
          <w:szCs w:val="16"/>
          <w:b w:val="1"/>
          <w:bCs w:val="1"/>
          <w:color w:val="auto"/>
        </w:rPr>
        <w:t>(5;RG7JF1KW#4Z\ZOK*6LU*5KJ8Q; LV;6^-UY=) M0RZL9J-$DE&amp;/WBVN"7!)+DEP[#-OJY=N;-VQ&gt;+D.7O&gt;T)6U9&amp;ZK#C*?T'B1%-&lt;-RQD 41;]G-R+T74</w:t>
      </w:r>
    </w:p>
    <w:p>
      <w:pPr>
        <w:spacing w:after="0" w:line="231" w:lineRule="auto"/>
        <w:rPr>
          <w:sz w:val="20"/>
          <w:szCs w:val="20"/>
          <w:color w:val="auto"/>
        </w:rPr>
      </w:pPr>
      <w:r>
        <w:rPr>
          <w:rFonts w:ascii="Arial" w:cs="Arial" w:eastAsia="Arial" w:hAnsi="Arial"/>
          <w:sz w:val="17"/>
          <w:szCs w:val="17"/>
          <w:b w:val="1"/>
          <w:bCs w:val="1"/>
          <w:color w:val="auto"/>
        </w:rPr>
        <w:t>MQ\1(S5,T2I"GJ7JVF;6MWJN+/2NT]2VKK&gt;J6ML^Z&amp;7CD[T+BMW9&gt;=?;C!RQ3 MN44DY*+=(N.&amp;3254D3N;</w:t>
      </w:r>
    </w:p>
    <w:p>
      <w:pPr>
        <w:spacing w:after="0" w:line="228" w:lineRule="auto"/>
        <w:rPr>
          <w:sz w:val="20"/>
          <w:szCs w:val="20"/>
          <w:color w:val="auto"/>
        </w:rPr>
      </w:pPr>
      <w:r>
        <w:rPr>
          <w:rFonts w:ascii="Arial" w:cs="Arial" w:eastAsia="Arial" w:hAnsi="Arial"/>
          <w:sz w:val="17"/>
          <w:szCs w:val="17"/>
          <w:b w:val="1"/>
          <w:bCs w:val="1"/>
          <w:color w:val="auto"/>
        </w:rPr>
        <w:t>(;ET73;FX_&gt;F_+.6I0&lt;[:2C9I*:CAC"N%J+DEYT9 M.23;I6AP'UF-G2=[X?P'N#&gt;R3D&gt;EI\FW=AB,_!6U&lt;50G&amp;UMUMPX^NR?7=L!;</w:t>
      </w:r>
    </w:p>
    <w:p>
      <w:pPr>
        <w:spacing w:after="0" w:line="229" w:lineRule="auto"/>
        <w:rPr>
          <w:sz w:val="20"/>
          <w:szCs w:val="20"/>
          <w:color w:val="auto"/>
        </w:rPr>
      </w:pPr>
      <w:r>
        <w:rPr>
          <w:rFonts w:ascii="Arial" w:cs="Arial" w:eastAsia="Arial" w:hAnsi="Arial"/>
          <w:sz w:val="17"/>
          <w:szCs w:val="17"/>
          <w:b w:val="1"/>
          <w:bCs w:val="1"/>
          <w:color w:val="auto"/>
        </w:rPr>
        <w:t>MRG'D45W4YMJ835]=:R9&gt;&lt;29GUM1[OAQG+&gt;2U;7=!CIUARRUK,/OG!=]-0NPA M@G+_ *M\W'E5(\7Q!RES-Z5HNMSU"^EF+EA=RIONHN5J&lt;\</w:t>
      </w:r>
    </w:p>
    <w:p>
      <w:pPr>
        <w:spacing w:after="0" w:line="229" w:lineRule="auto"/>
        <w:rPr>
          <w:sz w:val="20"/>
          <w:szCs w:val="20"/>
          <w:color w:val="auto"/>
        </w:rPr>
      </w:pPr>
      <w:r>
        <w:rPr>
          <w:rFonts w:ascii="Arial" w:cs="Arial" w:eastAsia="Arial" w:hAnsi="Arial"/>
          <w:sz w:val="17"/>
          <w:szCs w:val="17"/>
          <w:b w:val="1"/>
          <w:bCs w:val="1"/>
          <w:color w:val="auto"/>
        </w:rPr>
        <w:t>&lt;(]$UQ2EQX,[BL M'XGK\-68Y:,CE')&gt;7*AR:KI@KJRM&lt;3UT70VW6L4;*8E$D^1+*+HU4AK9:XD*</w:t>
      </w:r>
    </w:p>
    <w:p>
      <w:pPr>
        <w:spacing w:after="0" w:line="228" w:lineRule="auto"/>
        <w:rPr>
          <w:sz w:val="20"/>
          <w:szCs w:val="20"/>
          <w:color w:val="auto"/>
        </w:rPr>
      </w:pPr>
      <w:r>
        <w:rPr>
          <w:rFonts w:ascii="Arial" w:cs="Arial" w:eastAsia="Arial" w:hAnsi="Arial"/>
          <w:sz w:val="17"/>
          <w:szCs w:val="17"/>
          <w:b w:val="1"/>
          <w:bCs w:val="1"/>
          <w:color w:val="auto"/>
        </w:rPr>
        <w:t>M=7W1\DUK5+&gt;KYU9NWIF6RD&lt;"CW=B"A#@V\5%^Z+&gt;_MV&lt;2JFHV+^CXZ?G6^5?"U&lt;=/DX&lt;2V MT4M-</w:t>
      </w:r>
    </w:p>
    <w:p>
      <w:pPr>
        <w:spacing w:after="0" w:line="229" w:lineRule="auto"/>
        <w:rPr>
          <w:sz w:val="20"/>
          <w:szCs w:val="20"/>
          <w:color w:val="auto"/>
        </w:rPr>
      </w:pPr>
      <w:r>
        <w:rPr>
          <w:rFonts w:ascii="Arial" w:cs="Arial" w:eastAsia="Arial" w:hAnsi="Arial"/>
          <w:sz w:val="17"/>
          <w:szCs w:val="17"/>
          <w:b w:val="1"/>
          <w:bCs w:val="1"/>
          <w:color w:val="auto"/>
        </w:rPr>
        <w:t>W'O#0WPCWT;\%^C&lt;7&amp;B[$X+MZCJGW#MIR7BK&gt;%N7&lt;2I^DOG=_9^/+0K5 MK-1':]A0-</w:t>
      </w:r>
    </w:p>
    <w:p>
      <w:pPr>
        <w:spacing w:after="0" w:line="229" w:lineRule="auto"/>
        <w:rPr>
          <w:sz w:val="20"/>
          <w:szCs w:val="20"/>
          <w:color w:val="auto"/>
        </w:rPr>
      </w:pPr>
      <w:r>
        <w:rPr>
          <w:rFonts w:ascii="Arial" w:cs="Arial" w:eastAsia="Arial" w:hAnsi="Arial"/>
          <w:sz w:val="17"/>
          <w:szCs w:val="17"/>
          <w:b w:val="1"/>
          <w:bCs w:val="1"/>
          <w:color w:val="auto"/>
        </w:rPr>
        <w:t>X=@Y3N==77;KHJ0BB69&amp;;:5TW50&gt;B3(OJ&amp;WV].U/:6VVJ7+&amp;D7+ MMQ?IW96^#[5)3[76I\WUVF?TW=&amp;X.&lt;;NJ0M0?Z%N-SI[4X&gt;"E#ODW?4.Z&amp;XK</w:t>
      </w:r>
    </w:p>
    <w:p>
      <w:pPr>
        <w:spacing w:after="0" w:line="228" w:lineRule="auto"/>
        <w:rPr>
          <w:sz w:val="20"/>
          <w:szCs w:val="20"/>
          <w:color w:val="auto"/>
        </w:rPr>
      </w:pPr>
      <w:r>
        <w:rPr>
          <w:rFonts w:ascii="Arial" w:cs="Arial" w:eastAsia="Arial" w:hAnsi="Arial"/>
          <w:sz w:val="17"/>
          <w:szCs w:val="17"/>
          <w:b w:val="1"/>
          <w:bCs w:val="1"/>
          <w:color w:val="auto"/>
        </w:rPr>
        <w:t>M=L.RMLBO0%5=UZ44=DC)35=;+%=CNQ&gt;UIFJV7CJ.?EXZKKJE?G*G5%'M5-;V M%*M#1(&lt;=;4/ANTKFVK&amp;8SV=W(N\A9LMV;+4Z7;G%J,G!-)</w:t>
      </w:r>
    </w:p>
    <w:p>
      <w:pPr>
        <w:spacing w:after="0" w:line="229" w:lineRule="auto"/>
        <w:rPr>
          <w:sz w:val="20"/>
          <w:szCs w:val="20"/>
          <w:color w:val="auto"/>
        </w:rPr>
      </w:pPr>
      <w:r>
        <w:rPr>
          <w:rFonts w:ascii="Arial" w:cs="Arial" w:eastAsia="Arial" w:hAnsi="Arial"/>
          <w:sz w:val="17"/>
          <w:szCs w:val="17"/>
          <w:b w:val="1"/>
          <w:bCs w:val="1"/>
          <w:color w:val="auto"/>
        </w:rPr>
        <w:t>&lt;$EB&lt;8UDFW1,^S M;HAN*_8R63V\\$KMU*[=3@G:M\$Y)2:;?%OS4Y4BZ*K1UX;D&amp;X;AR5;UO71B/+EYM78Q-</w:t>
      </w:r>
    </w:p>
    <w:p>
      <w:pPr>
        <w:spacing w:after="0"/>
        <w:rPr>
          <w:sz w:val="20"/>
          <w:szCs w:val="20"/>
          <w:color w:val="auto"/>
        </w:rPr>
      </w:pPr>
      <w:r>
        <w:rPr>
          <w:rFonts w:ascii="Arial" w:cs="Arial" w:eastAsia="Arial" w:hAnsi="Arial"/>
          <w:sz w:val="16"/>
          <w:szCs w:val="16"/>
          <w:b w:val="1"/>
          <w:bCs w:val="1"/>
          <w:color w:val="auto"/>
        </w:rPr>
        <w:t>6Q64LC6RTU1PM95OU,)$M.4S5(MQICKM.5 M[*D/I4A!*^@;=&gt;F[VLZID\WL_*96Q#+RG"_8M]VXS3247))*3XN5&amp;Z-0?FTJ MUP^O+4-G7=,SF7W7F&gt;K6</w:t>
      </w:r>
    </w:p>
    <w:p>
      <w:pPr>
        <w:spacing w:after="0" w:line="231" w:lineRule="auto"/>
        <w:rPr>
          <w:sz w:val="20"/>
          <w:szCs w:val="20"/>
          <w:color w:val="auto"/>
        </w:rPr>
      </w:pPr>
      <w:r>
        <w:rPr>
          <w:rFonts w:ascii="Arial" w:cs="Arial" w:eastAsia="Arial" w:hAnsi="Arial"/>
          <w:sz w:val="17"/>
          <w:szCs w:val="17"/>
          <w:b w:val="1"/>
          <w:bCs w:val="1"/>
          <w:color w:val="auto"/>
        </w:rPr>
        <w:t>MZ:J0\E1DM"4F;BB5HMA9#1\WHV\LQK.3A=LV+5F:&gt;%.Y%+OI25N33&lt;'/"HN4 M:/EU&amp;YWOGM6RVL;1R^DYN5N]?NW8TQ-</w:t>
      </w:r>
    </w:p>
    <w:p>
      <w:pPr>
        <w:spacing w:after="0" w:line="228" w:lineRule="auto"/>
        <w:rPr>
          <w:sz w:val="20"/>
          <w:szCs w:val="20"/>
          <w:color w:val="auto"/>
        </w:rPr>
      </w:pPr>
      <w:r>
        <w:rPr>
          <w:rFonts w:ascii="Arial" w:cs="Arial" w:eastAsia="Arial" w:hAnsi="Arial"/>
          <w:sz w:val="17"/>
          <w:szCs w:val="17"/>
          <w:b w:val="1"/>
          <w:bCs w:val="1"/>
          <w:color w:val="auto"/>
        </w:rPr>
        <w:t>0DWW48N&lt;4Z34,;E1I]7264W%V_N/V M23&amp;'EG6-%&gt;U\KE+MK*3N6KEM&gt;?'"U%*4U%3DTYQ=6VI M4::XHU&amp;N6-</w:t>
      </w:r>
    </w:p>
    <w:p>
      <w:pPr>
        <w:spacing w:after="0" w:line="229" w:lineRule="auto"/>
        <w:rPr>
          <w:sz w:val="20"/>
          <w:szCs w:val="20"/>
          <w:color w:val="auto"/>
        </w:rPr>
      </w:pPr>
      <w:r>
        <w:rPr>
          <w:rFonts w:ascii="Arial" w:cs="Arial" w:eastAsia="Arial" w:hAnsi="Arial"/>
          <w:sz w:val="17"/>
          <w:szCs w:val="17"/>
          <w:b w:val="1"/>
          <w:bCs w:val="1"/>
          <w:color w:val="auto"/>
        </w:rPr>
        <w:t>&gt;VA=TK6/&gt;7,YJU&amp;Y)$I(YBS%;$G;5/=,4;+-6J+MZ'I:N9IKJ:#D*9ZDK*1*% M'2I-;#[*5O2)*&lt;-94_9.:?;&gt;2TC1ML9S=VK:=#-WW?</w:t>
      </w:r>
    </w:p>
    <w:p>
      <w:pPr>
        <w:spacing w:after="0" w:line="229" w:lineRule="auto"/>
        <w:rPr>
          <w:sz w:val="20"/>
          <w:szCs w:val="20"/>
          <w:color w:val="auto"/>
        </w:rPr>
      </w:pPr>
      <w:r>
        <w:rPr>
          <w:rFonts w:ascii="Arial" w:cs="Arial" w:eastAsia="Arial" w:hAnsi="Arial"/>
          <w:sz w:val="17"/>
          <w:szCs w:val="17"/>
          <w:b w:val="1"/>
          <w:bCs w:val="1"/>
          <w:color w:val="auto"/>
        </w:rPr>
        <w:t>5FQ:FD[=:54M*R[UZY#A.G**BTTUT+@UQE7C2CL%D1O&lt; MSMWW0;/&lt;.3VX/(N2&lt;7WEDV.D(6Y)68E(&gt;Y9FF:D8*)NVP&lt;@/1\BMJ_(FA[&gt;B</w:t>
      </w:r>
    </w:p>
    <w:p>
      <w:pPr>
        <w:spacing w:after="0"/>
        <w:rPr>
          <w:sz w:val="20"/>
          <w:szCs w:val="20"/>
          <w:color w:val="auto"/>
        </w:rPr>
      </w:pPr>
      <w:r>
        <w:rPr>
          <w:rFonts w:ascii="Arial" w:cs="Arial" w:eastAsia="Arial" w:hAnsi="Arial"/>
          <w:sz w:val="16"/>
          <w:szCs w:val="16"/>
          <w:b w:val="1"/>
          <w:bCs w:val="1"/>
          <w:color w:val="auto"/>
        </w:rPr>
        <w:t>MJZ9VO4ZI*9!ULT:&lt;)[[3WMO&lt;&amp;VMVZO9T'+9;4[.6:E!1BX1&gt;&amp;3A=M)Q7=2E2 M46HT7FIU-+GEN#0MQ[8TJ_K&gt;8S&amp;FWJ M[9C,F[G=?EO!UEYCOC!F&amp;-</w:t>
      </w:r>
    </w:p>
    <w:p>
      <w:pPr>
        <w:spacing w:after="0" w:line="231" w:lineRule="auto"/>
        <w:rPr>
          <w:sz w:val="20"/>
          <w:szCs w:val="20"/>
          <w:color w:val="auto"/>
        </w:rPr>
      </w:pPr>
      <w:r>
        <w:rPr>
          <w:rFonts w:ascii="Arial" w:cs="Arial" w:eastAsia="Arial" w:hAnsi="Arial"/>
          <w:sz w:val="17"/>
          <w:szCs w:val="17"/>
          <w:b w:val="1"/>
          <w:bCs w:val="1"/>
          <w:color w:val="auto"/>
        </w:rPr>
        <w:t>O41;E+=4QC)]&lt;-&gt;UWWO</w:t>
      </w:r>
      <w:r>
        <w:rPr>
          <w:rFonts w:ascii="Arial" w:cs="Arial" w:eastAsia="Arial" w:hAnsi="Arial"/>
          <w:sz w:val="17"/>
          <w:szCs w:val="17"/>
          <w:b w:val="1"/>
          <w:bCs w:val="1"/>
          <w:u w:val="single" w:color="auto"/>
          <w:color w:val="auto"/>
        </w:rPr>
        <w:t>:NR&lt;-_KL:;*6M(VGM?2M:S&gt;D6&lt;]K.?G-PC&gt;2E:MVH&lt;&amp;\'*3 MXQ?0TYDET&gt;;6CK6. M\X(NW+&gt;!=X%?</w:t>
      </w:r>
    </w:p>
    <w:p>
      <w:pPr>
        <w:spacing w:after="0" w:line="228" w:lineRule="auto"/>
        <w:rPr>
          <w:sz w:val="20"/>
          <w:szCs w:val="20"/>
          <w:color w:val="auto"/>
        </w:rPr>
      </w:pPr>
      <w:r>
        <w:rPr>
          <w:rFonts w:ascii="Arial" w:cs="Arial" w:eastAsia="Arial" w:hAnsi="Arial"/>
          <w:sz w:val="17"/>
          <w:szCs w:val="17"/>
          <w:b w:val="1"/>
          <w:bCs w:val="1"/>
          <w:u w:val="single" w:color="auto"/>
          <w:color w:val="auto"/>
        </w:rPr>
        <w:t>M#R3E6X6*VLHXONZ^:EFJOB(50ULE'5T)+R3KJJJ814 MH@I!2C6XZLO-FG4(;2Z\2&lt;6N932=?&lt;[[%7]S=VN6Y9"(2^*S-,:JIJ':I94"*!_P</w:t>
      </w:r>
    </w:p>
    <w:p>
      <w:pPr>
        <w:spacing w:after="0" w:line="229" w:lineRule="auto"/>
        <w:rPr>
          <w:sz w:val="20"/>
          <w:szCs w:val="20"/>
          <w:color w:val="auto"/>
        </w:rPr>
      </w:pPr>
      <w:r>
        <w:rPr>
          <w:rFonts w:ascii="Arial" w:cs="Arial" w:eastAsia="Arial" w:hAnsi="Arial"/>
          <w:sz w:val="17"/>
          <w:szCs w:val="17"/>
          <w:b w:val="1"/>
          <w:bCs w:val="1"/>
          <w:u w:val="single" w:color="auto"/>
          <w:color w:val="auto"/>
        </w:rPr>
        <w:t>W-)OFVK+JT]J6]"T3&gt;\=MVN_O8K:RZI&amp;P MYJ4DYS44DU'NYT5/.QQQ+A4QZ9'!G3:-D7+5TYHMFV,?1F2K.NJ]ZNID[EHJ=ZKL]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MMRAJI*OJZV06IVGO5#;R%O.M&amp;Y1$ZTEDG%MGI-V9;1]2VEH&gt;Z]/TJWD\S=S# MLW(6EA@^%SBDDESMU323I)IUI4W&amp;U\SJNG[IUK;.?U2YF\M;L*</w:t>
      </w:r>
    </w:p>
    <w:p>
      <w:pPr>
        <w:spacing w:after="0" w:line="231" w:lineRule="auto"/>
        <w:rPr>
          <w:sz w:val="20"/>
          <w:szCs w:val="20"/>
          <w:color w:val="auto"/>
        </w:rPr>
      </w:pPr>
      <w:r>
        <w:rPr>
          <w:rFonts w:ascii="Arial" w:cs="Arial" w:eastAsia="Arial" w:hAnsi="Arial"/>
          <w:sz w:val="17"/>
          <w:szCs w:val="17"/>
          <w:b w:val="1"/>
          <w:bCs w:val="1"/>
          <w:u w:val="single" w:color="auto"/>
          <w:color w:val="auto"/>
        </w:rPr>
        <w:t>["=QXII5AP M;=7RN)-5:\VJI5HXY8]/FS?GDK.ER4^X'*6"L(XJR))XLQ_!8?DG;5F[BE;&gt;</w:t>
      </w:r>
    </w:p>
    <w:p>
      <w:pPr>
        <w:spacing w:after="0"/>
        <w:rPr>
          <w:sz w:val="20"/>
          <w:szCs w:val="20"/>
          <w:color w:val="auto"/>
        </w:rPr>
      </w:pPr>
      <w:r>
        <w:rPr>
          <w:rFonts w:ascii="Arial" w:cs="Arial" w:eastAsia="Arial" w:hAnsi="Arial"/>
          <w:sz w:val="16"/>
          <w:szCs w:val="16"/>
          <w:b w:val="1"/>
          <w:bCs w:val="1"/>
          <w:u w:val="single" w:color="auto"/>
          <w:color w:val="auto"/>
        </w:rPr>
        <w:t>M22I:=N&amp;&gt;IS8JGC=IZBEJ3IG#&gt;))5J6T]B3)J?].=&gt;C;&amp;T[1,N]!RN&gt;UO-9&gt;- MZ[*^L&lt;81GZ,8PY*C4HUX5PU=:\,&amp;4AJ^\M0UC,+7,SDM(RV8=FW&amp;RW"4G'TI</w:t>
      </w:r>
    </w:p>
    <w:p>
      <w:pPr>
        <w:spacing w:after="0" w:line="231" w:lineRule="auto"/>
        <w:rPr>
          <w:sz w:val="20"/>
          <w:szCs w:val="20"/>
          <w:color w:val="auto"/>
        </w:rPr>
      </w:pPr>
      <w:r>
        <w:rPr>
          <w:rFonts w:ascii="Arial" w:cs="Arial" w:eastAsia="Arial" w:hAnsi="Arial"/>
          <w:sz w:val="17"/>
          <w:szCs w:val="17"/>
          <w:b w:val="1"/>
          <w:bCs w:val="1"/>
          <w:u w:val="single" w:color="auto"/>
          <w:color w:val="auto"/>
        </w:rPr>
        <w:t>M3DJ-U33IQIBIPIQO%LXR;E2&amp;S1N%VE9BO=_)\YA=VW+BL[(,DFF9N&amp;;LRZXV MAE&amp;*.=;0LW:JLCJ:9H%F\HWUH=J76ENFE+!'J=WZ;I=[1]</w:t>
      </w:r>
    </w:p>
    <w:p>
      <w:pPr>
        <w:spacing w:after="0" w:line="228" w:lineRule="auto"/>
        <w:rPr>
          <w:sz w:val="20"/>
          <w:szCs w:val="20"/>
          <w:color w:val="auto"/>
        </w:rPr>
      </w:pPr>
      <w:r>
        <w:rPr>
          <w:rFonts w:ascii="Arial" w:cs="Arial" w:eastAsia="Arial" w:hAnsi="Arial"/>
          <w:sz w:val="17"/>
          <w:szCs w:val="17"/>
          <w:b w:val="1"/>
          <w:bCs w:val="1"/>
          <w:u w:val="single" w:color="auto"/>
          <w:color w:val="auto"/>
        </w:rPr>
        <w:t>W5I&amp;266L9Q3A&lt; MM1=8QN0;3&lt;&gt;%*2&lt;9JG#@DZ*K-IM74-1M:OKFV=5S;S%W*N,H77PE*$TG22Z7 M%.+K5\6TW1)&amp;&amp;NR:R]T&amp;[W</w:t>
      </w:r>
    </w:p>
    <w:p>
      <w:pPr>
        <w:spacing w:after="0" w:line="229" w:lineRule="auto"/>
        <w:rPr>
          <w:sz w:val="20"/>
          <w:szCs w:val="20"/>
          <w:color w:val="auto"/>
        </w:rPr>
      </w:pPr>
      <w:r>
        <w:rPr>
          <w:rFonts w:ascii="Arial" w:cs="Arial" w:eastAsia="Arial" w:hAnsi="Arial"/>
          <w:sz w:val="17"/>
          <w:szCs w:val="17"/>
          <w:b w:val="1"/>
          <w:bCs w:val="1"/>
          <w:u w:val="single" w:color="auto"/>
          <w:color w:val="auto"/>
        </w:rPr>
        <w:t>CLE&lt;^[7+F/+6MB[)V B:^V)Z6DLB7;.Z1TS62 M]RWU(3I7 S 1%/)LT5'&amp;-.H;7V;CBNJ1I[3KMYYS;&amp;T]=5O*[4RF8S5VS&amp;4E</w:t>
      </w:r>
    </w:p>
    <w:p>
      <w:pPr>
        <w:spacing w:after="0" w:line="229" w:lineRule="auto"/>
        <w:rPr>
          <w:sz w:val="20"/>
          <w:szCs w:val="20"/>
          <w:color w:val="auto"/>
        </w:rPr>
      </w:pPr>
      <w:r>
        <w:rPr>
          <w:rFonts w:ascii="Arial" w:cs="Arial" w:eastAsia="Arial" w:hAnsi="Arial"/>
          <w:sz w:val="17"/>
          <w:szCs w:val="17"/>
          <w:b w:val="1"/>
          <w:bCs w:val="1"/>
          <w:u w:val="single" w:color="auto"/>
          <w:color w:val="auto"/>
        </w:rPr>
        <w:t>M.,59A%UBHQM1CA6QA1YBMN17%7\Q M1-5TK%'64$\3KU:N1I)"UJEQFI&gt;4[4$U5$E;CG5+30;QRVDZ-J&amp;V-Q:9I5A9 M/-</w:t>
      </w:r>
    </w:p>
    <w:p>
      <w:pPr>
        <w:spacing w:after="0" w:line="228" w:lineRule="auto"/>
        <w:rPr>
          <w:sz w:val="20"/>
          <w:szCs w:val="20"/>
          <w:color w:val="auto"/>
        </w:rPr>
      </w:pPr>
      <w:r>
        <w:rPr>
          <w:rFonts w:ascii="Arial" w:cs="Arial" w:eastAsia="Arial" w:hAnsi="Arial"/>
          <w:sz w:val="17"/>
          <w:szCs w:val="17"/>
          <w:b w:val="1"/>
          <w:bCs w:val="1"/>
          <w:u w:val="single" w:color="auto"/>
          <w:color w:val="auto"/>
        </w:rPr>
        <w:t>Y=7GEYK%;;I%\8\%1QFDTDE6/!(WNTLSJ&gt;K9'&lt;&gt;@ZEJ5UYG*7W:5^+PW*5 MDJJ7%U4H-U;;I*C;,=O5_P"W^5D-Q6Z2O3G7-</w:t>
      </w:r>
    </w:p>
    <w:p>
      <w:pPr>
        <w:spacing w:after="0" w:line="229" w:lineRule="auto"/>
        <w:rPr>
          <w:sz w:val="20"/>
          <w:szCs w:val="20"/>
          <w:color w:val="auto"/>
        </w:rPr>
      </w:pPr>
      <w:r>
        <w:rPr>
          <w:rFonts w:ascii="Arial" w:cs="Arial" w:eastAsia="Arial" w:hAnsi="Arial"/>
          <w:sz w:val="17"/>
          <w:szCs w:val="17"/>
          <w:b w:val="1"/>
          <w:bCs w:val="1"/>
          <w:u w:val="single" w:color="auto"/>
          <w:color w:val="auto"/>
        </w:rPr>
        <w:t>M"C"FXU^.DJ"BO*I9HB9*3SFGU3=M5R^ M*W:X9?Z"CBX+C2D&gt;HT.R-%N3UW&lt;=P^?L M1-</w:t>
      </w:r>
    </w:p>
    <w:p>
      <w:pPr>
        <w:spacing w:after="0"/>
        <w:rPr>
          <w:sz w:val="20"/>
          <w:szCs w:val="20"/>
          <w:color w:val="auto"/>
        </w:rPr>
      </w:pPr>
      <w:r>
        <w:rPr>
          <w:rFonts w:ascii="Arial" w:cs="Arial" w:eastAsia="Arial" w:hAnsi="Arial"/>
          <w:sz w:val="16"/>
          <w:szCs w:val="16"/>
          <w:b w:val="1"/>
          <w:bCs w:val="1"/>
          <w:u w:val="single" w:color="auto"/>
          <w:color w:val="auto"/>
        </w:rPr>
        <w:t>[9#9D'.O:MNSK5+V#E&lt;&lt;;2VA*G/#9RD]@;3W!E]9N0CK&amp;J6^[A9BU-Q@HS M@YMJL5PN2XIT\V*3XT7LO9F&amp;^-SZ%F-)MR&gt;E:=&lt;UC4)S=N-U*=J%N'</w:t>
      </w:r>
    </w:p>
    <w:p>
      <w:pPr>
        <w:spacing w:after="0" w:line="231" w:lineRule="auto"/>
        <w:rPr>
          <w:sz w:val="20"/>
          <w:szCs w:val="20"/>
          <w:color w:val="auto"/>
        </w:rPr>
      </w:pPr>
      <w:r>
        <w:rPr>
          <w:rFonts w:ascii="Arial" w:cs="Arial" w:eastAsia="Arial" w:hAnsi="Arial"/>
          <w:sz w:val="17"/>
          <w:szCs w:val="17"/>
          <w:b w:val="1"/>
          <w:bCs w:val="1"/>
          <w:u w:val="single" w:color="auto"/>
          <w:color w:val="auto"/>
        </w:rPr>
        <w:t>M!O!RD_1?&amp;CK*E?-H]CF;NJ[GW+JFC935+V3TC(QBIRM/#:MP5;4^"DF MHTHHUE!4HEYSBW*B)TJ_J&gt;E;DO[2U#5+N9RM_*.</w:t>
      </w:r>
    </w:p>
    <w:p>
      <w:pPr>
        <w:spacing w:after="0" w:line="228" w:lineRule="auto"/>
        <w:rPr>
          <w:sz w:val="20"/>
          <w:szCs w:val="20"/>
          <w:color w:val="auto"/>
        </w:rPr>
      </w:pPr>
      <w:r>
        <w:rPr>
          <w:rFonts w:ascii="Arial" w:cs="Arial" w:eastAsia="Arial" w:hAnsi="Arial"/>
          <w:sz w:val="17"/>
          <w:szCs w:val="17"/>
          <w:b w:val="1"/>
          <w:bCs w:val="1"/>
          <w:u w:val="single" w:color="auto"/>
          <w:color w:val="auto"/>
        </w:rPr>
        <w:t>[:N3E^UCQ&lt;6G*N)OS9-.K M]%25*NFZ^K;RO&gt;5=B;-MF9IO"X[IOC &gt;6KQ@;HGKNF9BX9EN#HJ1!I.KK9NK MKI8TT4K#2J$-</w:t>
      </w:r>
    </w:p>
    <w:p>
      <w:pPr>
        <w:spacing w:after="0" w:line="229" w:lineRule="auto"/>
        <w:rPr>
          <w:sz w:val="20"/>
          <w:szCs w:val="20"/>
          <w:color w:val="auto"/>
        </w:rPr>
      </w:pPr>
      <w:r>
        <w:rPr>
          <w:rFonts w:ascii="Arial" w:cs="Arial" w:eastAsia="Arial" w:hAnsi="Arial"/>
          <w:sz w:val="17"/>
          <w:szCs w:val="17"/>
          <w:b w:val="1"/>
          <w:bCs w:val="1"/>
          <w:u w:val="single" w:color="auto"/>
          <w:color w:val="auto"/>
        </w:rPr>
        <w:t>*/1#;24IX=2&amp;+XBZ7DX:IHV=T7)6[62S^5A*$;&lt;8PBY-]"BD MN,90JZ&lt;:U,FP=2S4M,U?*:MF[EW.Y'-7(SE.4I244NER;?!QFDJ\N!;?9KG'</w:t>
      </w:r>
    </w:p>
    <w:p>
      <w:pPr>
        <w:spacing w:after="0" w:line="229" w:lineRule="auto"/>
        <w:rPr>
          <w:sz w:val="20"/>
          <w:szCs w:val="20"/>
          <w:color w:val="auto"/>
        </w:rPr>
      </w:pPr>
      <w:r>
        <w:rPr>
          <w:rFonts w:ascii="Arial" w:cs="Arial" w:eastAsia="Arial" w:hAnsi="Arial"/>
          <w:sz w:val="17"/>
          <w:szCs w:val="17"/>
          <w:b w:val="1"/>
          <w:bCs w:val="1"/>
          <w:u w:val="single" w:color="auto"/>
          <w:color w:val="auto"/>
        </w:rPr>
        <w:t>M(4/M2W-;O,FW'&gt;5YM5UU7Y&lt;]BVS=-SS\W%QD);-*Z[#P5OTM?75E';L9677, M/Q[J:)MMMMJD;UZR6D$C8[OT33[VZ=M[3TW+V;+5JU"</w:t>
      </w:r>
    </w:p>
    <w:p>
      <w:pPr>
        <w:spacing w:after="0"/>
        <w:rPr>
          <w:sz w:val="20"/>
          <w:szCs w:val="20"/>
          <w:color w:val="auto"/>
        </w:rPr>
      </w:pPr>
      <w:r>
        <w:rPr>
          <w:rFonts w:ascii="Arial" w:cs="Arial" w:eastAsia="Arial" w:hAnsi="Arial"/>
          <w:sz w:val="16"/>
          <w:szCs w:val="16"/>
          <w:b w:val="1"/>
          <w:bCs w:val="1"/>
          <w:u w:val="single" w:color="auto"/>
          <w:color w:val="auto"/>
        </w:rPr>
        <w:t>[.$(1DY3:3E/"DYM0 MBIK$VVY-UXMOP;4U?.VMM[@W/J&amp;8NWD[ER5N,YRE%1A6D8U;4$YR&lt;7A222IR M7#3&amp;&amp;WK=7GC#D'N"G=XV9+/RMD&amp;W'+</w:t>
      </w:r>
    </w:p>
    <w:p>
      <w:pPr>
        <w:spacing w:after="0" w:line="231" w:lineRule="auto"/>
        <w:rPr>
          <w:sz w:val="20"/>
          <w:szCs w:val="20"/>
          <w:color w:val="auto"/>
        </w:rPr>
      </w:pPr>
      <w:r>
        <w:rPr>
          <w:rFonts w:ascii="Arial" w:cs="Arial" w:eastAsia="Arial" w:hAnsi="Arial"/>
          <w:sz w:val="17"/>
          <w:szCs w:val="17"/>
          <w:b w:val="1"/>
          <w:bCs w:val="1"/>
          <w:u w:val="single" w:color="auto"/>
          <w:color w:val="auto"/>
        </w:rPr>
        <w:t>[LVRK5D50&gt;)X&gt;BEZ=V0L^)D[48=IZ* M2HY".=IW''C:3V*']#34*;[1V-3W!M?</w:t>
      </w:r>
    </w:p>
    <w:p>
      <w:pPr>
        <w:spacing w:after="0" w:line="228" w:lineRule="auto"/>
        <w:rPr>
          <w:sz w:val="20"/>
          <w:szCs w:val="20"/>
          <w:color w:val="auto"/>
        </w:rPr>
      </w:pPr>
      <w:r>
        <w:rPr>
          <w:rFonts w:ascii="Arial" w:cs="Arial" w:eastAsia="Arial" w:hAnsi="Arial"/>
          <w:sz w:val="17"/>
          <w:szCs w:val="17"/>
          <w:b w:val="1"/>
          <w:bCs w:val="1"/>
          <w:u w:val="single" w:color="auto"/>
          <w:color w:val="auto"/>
        </w:rPr>
        <w:t>0]7S&amp;@V=H9.]I&gt;7N=WN.W9%"ZIEKL4_P!%.MI3V"DD&gt;;*;8T_2OBED]&amp;GEX7=*N*FE*ZY MRFX8XUCYD&lt;;I&amp;,6J1IQ3?"N6MW=.C=O4A-*</w:t>
      </w:r>
    </w:p>
    <w:p>
      <w:pPr>
        <w:spacing w:after="0" w:line="229" w:lineRule="auto"/>
        <w:rPr>
          <w:sz w:val="20"/>
          <w:szCs w:val="20"/>
          <w:color w:val="auto"/>
        </w:rPr>
      </w:pPr>
      <w:r>
        <w:rPr>
          <w:rFonts w:ascii="Arial" w:cs="Arial" w:eastAsia="Arial" w:hAnsi="Arial"/>
          <w:sz w:val="17"/>
          <w:szCs w:val="17"/>
          <w:b w:val="1"/>
          <w:bCs w:val="1"/>
          <w:u w:val="single" w:color="auto"/>
          <w:color w:val="auto"/>
        </w:rPr>
        <w:t>M&lt;&lt;+L3G!-234L-52J?%)\U4]NJ:UGLS\-?XQ#,3MY]VK59P;A+$KT(2:&lt;6G'% M1UH^3:Y&amp;5-T7+</w:t>
      </w:r>
    </w:p>
    <w:p>
      <w:pPr>
        <w:spacing w:after="0" w:line="229" w:lineRule="auto"/>
        <w:rPr>
          <w:sz w:val="20"/>
          <w:szCs w:val="20"/>
          <w:color w:val="auto"/>
        </w:rPr>
      </w:pPr>
      <w:r>
        <w:rPr>
          <w:rFonts w:ascii="Arial" w:cs="Arial" w:eastAsia="Arial" w:hAnsi="Arial"/>
          <w:sz w:val="17"/>
          <w:szCs w:val="17"/>
          <w:b w:val="1"/>
          <w:bCs w:val="1"/>
          <w:u w:val="single" w:color="auto"/>
          <w:color w:val="auto"/>
        </w:rPr>
        <w:t>&lt;=/L&amp;N*\J&gt;X)QB[F=H$OWS2O3^]+2W/'B&gt;+'W#EBQ5KBKQQ5K7B8+)W,YEM+U?^UQNS M;EE9_/FX&gt;</w:t>
      </w:r>
    </w:p>
    <w:p>
      <w:pPr>
        <w:spacing w:after="0" w:line="228" w:lineRule="auto"/>
        <w:rPr>
          <w:sz w:val="20"/>
          <w:szCs w:val="20"/>
          <w:color w:val="auto"/>
        </w:rPr>
      </w:pPr>
      <w:r>
        <w:rPr>
          <w:rFonts w:ascii="Arial" w:cs="Arial" w:eastAsia="Arial" w:hAnsi="Arial"/>
          <w:sz w:val="17"/>
          <w:szCs w:val="17"/>
          <w:b w:val="1"/>
          <w:bCs w:val="1"/>
          <w:u w:val="single" w:color="auto"/>
          <w:color w:val="auto"/>
        </w:rPr>
        <w:t>[6,76]&gt;UVUE95QT3L[5UTP4J])2=.A%)14Q/D\;9/DM M*5=@2#[:6VM'S&gt;_-T/.9:%O0LA:[Z=N"4(M1MP&gt;!*.%17I2=*5I3A5LXWW@U</w:t>
      </w:r>
    </w:p>
    <w:p>
      <w:pPr>
        <w:spacing w:after="0" w:line="229" w:lineRule="auto"/>
        <w:rPr>
          <w:sz w:val="20"/>
          <w:szCs w:val="20"/>
          <w:color w:val="auto"/>
        </w:rPr>
      </w:pPr>
      <w:r>
        <w:rPr>
          <w:rFonts w:ascii="Arial" w:cs="Arial" w:eastAsia="Arial" w:hAnsi="Arial"/>
          <w:sz w:val="17"/>
          <w:szCs w:val="17"/>
          <w:b w:val="1"/>
          <w:bCs w:val="1"/>
          <w:u w:val="single" w:color="auto"/>
          <w:color w:val="auto"/>
        </w:rPr>
        <w:t>M3*;)VY'+9F4]:SUWN8W)MSDFYS6*KQ.3]&amp;*K6E:\U0W'/F,=Q&gt;R_&amp;Q;DK8W: M9?RW5V-.6B]D&gt;Q;86:D/) M6RC7'H6I[?</w:t>
      </w:r>
    </w:p>
    <w:p>
      <w:pPr>
        <w:spacing w:after="0"/>
        <w:rPr>
          <w:sz w:val="20"/>
          <w:szCs w:val="20"/>
          <w:color w:val="auto"/>
        </w:rPr>
      </w:pPr>
      <w:r>
        <w:rPr>
          <w:rFonts w:ascii="Arial" w:cs="Arial" w:eastAsia="Arial" w:hAnsi="Arial"/>
          <w:sz w:val="16"/>
          <w:szCs w:val="16"/>
          <w:b w:val="1"/>
          <w:bCs w:val="1"/>
          <w:u w:val="single" w:color="auto"/>
          <w:color w:val="auto"/>
        </w:rPr>
        <w:t>WCJ3V[F=JY3*0OPN*U=LQPW(2C!S6*24&lt;7FQ;Z$VDG%U9DUK(: M[M+(?Q_+;FS6:G9E#O;=YXK4SL.\G=5,333&lt;80E6B;I2J=:RA1TX/FF(&lt;&gt;;H=O\ NB@[</w:t>
      </w:r>
    </w:p>
    <w:p>
      <w:pPr>
        <w:spacing w:after="0" w:line="231" w:lineRule="auto"/>
        <w:rPr>
          <w:sz w:val="20"/>
          <w:szCs w:val="20"/>
          <w:color w:val="auto"/>
        </w:rPr>
      </w:pPr>
      <w:r>
        <w:rPr>
          <w:rFonts w:ascii="Arial" w:cs="Arial" w:eastAsia="Arial" w:hAnsi="Arial"/>
          <w:sz w:val="17"/>
          <w:szCs w:val="17"/>
          <w:b w:val="1"/>
          <w:bCs w:val="1"/>
          <w:u w:val="single" w:color="auto"/>
          <w:color w:val="auto"/>
        </w:rPr>
        <w:t>M"?R%E?=(U,UE'3OW#65/I!Q%:N':8;2U^,*3* M)2MA*FD/GXM5U#;&amp;N[9O9^.GY7(;ALWTHV[*PQNVVXIM02IP4FW7BL'"5'0]</w:t>
      </w:r>
    </w:p>
    <w:p>
      <w:pPr>
        <w:spacing w:after="0"/>
        <w:rPr>
          <w:sz w:val="20"/>
          <w:szCs w:val="20"/>
          <w:color w:val="auto"/>
        </w:rPr>
      </w:pPr>
      <w:r>
        <w:rPr>
          <w:rFonts w:ascii="Arial" w:cs="Arial" w:eastAsia="Arial" w:hAnsi="Arial"/>
          <w:sz w:val="16"/>
          <w:szCs w:val="16"/>
          <w:b w:val="1"/>
          <w:bCs w:val="1"/>
          <w:u w:val="single" w:color="auto"/>
          <w:color w:val="auto"/>
        </w:rPr>
        <w:t>M&gt;F9'&lt;6B;ALY*6&gt;S.=T&amp;]9;E2TJ0M)ZI4E1'H9'P&amp;0^H?":JUW5:.C6F MW?WEGB?-OB@E+1=*37#^(VN?^'=^4R'WD80Q7/[6L\DYCZSJ:L@&lt;67O=\'(4</w:t>
      </w:r>
    </w:p>
    <w:p>
      <w:pPr>
        <w:spacing w:after="0" w:line="231" w:lineRule="auto"/>
        <w:rPr>
          <w:sz w:val="20"/>
          <w:szCs w:val="20"/>
          <w:color w:val="auto"/>
        </w:rPr>
      </w:pPr>
      <w:r>
        <w:rPr>
          <w:rFonts w:ascii="Arial" w:cs="Arial" w:eastAsia="Arial" w:hAnsi="Arial"/>
          <w:sz w:val="17"/>
          <w:szCs w:val="17"/>
          <w:b w:val="1"/>
          <w:bCs w:val="1"/>
          <w:u w:val="single" w:color="auto"/>
          <w:color w:val="auto"/>
        </w:rPr>
        <w:t>M%K0E-)1L]:-N25Q157'5=/1-U5&amp;^JJCR:6II25K8=6@]4K41\]M#6M4L;GT. MFH7G;GFK5N2)I-&lt;4F;W=6D:;?VYK+EDK2G#+7+D9*"34K</w:t>
      </w:r>
    </w:p>
    <w:p>
      <w:pPr>
        <w:spacing w:after="0" w:line="228" w:lineRule="auto"/>
        <w:rPr>
          <w:sz w:val="20"/>
          <w:szCs w:val="20"/>
          <w:color w:val="auto"/>
        </w:rPr>
      </w:pPr>
      <w:r>
        <w:rPr>
          <w:rFonts w:ascii="Arial" w:cs="Arial" w:eastAsia="Arial" w:hAnsi="Arial"/>
          <w:sz w:val="17"/>
          <w:szCs w:val="17"/>
          <w:b w:val="1"/>
          <w:bCs w:val="1"/>
          <w:u w:val="single" w:color="auto"/>
          <w:color w:val="auto"/>
        </w:rPr>
        <w:t>M&lt;7.+32JG5&lt;:$,W&amp;$:UZHQ2.1;LW&amp;K6QAZKC+,N9L6CC&gt;_,(5=S5R] M$L4-,] V'KMFV];-(\\RKTM(.WC 3+CE"1DLGUQ\/&amp;5-:2D$&gt;A,$&gt;I:D8YCX9</w:t>
      </w:r>
    </w:p>
    <w:p>
      <w:pPr>
        <w:spacing w:after="0" w:line="1"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b w:val="1"/>
          <w:bCs w:val="1"/>
          <w:u w:val="single" w:color="auto"/>
          <w:color w:val="auto"/>
        </w:rPr>
        <w:t>MY/,9C&gt;6G2MP&gt;"RKDYNC\U=W./'PRDDO"=+\0\U8L;2U",YQQ7L$8)M+$\&lt;9&lt; M.ND4Y&lt;.HQ8W['KL/V7:ZZ_A"VZ8AUFQO.WSO%==C-4__ .BW^%/*MWX&lt;#X:+_P#%!CSN?K-R67+P#ZC\)U_]4T9J03E MQ2EOH69Z)0Q2J&lt;3J:%:;78N2AN;:V;T"ZUBRNH6+RJ^4)22N+U(W&gt;MU:1K=Y MYR&gt;W-RY76[46HYC(7K+I_P!9%-PX]LY6ET446^AEAL_8X+&amp;7JB&lt;$Q+S"F)*X M;[M"_P"5-U)H&gt;=J+ZH[TN2C-Y&amp;OUCE+"2%)3Z&lt;"B)DNL1*U&amp;ZT'4%J? Q7UNX MI5MV[%RTNE?LW;@_%B3=&gt;//A4TNMY!Z?\,=%MRC2Y*Y-5KTJ+2I MP?#H,]O6'WY?;-P;6\!VC&gt;\YC2(W$93&gt;M:];YMFMSG\RX7+D'ADHIP6&amp;+Z,7&gt;(:;'4$Q1Y#NO&lt;':#\G7\^,.:&gt;(1;U&gt;LN9?MV:OE^C^.:F+25 M*L+0X[3,L67UEL%UD$BK4\I"W&amp;V3;;4MY72=H:_NS[C:OZI:OQM6N\CCC;KW M59T?)_M.#ZXI5I)ISN&gt;&gt;9U/=&gt;B;7&gt;=NV-- NV97;G=R&lt;97&amp;N\\S$N:_9\5^E6 MC:35@]P&amp;#L%;?]V/J\['P];41;DD_E*7F[P2B0K9&gt;ZI5BKG&lt;D:-HFY=CY32\O"%UYF4I\7*;K*THRG)UDZM2I5T3</w:t>
      </w:r>
    </w:p>
    <w:p>
      <w:pPr>
        <w:sectPr>
          <w:pgSz w:w="11900" w:h="16918" w:orient="portrait"/>
          <w:cols w:equalWidth="0" w:num="1">
            <w:col w:w="11440"/>
          </w:cols>
          <w:pgMar w:left="220" w:top="118" w:right="239" w:bottom="0" w:gutter="0" w:footer="0" w:header="0"/>
        </w:sectPr>
      </w:pPr>
    </w:p>
    <w:bookmarkStart w:id="129" w:name="page130"/>
    <w:bookmarkEnd w:id="129"/>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M4DES+ZQ533V+ZWBZU3[J:).8MM-)0VI*9:U_T4\36-Y M^J6BR-)_6Z:&amp;K2782SWPFRWW=-_&lt;]2;N4XT35Q)NG^-'G7Q&amp;YMRCDOBAF&gt;_=</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M/O602MUZ6G"J7V4N721M\MW053O&amp;]7M8],_1U%Q1.5*NY95A#B%5T5%3,W9&lt; M?#]JV1&amp;XTS,U$15J+4T];S,CT47"5MDY2_':._L[*,EEY950BZ.DG&amp;-</w:t>
      </w:r>
    </w:p>
    <w:p>
      <w:pPr>
        <w:spacing w:after="0" w:line="231" w:lineRule="auto"/>
        <w:rPr>
          <w:sz w:val="20"/>
          <w:szCs w:val="20"/>
          <w:color w:val="auto"/>
        </w:rPr>
      </w:pPr>
      <w:r>
        <w:rPr>
          <w:rFonts w:ascii="Arial" w:cs="Arial" w:eastAsia="Arial" w:hAnsi="Arial"/>
          <w:sz w:val="17"/>
          <w:szCs w:val="17"/>
          <w:b w:val="1"/>
          <w:bCs w:val="1"/>
          <w:u w:val="single" w:color="auto"/>
          <w:color w:val="auto"/>
        </w:rPr>
        <w:t>QRH_T M5)5ZL7'J*;QS5B6ZMD9.,D[\L;/4'7RMQQMT0=^6+0TMQ3%N/*MNYGI24G:WLHJ1HWJ]HV;@@S)9I&lt;0CM-= M4]?</w:t>
      </w:r>
    </w:p>
    <w:p>
      <w:pPr>
        <w:spacing w:after="0" w:line="228" w:lineRule="auto"/>
        <w:rPr>
          <w:sz w:val="20"/>
          <w:szCs w:val="20"/>
          <w:color w:val="auto"/>
        </w:rPr>
      </w:pPr>
      <w:r>
        <w:rPr>
          <w:rFonts w:ascii="Arial" w:cs="Arial" w:eastAsia="Arial" w:hAnsi="Arial"/>
          <w:sz w:val="17"/>
          <w:szCs w:val="17"/>
          <w:b w:val="1"/>
          <w:bCs w:val="1"/>
          <w:u w:val="single" w:color="auto"/>
          <w:color w:val="auto"/>
        </w:rPr>
        <w:t>16]U'=&amp;MZ+LK96&gt;T.]&amp;.6E:E;N-PC-8H88P3Q)I&lt;8W.FO#K1I]**Q;B;&amp;]Z-Y M:@&lt;825^5EVHNV8F[6MF*F2JX!^'G**2G*AUJ5K*"L8&lt;;-5,;1(KF3)9+/0N&lt;</w:t>
      </w:r>
    </w:p>
    <w:p>
      <w:pPr>
        <w:spacing w:after="0" w:line="229" w:lineRule="auto"/>
        <w:rPr>
          <w:sz w:val="20"/>
          <w:szCs w:val="20"/>
          <w:color w:val="auto"/>
        </w:rPr>
      </w:pPr>
      <w:r>
        <w:rPr>
          <w:rFonts w:ascii="Arial" w:cs="Arial" w:eastAsia="Arial" w:hAnsi="Arial"/>
          <w:sz w:val="17"/>
          <w:szCs w:val="17"/>
          <w:b w:val="1"/>
          <w:bCs w:val="1"/>
          <w:u w:val="single" w:color="auto"/>
          <w:color w:val="auto"/>
        </w:rPr>
        <w:t>MU;6=VZWLZ[J6JZE9&gt;E3S*M*'=QC.;C26*+C%&gt;:FFGQYQEPISZ#2]'VMHV[;&gt; MGZ9D+RU2&amp;7=QS4Y2A&amp;,JQ:DI2;Q-2712DH\:\J'J[]?</w:t>
      </w:r>
    </w:p>
    <w:p>
      <w:pPr>
        <w:spacing w:after="0" w:line="229" w:lineRule="auto"/>
        <w:rPr>
          <w:sz w:val="20"/>
          <w:szCs w:val="20"/>
          <w:color w:val="auto"/>
        </w:rPr>
      </w:pPr>
      <w:r>
        <w:rPr>
          <w:rFonts w:ascii="Arial" w:cs="Arial" w:eastAsia="Arial" w:hAnsi="Arial"/>
          <w:sz w:val="17"/>
          <w:szCs w:val="17"/>
          <w:b w:val="1"/>
          <w:bCs w:val="1"/>
          <w:u w:val="single" w:color="auto"/>
          <w:color w:val="auto"/>
        </w:rPr>
        <w:t>P\&gt;L9UXOG/3Y]7\-C^[L_C*;&amp;I_&amp;=^&lt;./\1E^\O&amp;N$S_\ BP;R=2_]D&gt;-3 M[_\ DCAKD\/L[L:S_P +-</w:t>
      </w:r>
    </w:p>
    <w:p>
      <w:pPr>
        <w:spacing w:after="0" w:line="228" w:lineRule="auto"/>
        <w:rPr>
          <w:sz w:val="20"/>
          <w:szCs w:val="20"/>
          <w:color w:val="auto"/>
        </w:rPr>
      </w:pPr>
      <w:r>
        <w:rPr>
          <w:rFonts w:ascii="Arial" w:cs="Arial" w:eastAsia="Arial" w:hAnsi="Arial"/>
          <w:sz w:val="17"/>
          <w:szCs w:val="17"/>
          <w:b w:val="1"/>
          <w:bCs w:val="1"/>
          <w:u w:val="single" w:color="auto"/>
          <w:color w:val="auto"/>
        </w:rPr>
        <w:t>H\.'WN]XO/S'XC(J4I4EVUP1.X=$&gt;@7M&amp;S$8:7FLC;G%N$95GQ;I*473S)6^%&gt;GEQX\UL</w:t>
      </w:r>
    </w:p>
    <w:p>
      <w:pPr>
        <w:spacing w:after="0" w:line="229" w:lineRule="auto"/>
        <w:rPr>
          <w:sz w:val="20"/>
          <w:szCs w:val="20"/>
          <w:color w:val="auto"/>
        </w:rPr>
      </w:pPr>
      <w:r>
        <w:rPr>
          <w:rFonts w:ascii="Arial" w:cs="Arial" w:eastAsia="Arial" w:hAnsi="Arial"/>
          <w:sz w:val="17"/>
          <w:szCs w:val="17"/>
          <w:b w:val="1"/>
          <w:bCs w:val="1"/>
          <w:u w:val="single" w:color="auto"/>
          <w:color w:val="auto"/>
        </w:rPr>
        <w:t>M_:.@:NM;M:MEW/4LOG9P=)RC2%$E6*:YR4^-/'5&lt;,W=H&gt;/MJV-=QN?L?X L" M\(&gt;Z,80EO6S?%YR%RR5P6G)_&amp;!5#-'</w:t>
      </w:r>
    </w:p>
    <w:p>
      <w:pPr>
        <w:spacing w:after="0"/>
        <w:rPr>
          <w:sz w:val="20"/>
          <w:szCs w:val="20"/>
          <w:color w:val="auto"/>
        </w:rPr>
      </w:pPr>
      <w:r>
        <w:rPr>
          <w:rFonts w:ascii="Arial" w:cs="Arial" w:eastAsia="Arial" w:hAnsi="Arial"/>
          <w:sz w:val="16"/>
          <w:szCs w:val="16"/>
          <w:b w:val="1"/>
          <w:bCs w:val="1"/>
          <w:u w:val="single" w:color="auto"/>
          <w:color w:val="auto"/>
        </w:rPr>
        <w:t>1A2$S7O4\K&amp;R4&gt;XS4=HPRKM:-XDFI M)&amp;8XS=F?W1J.WM!S^NY^U/*YF$87)N3E;&gt;)J6!5DZ24DTZI.L7QYG%?4Z_O2*_]UR\_^1[3 MX^'NF/5\7..ZK=?_</w:t>
      </w:r>
    </w:p>
    <w:p>
      <w:pPr>
        <w:spacing w:after="0" w:line="231" w:lineRule="auto"/>
        <w:rPr>
          <w:sz w:val="20"/>
          <w:szCs w:val="20"/>
          <w:color w:val="auto"/>
        </w:rPr>
      </w:pPr>
      <w:r>
        <w:rPr>
          <w:rFonts w:ascii="Arial" w:cs="Arial" w:eastAsia="Arial" w:hAnsi="Arial"/>
          <w:sz w:val="17"/>
          <w:szCs w:val="17"/>
          <w:b w:val="1"/>
          <w:bCs w:val="1"/>
          <w:u w:val="single" w:color="auto"/>
          <w:color w:val="auto"/>
        </w:rPr>
        <w:t>.);_6N?AY#R_"SAMFY1.GWJ?ZL/$:&gt;KOU_#SZQDSXOG M/3_U+RR?R&lt;@;_P#]!^'KIYJTR-/L[/X&gt;,;%_UK?:_P#$9?KWC3U=RB_#UZQL</w:t>
      </w:r>
    </w:p>
    <w:p>
      <w:pPr>
        <w:spacing w:after="0" w:line="228" w:lineRule="auto"/>
        <w:rPr>
          <w:sz w:val="20"/>
          <w:szCs w:val="20"/>
          <w:color w:val="auto"/>
        </w:rPr>
      </w:pPr>
      <w:r>
        <w:rPr>
          <w:rFonts w:ascii="Arial" w:cs="Arial" w:eastAsia="Arial" w:hAnsi="Arial"/>
          <w:sz w:val="17"/>
          <w:szCs w:val="17"/>
          <w:b w:val="1"/>
          <w:bCs w:val="1"/>
          <w:u w:val="single" w:color="auto"/>
          <w:color w:val="auto"/>
        </w:rPr>
        <w:t>MB,C5\YZ&gt;4:2,M22=YY1(C,NX:D&amp;1'RF1]P3\0.&amp;A?#Y_^&amp;Q_=V!L7_6M^.UDSY!\NYIGTGQ'4/L)M2UKDSWZQ%RX[:M^?72;G;C12KFH&gt;.E5TR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M'KTR8;J&amp;#KJ9\V$.&amp;A)J).A*,B,]&gt;,?6-\YK-Y?0?A\K&amp;8N03TV-&lt;,G%/]G9 MZFORGS#9&gt;7R^8UG?7WC+PFUJ,J8HJ7Y]WKK3D;++V_#X&gt;];SB:(Q]'4-J069</w:t>
      </w:r>
    </w:p>
    <w:p>
      <w:pPr>
        <w:spacing w:after="0" w:line="231" w:lineRule="auto"/>
        <w:rPr>
          <w:sz w:val="20"/>
          <w:szCs w:val="20"/>
          <w:color w:val="auto"/>
        </w:rPr>
      </w:pPr>
      <w:r>
        <w:rPr>
          <w:rFonts w:ascii="Arial" w:cs="Arial" w:eastAsia="Arial" w:hAnsi="Arial"/>
          <w:sz w:val="17"/>
          <w:szCs w:val="17"/>
          <w:b w:val="1"/>
          <w:bCs w:val="1"/>
          <w:u w:val="single" w:color="auto"/>
          <w:color w:val="auto"/>
        </w:rPr>
        <w:t>M&lt;*34E&gt;D1!T=/#0\C(,0V5'S=.@CVZ&gt;B74U$CCV/J7%&amp;CKKJ36XHS6LU'FLYF M[J_PFU6[GKKNW\GG8QMRD\4DG*RDJNKI2]-+HI1+@C%BE)</w:t>
      </w:r>
    </w:p>
    <w:p>
      <w:pPr>
        <w:spacing w:after="0" w:line="228" w:lineRule="auto"/>
        <w:rPr>
          <w:sz w:val="20"/>
          <w:szCs w:val="20"/>
          <w:color w:val="auto"/>
        </w:rPr>
      </w:pPr>
      <w:r>
        <w:rPr>
          <w:rFonts w:ascii="Arial" w:cs="Arial" w:eastAsia="Arial" w:hAnsi="Arial"/>
          <w:sz w:val="17"/>
          <w:szCs w:val="17"/>
          <w:b w:val="1"/>
          <w:bCs w:val="1"/>
          <w:u w:val="single" w:color="auto"/>
          <w:color w:val="auto"/>
        </w:rPr>
        <w:t>&lt;2WU]2-'7T5M-1W3K6B[)V7GM#NQ MCEY6W:NMPC-8X4C%5E%I&lt;87.'-]K7#6:?MO1]7WAN_):S9E*_"Y&amp;Y;2DXO#- MN4G1-</w:t>
      </w:r>
    </w:p>
    <w:p>
      <w:pPr>
        <w:spacing w:after="0" w:line="229" w:lineRule="auto"/>
        <w:rPr>
          <w:sz w:val="20"/>
          <w:szCs w:val="20"/>
          <w:color w:val="auto"/>
        </w:rPr>
      </w:pPr>
      <w:r>
        <w:rPr>
          <w:rFonts w:ascii="Arial" w:cs="Arial" w:eastAsia="Arial" w:hAnsi="Arial"/>
          <w:sz w:val="17"/>
          <w:szCs w:val="17"/>
          <w:b w:val="1"/>
          <w:bCs w:val="1"/>
          <w:u w:val="single" w:color="auto"/>
          <w:color w:val="auto"/>
        </w:rPr>
        <w:t>57G6^/S5H\EK:SNW6]G7=2U74;+TJ&gt;95M6 M^[C&amp;D;5T;=L-/TS(75J&lt;,L[KGCE*$(NL6I)R M;4J-</w:t>
      </w:r>
    </w:p>
    <w:p>
      <w:pPr>
        <w:spacing w:after="0" w:line="229" w:lineRule="auto"/>
        <w:rPr>
          <w:sz w:val="20"/>
          <w:szCs w:val="20"/>
          <w:color w:val="auto"/>
        </w:rPr>
      </w:pPr>
      <w:r>
        <w:rPr>
          <w:rFonts w:ascii="Arial" w:cs="Arial" w:eastAsia="Arial" w:hAnsi="Arial"/>
          <w:sz w:val="17"/>
          <w:szCs w:val="17"/>
          <w:b w:val="1"/>
          <w:bCs w:val="1"/>
          <w:u w:val="single" w:color="auto"/>
          <w:color w:val="auto"/>
        </w:rPr>
        <w:t>=%/.CQZL1]T=Z+VK9YWYP[+BHF+W-;=X.Z+60E1H\\NF;F:#'4JJD-M2 M&gt;M7H=N*Y) ED:7&amp;$MFK3A)1]9MC)K=&amp;A[&amp;O36.</w:t>
      </w:r>
    </w:p>
    <w:p>
      <w:pPr>
        <w:spacing w:after="0" w:line="228" w:lineRule="auto"/>
        <w:rPr>
          <w:sz w:val="20"/>
          <w:szCs w:val="20"/>
          <w:color w:val="auto"/>
        </w:rPr>
      </w:pPr>
      <w:r>
        <w:rPr>
          <w:rFonts w:ascii="Arial" w:cs="Arial" w:eastAsia="Arial" w:hAnsi="Arial"/>
          <w:sz w:val="17"/>
          <w:szCs w:val="17"/>
          <w:b w:val="1"/>
          <w:bCs w:val="1"/>
          <w:u w:val="single" w:color="auto"/>
          <w:color w:val="auto"/>
        </w:rPr>
        <w:t>[INH2A/LA&amp;+NQKV4A9C3D_ ME2YC&lt;&gt;;&gt;W-9WG:C+!:U#(1G#MG*2M2?A6.[+K7R5S#R5A6OL+U4\SBFAH5MS M%N8+C;BGJ-ME1K:F6)&amp;/R3?</w:t>
      </w:r>
    </w:p>
    <w:p>
      <w:pPr>
        <w:spacing w:after="0" w:line="229" w:lineRule="auto"/>
        <w:rPr>
          <w:sz w:val="20"/>
          <w:szCs w:val="20"/>
          <w:color w:val="auto"/>
        </w:rPr>
      </w:pPr>
      <w:r>
        <w:rPr>
          <w:rFonts w:ascii="Arial" w:cs="Arial" w:eastAsia="Arial" w:hAnsi="Arial"/>
          <w:sz w:val="17"/>
          <w:szCs w:val="17"/>
          <w:b w:val="1"/>
          <w:bCs w:val="1"/>
          <w:u w:val="single" w:color="auto"/>
          <w:color w:val="auto"/>
        </w:rPr>
        <w:t>FB$]59DW)'7K-1D1Z%UE$.0TW6K&gt;&gt;^*%G59S_ M &amp;5S.N$7^CA=FU3Q*)U.H:3/)_#:]IMN%+MO)QE)=4JJ[=OJ&gt;3?]UTE</w:t>
      </w:r>
    </w:p>
    <w:p>
      <w:pPr>
        <w:spacing w:after="0" w:line="229" w:lineRule="auto"/>
        <w:rPr>
          <w:sz w:val="20"/>
          <w:szCs w:val="20"/>
          <w:color w:val="auto"/>
        </w:rPr>
      </w:pPr>
      <w:r>
        <w:rPr>
          <w:rFonts w:ascii="Arial" w:cs="Arial" w:eastAsia="Arial" w:hAnsi="Arial"/>
          <w:sz w:val="17"/>
          <w:szCs w:val="17"/>
          <w:b w:val="1"/>
          <w:bCs w:val="1"/>
          <w:u w:val="single" w:color="auto"/>
          <w:color w:val="auto"/>
        </w:rPr>
        <w:t>Q&lt;,-$)9OZJ&gt;8HIGS2A9H)^.K&gt;NV@DI: M)!I)*&gt;KH6VW#OK&gt;NG;DU/2,MF(I1S,HVH]U;;&lt;)2K:57&amp;K;BX\:NO#F:[0]E</w:t>
      </w:r>
    </w:p>
    <w:p>
      <w:pPr>
        <w:spacing w:after="0" w:line="228" w:lineRule="auto"/>
        <w:rPr>
          <w:sz w:val="20"/>
          <w:szCs w:val="20"/>
          <w:color w:val="auto"/>
        </w:rPr>
      </w:pPr>
      <w:r>
        <w:rPr>
          <w:rFonts w:ascii="Arial" w:cs="Arial" w:eastAsia="Arial" w:hAnsi="Arial"/>
          <w:sz w:val="17"/>
          <w:szCs w:val="17"/>
          <w:b w:val="1"/>
          <w:bCs w:val="1"/>
          <w:u w:val="single" w:color="auto"/>
          <w:color w:val="auto"/>
        </w:rPr>
        <w:t>M[/SV@:=JV8RTFY9=2N2[R:2E%4N.BE14E&amp;55PHNCDEPW(BL-U?JC\O3&gt;"+&amp;N M['V/+ANFVI*AAKTDWI65J)&amp;FS1CB#DY-JN</w:t>
      </w:r>
    </w:p>
    <w:p>
      <w:pPr>
        <w:spacing w:after="0" w:line="229" w:lineRule="auto"/>
        <w:rPr>
          <w:sz w:val="20"/>
          <w:szCs w:val="20"/>
          <w:color w:val="auto"/>
        </w:rPr>
      </w:pPr>
      <w:r>
        <w:rPr>
          <w:rFonts w:ascii="Arial" w:cs="Arial" w:eastAsia="Arial" w:hAnsi="Arial"/>
          <w:sz w:val="17"/>
          <w:szCs w:val="17"/>
          <w:b w:val="1"/>
          <w:bCs w:val="1"/>
          <w:u w:val="single" w:color="auto"/>
          <w:color w:val="auto"/>
        </w:rPr>
        <w:t>MS3_XO;^*VE6=;3@^BM*F?%W?[.*YR+Z$LT6O ?%@FI\/2.$RW_ M !"R_.BUJ/\ WE'9YFGN%F%3A_")?]V,"+D:==]2'3H;;&lt;&lt;5\6K5&lt;-+:369- M,</w:t>
      </w:r>
    </w:p>
    <w:p>
      <w:pPr>
        <w:spacing w:after="0" w:line="229" w:lineRule="auto"/>
        <w:rPr>
          <w:sz w:val="20"/>
          <w:szCs w:val="20"/>
          <w:color w:val="auto"/>
        </w:rPr>
      </w:pPr>
      <w:r>
        <w:rPr>
          <w:rFonts w:ascii="Arial" w:cs="Arial" w:eastAsia="Arial" w:hAnsi="Arial"/>
          <w:sz w:val="17"/>
          <w:szCs w:val="17"/>
          <w:b w:val="1"/>
          <w:bCs w:val="1"/>
          <w:u w:val="single" w:color="auto"/>
          <w:color w:val="auto"/>
        </w:rPr>
        <w:t>[D(AUUQ1)(U$AIE!K4?$E*3,ST(S'=V'%?&amp;B5?^MG_W225/#R7A.,OU?PBB MJ.O=P_[U&amp;OXU%U^S9R'HI#SEM5+52D[B%-OQ% R MZGK)54U\U7-</w:t>
      </w:r>
    </w:p>
    <w:p>
      <w:pPr>
        <w:spacing w:after="0"/>
        <w:rPr>
          <w:sz w:val="20"/>
          <w:szCs w:val="20"/>
          <w:color w:val="auto"/>
        </w:rPr>
      </w:pPr>
      <w:r>
        <w:rPr>
          <w:rFonts w:ascii="Arial" w:cs="Arial" w:eastAsia="Arial" w:hAnsi="Arial"/>
          <w:sz w:val="16"/>
          <w:szCs w:val="16"/>
          <w:b w:val="1"/>
          <w:bCs w:val="1"/>
          <w:u w:val="single" w:color="auto"/>
          <w:color w:val="auto"/>
        </w:rPr>
        <w:t>4J$\?;+ZIZ:&amp;.+RF7OS^(]FS&amp;R^]6KXFJ&lt;4HW\4FUU**_6G#Q=298D+: MR+4(J':%+%N77?5542A*DFGZ9R/-RW[=KS)TEMJ0:&gt;L2TFG4?4\AFK]G&gt;'Q(</w:t>
      </w:r>
    </w:p>
    <w:p>
      <w:pPr>
        <w:spacing w:after="0" w:line="231" w:lineRule="auto"/>
        <w:rPr>
          <w:sz w:val="20"/>
          <w:szCs w:val="20"/>
          <w:color w:val="auto"/>
        </w:rPr>
      </w:pPr>
      <w:r>
        <w:rPr>
          <w:rFonts w:ascii="Arial" w:cs="Arial" w:eastAsia="Arial" w:hAnsi="Arial"/>
          <w:sz w:val="17"/>
          <w:szCs w:val="17"/>
          <w:b w:val="1"/>
          <w:bCs w:val="1"/>
          <w:u w:val="single" w:color="auto"/>
          <w:color w:val="auto"/>
        </w:rPr>
        <w:t>MMY%K^*/*J=KA7S[=M)&lt;*.M)SAPZ&gt;7$^;9[+6+NU/A]*9?+%X8QO*7C(VO@XRDA8/(ET*F9R1G92EC MV*.)*ON.DI'GZ&gt;F&lt;=JW"-</w:t>
      </w:r>
    </w:p>
    <w:p>
      <w:pPr>
        <w:spacing w:after="0" w:line="228" w:lineRule="auto"/>
        <w:rPr>
          <w:sz w:val="20"/>
          <w:szCs w:val="20"/>
          <w:color w:val="auto"/>
        </w:rPr>
      </w:pPr>
      <w:r>
        <w:rPr>
          <w:rFonts w:ascii="Arial" w:cs="Arial" w:eastAsia="Arial" w:hAnsi="Arial"/>
          <w:sz w:val="17"/>
          <w:szCs w:val="17"/>
          <w:b w:val="1"/>
          <w:bCs w:val="1"/>
          <w:u w:val="single" w:color="auto"/>
          <w:color w:val="auto"/>
        </w:rPr>
        <w:t>U/]#4SAEJHB(^0V_O/?NXM4M:5E-3M0N2C*3E*U M##%1BW634&amp;TF_-_VI(ZC7MH;(T#3;NI9K3[L[:E%*,;L\4G)I459IYNK3)/'W&gt;</w:t>
      </w:r>
    </w:p>
    <w:p>
      <w:pPr>
        <w:spacing w:after="0" w:line="229" w:lineRule="auto"/>
        <w:rPr>
          <w:sz w:val="20"/>
          <w:szCs w:val="20"/>
          <w:color w:val="auto"/>
        </w:rPr>
      </w:pPr>
      <w:r>
        <w:rPr>
          <w:rFonts w:ascii="Arial" w:cs="Arial" w:eastAsia="Arial" w:hAnsi="Arial"/>
          <w:sz w:val="17"/>
          <w:szCs w:val="17"/>
          <w:b w:val="1"/>
          <w:bCs w:val="1"/>
          <w:u w:val="single" w:color="auto"/>
          <w:color w:val="auto"/>
        </w:rPr>
        <w:t>M!QP5N.DL49)8J&lt;.&gt;UU6WMG4914 MG36330Z*)Z8AL[3H;=O;9^]9AY"6.JA*KK.VEAG6 MJE*D7^:F\54F4W-_!M+VW#*ZOE+U_28]W:\Q)SC14A-</w:t>
      </w:r>
    </w:p>
    <w:p>
      <w:pPr>
        <w:spacing w:after="0" w:line="229" w:lineRule="auto"/>
        <w:rPr>
          <w:sz w:val="20"/>
          <w:szCs w:val="20"/>
          <w:color w:val="auto"/>
        </w:rPr>
      </w:pPr>
      <w:r>
        <w:rPr>
          <w:rFonts w:ascii="Arial" w:cs="Arial" w:eastAsia="Arial" w:hAnsi="Arial"/>
          <w:sz w:val="17"/>
          <w:szCs w:val="17"/>
          <w:b w:val="1"/>
          <w:bCs w:val="1"/>
          <w:u w:val="single" w:color="auto"/>
          <w:color w:val="auto"/>
        </w:rPr>
        <w:t>O%"E'%&gt;V_;E%$T;% M'5VQ#/,JJ2I:ATDNH82XGMB0KZ/M7&lt;&gt;Z-</w:t>
      </w:r>
    </w:p>
    <w:p>
      <w:pPr>
        <w:spacing w:after="0"/>
        <w:rPr>
          <w:sz w:val="20"/>
          <w:szCs w:val="20"/>
          <w:color w:val="auto"/>
        </w:rPr>
      </w:pPr>
      <w:r>
        <w:rPr>
          <w:rFonts w:ascii="Arial" w:cs="Arial" w:eastAsia="Arial" w:hAnsi="Arial"/>
          <w:sz w:val="16"/>
          <w:szCs w:val="16"/>
          <w:b w:val="1"/>
          <w:bCs w:val="1"/>
          <w:u w:val="single" w:color="auto"/>
          <w:color w:val="auto"/>
        </w:rPr>
        <w:t>8W/8M9_3;64R%CO)YG!:=JM+NY/4;F:SM[NX9?'&lt;5S"G$L0Y.E;KB$8N+&amp;UPE46A6PL?7O7/9%F5=L%2UC MDK#W+1+BG"EJA3C;24N&amp;M*#2\22,E?</w:t>
      </w:r>
    </w:p>
    <w:p>
      <w:pPr>
        <w:spacing w:after="0" w:line="231" w:lineRule="auto"/>
        <w:rPr>
          <w:sz w:val="20"/>
          <w:szCs w:val="20"/>
          <w:color w:val="auto"/>
        </w:rPr>
      </w:pPr>
      <w:r>
        <w:rPr>
          <w:rFonts w:ascii="Arial" w:cs="Arial" w:eastAsia="Arial" w:hAnsi="Arial"/>
          <w:sz w:val="17"/>
          <w:szCs w:val="17"/>
          <w:b w:val="1"/>
          <w:bCs w:val="1"/>
          <w:u w:val="single" w:color="auto"/>
          <w:color w:val="auto"/>
        </w:rPr>
        <w:t>+\ENK-Z-K^LZMIUJU.69[Z/[12:4+E MQ3JJ2@ZJBI7ASK$^CYS;66U?1=(TO4+ER,JCJ*=8^+]R0]T4?F%5*QTIG&gt;LRI1)ZJC):=3H&gt;L9K0-</w:t>
      </w:r>
    </w:p>
    <w:p>
      <w:pPr>
        <w:spacing w:after="0" w:line="228" w:lineRule="auto"/>
        <w:rPr>
          <w:sz w:val="20"/>
          <w:szCs w:val="20"/>
          <w:color w:val="auto"/>
        </w:rPr>
      </w:pPr>
      <w:r>
        <w:rPr>
          <w:rFonts w:ascii="Arial" w:cs="Arial" w:eastAsia="Arial" w:hAnsi="Arial"/>
          <w:sz w:val="17"/>
          <w:szCs w:val="17"/>
          <w:b w:val="1"/>
          <w:bCs w:val="1"/>
          <w:u w:val="single" w:color="auto"/>
          <w:color w:val="auto"/>
        </w:rPr>
        <w:t>5RFKY.$)9FSBHIJ3B\4)0=5&amp;47P4G2C7&amp; MG50VFLZ3EM=547$\FH[;TW5='L:+ MG%-Y6VH*+32FG".%2K2F*E4_-IQ?</w:t>
      </w:r>
    </w:p>
    <w:p>
      <w:pPr>
        <w:spacing w:after="0" w:line="229" w:lineRule="auto"/>
        <w:rPr>
          <w:sz w:val="20"/>
          <w:szCs w:val="20"/>
          <w:color w:val="auto"/>
        </w:rPr>
      </w:pPr>
      <w:r>
        <w:rPr>
          <w:rFonts w:ascii="Arial" w:cs="Arial" w:eastAsia="Arial" w:hAnsi="Arial"/>
          <w:sz w:val="17"/>
          <w:szCs w:val="17"/>
          <w:b w:val="1"/>
          <w:bCs w:val="1"/>
          <w:u w:val="single" w:color="auto"/>
          <w:color w:val="auto"/>
        </w:rPr>
        <w:t>Y/@/!SH&gt;2^Y9?,W[L,3EBNR4I&lt;4E2J4514X*AM6XS M;=8^YRTK:LV_96ZXF,M6^X;(4?46C71%!7O34'&amp;3D524M8[,P&lt;_3.1;E//O*</w:t>
      </w:r>
    </w:p>
    <w:p>
      <w:pPr>
        <w:spacing w:after="0" w:line="229" w:lineRule="auto"/>
        <w:rPr>
          <w:sz w:val="20"/>
          <w:szCs w:val="20"/>
          <w:color w:val="auto"/>
        </w:rPr>
      </w:pPr>
      <w:r>
        <w:rPr>
          <w:rFonts w:ascii="Arial" w:cs="Arial" w:eastAsia="Arial" w:hAnsi="Arial"/>
          <w:sz w:val="17"/>
          <w:szCs w:val="17"/>
          <w:b w:val="1"/>
          <w:bCs w:val="1"/>
          <w:u w:val="single" w:color="auto"/>
          <w:color w:val="auto"/>
        </w:rPr>
        <w:t>M&lt;;0TVZ:TH,G$D2B5EV]N'.[:S&gt;9SF1M6IW+MB5IJXI-892C)M890::&lt;53BUS MJF8M&gt;T#)[ARN7RF=NW8VK=Z-Q8'%/%%223Q1DJ4DZ\*UIQ-</w:t>
      </w:r>
    </w:p>
    <w:p>
      <w:pPr>
        <w:spacing w:after="0" w:line="228" w:lineRule="auto"/>
        <w:rPr>
          <w:sz w:val="20"/>
          <w:szCs w:val="20"/>
          <w:color w:val="auto"/>
        </w:rPr>
      </w:pPr>
      <w:r>
        <w:rPr>
          <w:rFonts w:ascii="Arial" w:cs="Arial" w:eastAsia="Arial" w:hAnsi="Arial"/>
          <w:sz w:val="17"/>
          <w:szCs w:val="17"/>
          <w:b w:val="1"/>
          <w:bCs w:val="1"/>
          <w:u w:val="single" w:color="auto"/>
          <w:color w:val="auto"/>
        </w:rPr>
        <w:t>DW1;3L:;M;5MV MT\D2%VP]+:]PG&lt;47)V77PT=,)J'(ZKC:BA&gt;&gt;G8"XZ-&lt;;5-U27'$$PEPW6&amp;S) MPDDI*L^V=T:CM3-</w:t>
      </w:r>
    </w:p>
    <w:p>
      <w:pPr>
        <w:spacing w:after="0" w:line="229" w:lineRule="auto"/>
        <w:rPr>
          <w:sz w:val="20"/>
          <w:szCs w:val="20"/>
          <w:color w:val="auto"/>
        </w:rPr>
      </w:pPr>
      <w:r>
        <w:rPr>
          <w:rFonts w:ascii="Arial" w:cs="Arial" w:eastAsia="Arial" w:hAnsi="Arial"/>
          <w:sz w:val="17"/>
          <w:szCs w:val="17"/>
          <w:b w:val="1"/>
          <w:bCs w:val="1"/>
          <w:u w:val="single" w:color="auto"/>
          <w:color w:val="auto"/>
        </w:rPr>
        <w:t>9C-:=;M3G=MX)*XI.-,2DG2,X/$J43K2C?#E3%N+;6G[G MRUC+9^=R,;&lt;\47!Q4N337G1DJ/IX="XDS=&amp; M2I1]5&gt;TW?&lt;'MOQAN9LVFLS)E#</w:t>
      </w:r>
    </w:p>
    <w:p>
      <w:pPr>
        <w:spacing w:after="0" w:line="229" w:lineRule="auto"/>
        <w:rPr>
          <w:sz w:val="20"/>
          <w:szCs w:val="20"/>
          <w:color w:val="auto"/>
        </w:rPr>
      </w:pPr>
      <w:r>
        <w:rPr>
          <w:rFonts w:ascii="Arial" w:cs="Arial" w:eastAsia="Arial" w:hAnsi="Arial"/>
          <w:sz w:val="17"/>
          <w:szCs w:val="17"/>
          <w:b w:val="1"/>
          <w:bCs w:val="1"/>
          <w:u w:val="single" w:color="auto"/>
          <w:color w:val="auto"/>
        </w:rPr>
        <w:t>(JIXR49FH"=@*\HFY+;EFD+9\^AI)3%4TTM MZG&lt;4VXV\R\PLM%&amp;CKH0I.'0-PZEMO.2SFG7(XI1&lt;91DL4)1;K22X@Z?N#*QRF?</w:t>
      </w:r>
    </w:p>
    <w:p>
      <w:pPr>
        <w:spacing w:after="0" w:line="228" w:lineRule="auto"/>
        <w:rPr>
          <w:sz w:val="20"/>
          <w:szCs w:val="20"/>
          <w:color w:val="auto"/>
        </w:rPr>
      </w:pPr>
      <w:r>
        <w:rPr>
          <w:rFonts w:ascii="Arial" w:cs="Arial" w:eastAsia="Arial" w:hAnsi="Arial"/>
          <w:sz w:val="17"/>
          <w:szCs w:val="17"/>
          <w:b w:val="1"/>
          <w:bCs w:val="1"/>
          <w:u w:val="single" w:color="auto"/>
          <w:color w:val="auto"/>
        </w:rPr>
        <w:t>C+#&amp;:E&amp;47AG&amp;2Z4Z/H;3337C2:QLD/5F[&gt;YRRIFU;GGLN MW?&lt;$P_#N_A6NV^VKARA$4\'4JJJ",@9F2A'X2(B^NXHG66HTB&gt;(TFLU*;:4C MH[?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Q&amp;UZSG;.:RUC*6LO!27&lt;0M8+,G-4;E%24I2X)IN?!UIS=&gt;?G\/M$O9.[E MLQ?S5V_)Q_;3N*5Y*+JHQDXN,8]:4./2^"I&gt;.Y=HUBWA+[;9^Y;TRC-SNV&amp;K M?</w:t>
      </w:r>
    </w:p>
    <w:p>
      <w:pPr>
        <w:spacing w:after="0" w:line="231" w:lineRule="auto"/>
        <w:rPr>
          <w:sz w:val="20"/>
          <w:szCs w:val="20"/>
          <w:color w:val="auto"/>
        </w:rPr>
      </w:pPr>
      <w:r>
        <w:rPr>
          <w:rFonts w:ascii="Arial" w:cs="Arial" w:eastAsia="Arial" w:hAnsi="Arial"/>
          <w:sz w:val="17"/>
          <w:szCs w:val="17"/>
          <w:b w:val="1"/>
          <w:bCs w:val="1"/>
          <w:u w:val="single" w:color="auto"/>
          <w:color w:val="auto"/>
        </w:rPr>
        <w:t>D;/FI6XXF3E;PD:MRUWJR0R1(R-N559&lt;%=5OVFPXX[2KCUK6ZZ9G]:3HU3D^*=' MQ5.-;*S'JUNIB\F\TQM_IHM;AKW-KXC:</w:t>
      </w:r>
    </w:p>
    <w:p>
      <w:pPr>
        <w:spacing w:after="0" w:line="228" w:lineRule="auto"/>
        <w:rPr>
          <w:sz w:val="20"/>
          <w:szCs w:val="20"/>
          <w:color w:val="auto"/>
        </w:rPr>
      </w:pPr>
      <w:r>
        <w:rPr>
          <w:rFonts w:ascii="Arial" w:cs="Arial" w:eastAsia="Arial" w:hAnsi="Arial"/>
          <w:sz w:val="17"/>
          <w:szCs w:val="17"/>
          <w:b w:val="1"/>
          <w:bCs w:val="1"/>
          <w:u w:val="single" w:color="auto"/>
          <w:color w:val="auto"/>
        </w:rPr>
        <w:t>[:OYB;L92&gt;2N6N[^[NU_[O&amp;+YI6XRC MSJU)RDZK@^"5-1=V!HMRQ9C',9N&amp;4J43=R49ELGQG@^!NN[,F9DN^=N9-]W741,13VG6VX[=TXPY3T</w:t>
      </w:r>
    </w:p>
    <w:p>
      <w:pPr>
        <w:spacing w:after="0" w:line="229" w:lineRule="auto"/>
        <w:rPr>
          <w:sz w:val="20"/>
          <w:szCs w:val="20"/>
          <w:color w:val="auto"/>
        </w:rPr>
      </w:pPr>
      <w:r>
        <w:rPr>
          <w:rFonts w:ascii="Arial" w:cs="Arial" w:eastAsia="Arial" w:hAnsi="Arial"/>
          <w:sz w:val="17"/>
          <w:szCs w:val="17"/>
          <w:b w:val="1"/>
          <w:bCs w:val="1"/>
          <w:u w:val="single" w:color="auto"/>
          <w:color w:val="auto"/>
        </w:rPr>
        <w:t>M$&lt;3%':56I:U8A8R&lt;[4+.7MQAW&lt;%* M7&gt;*?=Q?&amp;57.#+\UTYK,Z)I&gt;3W9M+3]'OSO9R%V=V_.4^\G2.!QQR7! M44))*D4JITJ^/9?GK9=A_Y&amp;)4HT4%9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M6.1\K0UC;3;BVT..4RGT-.*0EPDZ$7S?0]X:OH.7NY"U"S?TZEZUF;6=NRO6-0A'"KMF&gt;"&gt;'CP;I)/II55HZ5.58!VL M8JVY-W#4V0S&lt;$U=5WN4[MVW_ 'U-</w:t>
      </w:r>
    </w:p>
    <w:p>
      <w:pPr>
        <w:spacing w:after="0" w:line="231" w:lineRule="auto"/>
        <w:rPr>
          <w:sz w:val="20"/>
          <w:szCs w:val="20"/>
          <w:color w:val="auto"/>
        </w:rPr>
      </w:pPr>
      <w:r>
        <w:rPr>
          <w:rFonts w:ascii="Arial" w:cs="Arial" w:eastAsia="Arial" w:hAnsi="Arial"/>
          <w:sz w:val="17"/>
          <w:szCs w:val="17"/>
          <w:b w:val="1"/>
          <w:bCs w:val="1"/>
          <w:u w:val="single" w:color="auto"/>
          <w:color w:val="auto"/>
        </w:rPr>
        <w:t>NW/?%Q^:),J9J1FG6:9M%,TI1K[*G98; M6X?662E$DT^?7MSZIN)Y&gt;.==N&amp;5M5[NU;C@MPKSI&amp;K=&gt;UMM+@N!Z-%VWIN@J</w:t>
      </w:r>
    </w:p>
    <w:p>
      <w:pPr>
        <w:spacing w:after="0" w:line="228" w:lineRule="auto"/>
        <w:rPr>
          <w:sz w:val="20"/>
          <w:szCs w:val="20"/>
          <w:color w:val="auto"/>
        </w:rPr>
      </w:pPr>
      <w:r>
        <w:rPr>
          <w:rFonts w:ascii="Arial" w:cs="Arial" w:eastAsia="Arial" w:hAnsi="Arial"/>
          <w:sz w:val="17"/>
          <w:szCs w:val="17"/>
          <w:b w:val="1"/>
          <w:bCs w:val="1"/>
          <w:u w:val="single" w:color="auto"/>
          <w:color w:val="auto"/>
        </w:rPr>
        <w:t>M_+)J&lt;\S=:QW;DL=R5%PJZ)4[$E7Y"9AG;=8^#;MS3&gt;5IRMUR$IG:^ZO(5W,7</w:t>
      </w:r>
    </w:p>
    <w:p>
      <w:pPr>
        <w:spacing w:after="0" w:line="229" w:lineRule="auto"/>
        <w:rPr>
          <w:sz w:val="20"/>
          <w:szCs w:val="20"/>
          <w:color w:val="auto"/>
        </w:rPr>
      </w:pPr>
      <w:r>
        <w:rPr>
          <w:rFonts w:ascii="Arial" w:cs="Arial" w:eastAsia="Arial" w:hAnsi="Arial"/>
          <w:sz w:val="17"/>
          <w:szCs w:val="17"/>
          <w:b w:val="1"/>
          <w:bCs w:val="1"/>
          <w:u w:val="single" w:color="auto"/>
          <w:color w:val="auto"/>
        </w:rPr>
        <w:t>M#6P]501TU6R4]*.TUMM1D'$U%'%IJ+A&gt;2E%4[6.DVALC&lt;,R4:L&gt;L;ASNMY71 MLIFK5J-O(V%:@X*2;BE%5G64DY4BN*45Q?"G</w:t>
      </w:r>
    </w:p>
    <w:p>
      <w:pPr>
        <w:spacing w:after="0" w:line="229" w:lineRule="auto"/>
        <w:rPr>
          <w:sz w:val="20"/>
          <w:szCs w:val="20"/>
          <w:color w:val="auto"/>
        </w:rPr>
      </w:pPr>
      <w:r>
        <w:rPr>
          <w:rFonts w:ascii="Arial" w:cs="Arial" w:eastAsia="Arial" w:hAnsi="Arial"/>
          <w:sz w:val="17"/>
          <w:szCs w:val="17"/>
          <w:b w:val="1"/>
          <w:bCs w:val="1"/>
          <w:u w:val="single" w:color="auto"/>
          <w:color w:val="auto"/>
        </w:rPr>
        <w:t>R:5H.3T?,ZMFLKTMPF2]RD;*W6]?65+6US4-?A&amp;YZCE;KRL14UT0NT&amp;(6D&gt;M9YJJC</w:t>
      </w:r>
    </w:p>
    <w:p>
      <w:pPr>
        <w:spacing w:after="0" w:line="228" w:lineRule="auto"/>
        <w:rPr>
          <w:sz w:val="20"/>
          <w:szCs w:val="20"/>
          <w:color w:val="auto"/>
        </w:rPr>
      </w:pPr>
      <w:r>
        <w:rPr>
          <w:rFonts w:ascii="Arial" w:cs="Arial" w:eastAsia="Arial" w:hAnsi="Arial"/>
          <w:sz w:val="17"/>
          <w:szCs w:val="17"/>
          <w:b w:val="1"/>
          <w:bCs w:val="1"/>
          <w:u w:val="single" w:color="auto"/>
          <w:color w:val="auto"/>
        </w:rPr>
        <w:t>MZ!J"9FFI0U6E3$:W)!UDR&lt;=_&amp;BU1U(O;ASM[;N3VS*U:60LWW=C)*7&gt;.3Q\&amp; M\6'#Y\J)13Y&lt;&gt;!-</w:t>
      </w:r>
    </w:p>
    <w:p>
      <w:pPr>
        <w:spacing w:after="0" w:line="229" w:lineRule="auto"/>
        <w:rPr>
          <w:sz w:val="20"/>
          <w:szCs w:val="20"/>
          <w:color w:val="auto"/>
        </w:rPr>
      </w:pPr>
      <w:r>
        <w:rPr>
          <w:rFonts w:ascii="Arial" w:cs="Arial" w:eastAsia="Arial" w:hAnsi="Arial"/>
          <w:sz w:val="17"/>
          <w:szCs w:val="17"/>
          <w:b w:val="1"/>
          <w:bCs w:val="1"/>
          <w:u w:val="single" w:color="auto"/>
          <w:color w:val="auto"/>
        </w:rPr>
        <w:t>G0Y;FF:@NJ[*3\U5&amp;=17574^M2DB0RT1GU$)ZRM=+K&gt;O:EN#-1 MS6I7E*48X8QBL,(171"*X)?*WTLW&amp;CZ)I^AY5Y73[3C&amp;4G*4F\4YR?3*3YNG</w:t>
      </w:r>
    </w:p>
    <w:p>
      <w:pPr>
        <w:spacing w:after="0" w:line="229" w:lineRule="auto"/>
        <w:rPr>
          <w:sz w:val="20"/>
          <w:szCs w:val="20"/>
          <w:color w:val="auto"/>
        </w:rPr>
      </w:pPr>
      <w:r>
        <w:rPr>
          <w:rFonts w:ascii="Arial" w:cs="Arial" w:eastAsia="Arial" w:hAnsi="Arial"/>
          <w:sz w:val="17"/>
          <w:szCs w:val="17"/>
          <w:b w:val="1"/>
          <w:bCs w:val="1"/>
          <w:u w:val="single" w:color="auto"/>
          <w:color w:val="auto"/>
        </w:rPr>
        <w:t>M#JZDC:-M&gt;VZQ]K6.WL9X_E;JF(%^XI.YEU=XUL1(2Y5\K31]+4,I?A(.WJ(J M-MN-0:$^;]2L*U!P4DW%**K-</w:t>
      </w:r>
    </w:p>
    <w:p>
      <w:pPr>
        <w:spacing w:after="0" w:line="228" w:lineRule="auto"/>
        <w:rPr>
          <w:sz w:val="20"/>
          <w:szCs w:val="20"/>
          <w:color w:val="auto"/>
        </w:rPr>
      </w:pPr>
      <w:r>
        <w:rPr>
          <w:rFonts w:ascii="Arial" w:cs="Arial" w:eastAsia="Arial" w:hAnsi="Arial"/>
          <w:sz w:val="17"/>
          <w:szCs w:val="17"/>
          <w:b w:val="1"/>
          <w:bCs w:val="1"/>
          <w:u w:val="single" w:color="auto"/>
          <w:color w:val="auto"/>
        </w:rPr>
        <w:t>N4DY4BN*45Q?"E$ITK0=V:DXM*3&lt;_2Q.B7'KM*&gt;P?#E+N &gt;W%P%R92M*[)"[: M2]Y^V;:NR@HK#N&gt;X*:L5(O5%P0U1</w:t>
      </w:r>
    </w:p>
    <w:p>
      <w:pPr>
        <w:spacing w:after="0" w:line="229" w:lineRule="auto"/>
        <w:rPr>
          <w:sz w:val="20"/>
          <w:szCs w:val="20"/>
          <w:color w:val="auto"/>
        </w:rPr>
      </w:pPr>
      <w:r>
        <w:rPr>
          <w:rFonts w:ascii="Arial" w:cs="Arial" w:eastAsia="Arial" w:hAnsi="Arial"/>
          <w:sz w:val="17"/>
          <w:szCs w:val="17"/>
          <w:b w:val="1"/>
          <w:bCs w:val="1"/>
          <w:u w:val="single" w:color="auto"/>
          <w:color w:val="auto"/>
        </w:rPr>
        <w:t>5DE64\C(.N/OLHKFVS&lt;&lt;6:"1UCUVWOS MJ\M!CM^_E\K=RL;3MQG.VW=A!JB498DDTN";BW2E6Z(U?N7I4=;&gt;NV,QF;&gt;9</w:t>
      </w:r>
    </w:p>
    <w:p>
      <w:pPr>
        <w:spacing w:after="0" w:line="229" w:lineRule="auto"/>
        <w:rPr>
          <w:sz w:val="20"/>
          <w:szCs w:val="20"/>
          <w:color w:val="auto"/>
        </w:rPr>
      </w:pPr>
      <w:r>
        <w:rPr>
          <w:rFonts w:ascii="Arial" w:cs="Arial" w:eastAsia="Arial" w:hAnsi="Arial"/>
          <w:sz w:val="17"/>
          <w:szCs w:val="17"/>
          <w:b w:val="1"/>
          <w:bCs w:val="1"/>
          <w:u w:val="single" w:color="auto"/>
          <w:color w:val="auto"/>
        </w:rPr>
        <w:t>ME=5R4(S2MSE7$W*+BW1OBTI)5Z#-O3O^,ND&lt;90ZZG,Q_PSMNL?!MVYIO*TY6 MZY"4SK?=7D*</w:t>
      </w:r>
    </w:p>
    <w:p>
      <w:pPr>
        <w:spacing w:after="0"/>
        <w:rPr>
          <w:sz w:val="20"/>
          <w:szCs w:val="20"/>
          <w:color w:val="auto"/>
        </w:rPr>
      </w:pPr>
      <w:r>
        <w:rPr>
          <w:rFonts w:ascii="Arial" w:cs="Arial" w:eastAsia="Arial" w:hAnsi="Arial"/>
          <w:sz w:val="16"/>
          <w:szCs w:val="16"/>
          <w:b w:val="1"/>
          <w:bCs w:val="1"/>
          <w:u w:val="single" w:color="auto"/>
          <w:color w:val="auto"/>
        </w:rPr>
        <w:t>[F+AK8BJH(Z:K)*=E7:6VVHR#B*BCBTU%PO)2BJ=K'2;0V1N&amp; M9*-6]UC&lt;&amp;=UO*:/D\W:M1MY*PK4'!23&lt;4HQK/%*2C MYG5LUE;EUSSEYW9J3BTI-</w:t>
      </w:r>
    </w:p>
    <w:p>
      <w:pPr>
        <w:spacing w:after="0" w:line="231" w:lineRule="auto"/>
        <w:rPr>
          <w:sz w:val="20"/>
          <w:szCs w:val="20"/>
          <w:color w:val="auto"/>
        </w:rPr>
      </w:pPr>
      <w:r>
        <w:rPr>
          <w:rFonts w:ascii="Arial" w:cs="Arial" w:eastAsia="Arial" w:hAnsi="Arial"/>
          <w:sz w:val="17"/>
          <w:szCs w:val="17"/>
          <w:b w:val="1"/>
          <w:bCs w:val="1"/>
          <w:u w:val="single" w:color="auto"/>
          <w:color w:val="auto"/>
        </w:rPr>
        <w:t>RE2-(Q:7G/FY.B7'KVW(VURP\EYNQ5GZ3G;UA+\ MQ$RY26^FWI"!9A)6A&gt;J:RH&gt;H+AH9&gt;W)FIJ:9U$C4LF=+44CG9/JT62B0I.73</w:t>
      </w:r>
    </w:p>
    <w:p>
      <w:pPr>
        <w:spacing w:after="0" w:line="228" w:lineRule="auto"/>
        <w:rPr>
          <w:sz w:val="20"/>
          <w:szCs w:val="20"/>
          <w:color w:val="auto"/>
        </w:rPr>
      </w:pPr>
      <w:r>
        <w:rPr>
          <w:rFonts w:ascii="Arial" w:cs="Arial" w:eastAsia="Arial" w:hAnsi="Arial"/>
          <w:sz w:val="17"/>
          <w:szCs w:val="17"/>
          <w:b w:val="1"/>
          <w:bCs w:val="1"/>
          <w:u w:val="single" w:color="auto"/>
          <w:color w:val="auto"/>
        </w:rPr>
        <w:t>MMRY[3=&amp;U/0K=FS/(YMUGC4L2=$DX.,XI/A%\5)57(QY_;F1U#5]-UNY=NPSF</w:t>
      </w:r>
    </w:p>
    <w:p>
      <w:pPr>
        <w:spacing w:after="0" w:line="229" w:lineRule="auto"/>
        <w:rPr>
          <w:sz w:val="20"/>
          <w:szCs w:val="20"/>
          <w:color w:val="auto"/>
        </w:rPr>
      </w:pPr>
      <w:r>
        <w:rPr>
          <w:rFonts w:ascii="Arial" w:cs="Arial" w:eastAsia="Arial" w:hAnsi="Arial"/>
          <w:sz w:val="17"/>
          <w:szCs w:val="17"/>
          <w:b w:val="1"/>
          <w:bCs w:val="1"/>
          <w:u w:val="single" w:color="auto"/>
          <w:color w:val="auto"/>
        </w:rPr>
        <w:t>M534&lt;+CA:;;:DI0DVGB:X.+H^9QS/6RW#^X"YXB_IJLOBP,D0M&amp;F,I,C8IN5- MH7@N,0I9HH*NM&amp;K:%EKN1LQLW]/ MFZNU?</w:t>
      </w:r>
    </w:p>
    <w:p>
      <w:pPr>
        <w:spacing w:after="0" w:line="229" w:lineRule="auto"/>
        <w:rPr>
          <w:sz w:val="20"/>
          <w:szCs w:val="20"/>
          <w:color w:val="auto"/>
        </w:rPr>
      </w:pPr>
      <w:r>
        <w:rPr>
          <w:rFonts w:ascii="Arial" w:cs="Arial" w:eastAsia="Arial" w:hAnsi="Arial"/>
          <w:sz w:val="17"/>
          <w:szCs w:val="17"/>
          <w:b w:val="1"/>
          <w:bCs w:val="1"/>
          <w:u w:val="single" w:color="auto"/>
          <w:color w:val="auto"/>
        </w:rPr>
        <w:t>ACMI]:58M.O'@Z5XM5,&amp;L[3TO6\Q;SMV=ZQGX1HKMF6"=.INDD^;7%5 MHZ5H;7MSZIN)Y&gt;.==N&amp;6LU[NU;C@MPKSI'B_&amp;VVEP5#T:</w:t>
      </w:r>
    </w:p>
    <w:p>
      <w:pPr>
        <w:spacing w:after="0" w:line="228" w:lineRule="auto"/>
        <w:rPr>
          <w:sz w:val="20"/>
          <w:szCs w:val="20"/>
          <w:color w:val="auto"/>
        </w:rPr>
      </w:pPr>
      <w:r>
        <w:rPr>
          <w:rFonts w:ascii="Arial" w:cs="Arial" w:eastAsia="Arial" w:hAnsi="Arial"/>
          <w:sz w:val="17"/>
          <w:szCs w:val="17"/>
          <w:b w:val="1"/>
          <w:bCs w:val="1"/>
          <w:u w:val="single" w:color="auto"/>
          <w:color w:val="auto"/>
        </w:rPr>
        <w:t>M)MS3=!5^635R&gt;9NM.=VY+'&amp;&gt;*,FUPZ''F^RF65524U=2U-%6T[%915E.]2U='5,MU%+54M0</w:t>
      </w:r>
    </w:p>
    <w:p>
      <w:pPr>
        <w:spacing w:after="0" w:line="229" w:lineRule="auto"/>
        <w:rPr>
          <w:sz w:val="20"/>
          <w:szCs w:val="20"/>
          <w:color w:val="auto"/>
        </w:rPr>
      </w:pPr>
      <w:r>
        <w:rPr>
          <w:rFonts w:ascii="Arial" w:cs="Arial" w:eastAsia="Arial" w:hAnsi="Arial"/>
          <w:sz w:val="17"/>
          <w:szCs w:val="17"/>
          <w:b w:val="1"/>
          <w:bCs w:val="1"/>
          <w:u w:val="single" w:color="auto"/>
          <w:color w:val="auto"/>
        </w:rPr>
        <w:t>MVIFHIJFG&gt;2MI]A]I9I6A1&amp;E23,C(R'*PE*W*,X2:G%U37!IKDZ]:.EE&amp;,XRA M.*&lt;6J--&lt;&amp;N35.TZ[*SU7NW=V0E415SYNM:Q9RN=D)?$-</w:t>
      </w:r>
    </w:p>
    <w:p>
      <w:pPr>
        <w:spacing w:after="0"/>
        <w:rPr>
          <w:sz w:val="20"/>
          <w:szCs w:val="20"/>
          <w:color w:val="auto"/>
        </w:rPr>
      </w:pPr>
      <w:r>
        <w:rPr>
          <w:rFonts w:ascii="Arial" w:cs="Arial" w:eastAsia="Arial" w:hAnsi="Arial"/>
          <w:sz w:val="16"/>
          <w:szCs w:val="16"/>
          <w:b w:val="1"/>
          <w:bCs w:val="1"/>
          <w:u w:val="single" w:color="auto"/>
          <w:color w:val="auto"/>
        </w:rPr>
        <w:t>L9,J(W&amp;$@]4.*74- MU$,N*J9+G:-)N5T&amp;TE];U.^X\A;AFKM5 M=H7-:;N+4M-UVWN)2C&gt;U)2G)NYB&lt;9.&lt;)0;:C*+Y2=$FDJ+H5#H=0T#3]0T6&gt; M@.,K6GN,</w:t>
      </w:r>
    </w:p>
    <w:p>
      <w:pPr>
        <w:spacing w:after="0" w:line="231" w:lineRule="auto"/>
        <w:rPr>
          <w:sz w:val="20"/>
          <w:szCs w:val="20"/>
          <w:color w:val="auto"/>
        </w:rPr>
      </w:pPr>
      <w:r>
        <w:rPr>
          <w:rFonts w:ascii="Arial" w:cs="Arial" w:eastAsia="Arial" w:hAnsi="Arial"/>
          <w:sz w:val="17"/>
          <w:szCs w:val="17"/>
          <w:b w:val="1"/>
          <w:bCs w:val="1"/>
          <w:u w:val="single" w:color="auto"/>
          <w:color w:val="auto"/>
        </w:rPr>
        <w:t>(I6Z)Q4)1FJ.2DN&lt;55M-OCQKQ.6R.([4IBKAQ=&amp;*M.GI/3/2\OC2E/[K++.RWPQ87#NZUI3%A</w:t>
      </w:r>
    </w:p>
    <w:p>
      <w:pPr>
        <w:spacing w:after="0" w:line="228" w:lineRule="auto"/>
        <w:rPr>
          <w:sz w:val="20"/>
          <w:szCs w:val="20"/>
          <w:color w:val="auto"/>
        </w:rPr>
      </w:pPr>
      <w:r>
        <w:rPr>
          <w:rFonts w:ascii="Arial" w:cs="Arial" w:eastAsia="Arial" w:hAnsi="Arial"/>
          <w:sz w:val="17"/>
          <w:szCs w:val="17"/>
          <w:b w:val="1"/>
          <w:bCs w:val="1"/>
          <w:u w:val="single" w:color="auto"/>
          <w:color w:val="auto"/>
        </w:rPr>
        <w:t>MZ:4KT'$[/VUXSM/;_2;:7Z&gt;5NW&amp;-/;TK;%13W55TSTQ)1&gt;2$)0P3 M358Q5UZE,/TS-.XRIMM:3)Q/7/UYO&lt;6HYK7KFY(RA9U)W(S3@GABXI15%)SX</w:t>
      </w:r>
    </w:p>
    <w:p>
      <w:pPr>
        <w:spacing w:after="0" w:line="229" w:lineRule="auto"/>
        <w:rPr>
          <w:sz w:val="20"/>
          <w:szCs w:val="20"/>
          <w:color w:val="auto"/>
        </w:rPr>
      </w:pPr>
      <w:r>
        <w:rPr>
          <w:rFonts w:ascii="Arial" w:cs="Arial" w:eastAsia="Arial" w:hAnsi="Arial"/>
          <w:sz w:val="17"/>
          <w:szCs w:val="17"/>
          <w:b w:val="1"/>
          <w:bCs w:val="1"/>
          <w:u w:val="single" w:color="auto"/>
          <w:color w:val="auto"/>
        </w:rPr>
        <w:t>M47%2;3JZ\'0\V5T#3\MHD- E&amp;5W3U;E#SVL3C)MNKBHT=7P&lt;4FJ*G%5,7;7] M5KMOMI%;2/S&gt;7KJA54DPS;]LW9?-+)6Q9==,4=?</w:t>
      </w:r>
    </w:p>
    <w:p>
      <w:pPr>
        <w:spacing w:after="0" w:line="229" w:lineRule="auto"/>
        <w:rPr>
          <w:sz w:val="20"/>
          <w:szCs w:val="20"/>
          <w:color w:val="auto"/>
        </w:rPr>
      </w:pPr>
      <w:r>
        <w:rPr>
          <w:rFonts w:ascii="Arial" w:cs="Arial" w:eastAsia="Arial" w:hAnsi="Arial"/>
          <w:sz w:val="17"/>
          <w:szCs w:val="17"/>
          <w:b w:val="1"/>
          <w:bCs w:val="1"/>
          <w:u w:val="single" w:color="auto"/>
          <w:color w:val="auto"/>
        </w:rPr>
        <w:t>1&gt;G+:@J6WX^@5,Q:9)URD M=D$5Z&amp;W]'%(6LB,=/F?B;N+,.$XV,I:O8HN4[=IQG&lt;46GAG)S;PNB4E#!6/# MD&lt;[E_ASH&amp;74X2NYJY:H\,9W%*-MM-</w:t>
      </w:r>
    </w:p>
    <w:p>
      <w:pPr>
        <w:spacing w:after="0" w:line="228" w:lineRule="auto"/>
        <w:rPr>
          <w:sz w:val="20"/>
          <w:szCs w:val="20"/>
          <w:color w:val="auto"/>
        </w:rPr>
      </w:pPr>
      <w:r>
        <w:rPr>
          <w:rFonts w:ascii="Arial" w:cs="Arial" w:eastAsia="Arial" w:hAnsi="Arial"/>
          <w:sz w:val="17"/>
          <w:szCs w:val="17"/>
          <w:b w:val="1"/>
          <w:bCs w:val="1"/>
          <w:u w:val="single" w:color="auto"/>
          <w:color w:val="auto"/>
        </w:rPr>
        <w:t>8H1PI8E6JTO#U+MUB]K\ MY&amp;R=Z8QB8Y^@I?C364SEQ$X[+ULY3RB)&gt;#H8-%%+Q\A7*-A^E984A)$DR41K MZW/7-U:O+&lt;-SJF]M[9TJ.A6]NWK&lt;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MKNGQBTL;6+TG)2Q14:23?!I)_C++V)ZM[ ]FW-;-QS%RYARE3637LR5DVCE2 M_DW/9-IU=&amp;&gt;LPM%RM^Q?NW\UF8VFG;A&gt;N8[&lt;&amp;N5(J,4 MZ=&amp;*I?</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7&lt;%M:Q+N5CX!C(=!+TDW:58Y7VE&gt;EI2R[?O*V:E[LS&gt;.*F6VJA),NN M,-N&amp;T\T\UVK2'"22TI46CT''%&lt;55-.C: MY-HW.M[&lt;];\;4-U#-12P:V8R'HJ/MJ&gt;K=:-</w:t>
      </w:r>
    </w:p>
    <w:p>
      <w:pPr>
        <w:spacing w:after="0" w:line="231" w:lineRule="auto"/>
        <w:rPr>
          <w:sz w:val="20"/>
          <w:szCs w:val="20"/>
          <w:color w:val="auto"/>
        </w:rPr>
      </w:pPr>
      <w:r>
        <w:rPr>
          <w:rFonts w:ascii="Arial" w:cs="Arial" w:eastAsia="Arial" w:hAnsi="Arial"/>
          <w:sz w:val="17"/>
          <w:szCs w:val="17"/>
          <w:b w:val="1"/>
          <w:bCs w:val="1"/>
          <w:u w:val="single" w:color="auto"/>
          <w:color w:val="auto"/>
        </w:rPr>
        <w:t>PV5O):=&lt;0A:4NN MDO8:SO75]8R+TQV4AFGIZ=E!K6M9I2A)&amp;9F1$8 M#D;&lt;5@G$F M-V\O9&amp;RU8=K8VJ[&gt;IW[*3'O5E7?-5*1*DNT%+#MU</w:t>
      </w:r>
    </w:p>
    <w:p>
      <w:pPr>
        <w:spacing w:after="0" w:line="228" w:lineRule="auto"/>
        <w:rPr>
          <w:sz w:val="20"/>
          <w:szCs w:val="20"/>
          <w:color w:val="auto"/>
        </w:rPr>
      </w:pPr>
      <w:r>
        <w:rPr>
          <w:rFonts w:ascii="Arial" w:cs="Arial" w:eastAsia="Arial" w:hAnsi="Arial"/>
          <w:sz w:val="17"/>
          <w:szCs w:val="17"/>
          <w:b w:val="1"/>
          <w:bCs w:val="1"/>
          <w:u w:val="single" w:color="auto"/>
          <w:color w:val="auto"/>
        </w:rPr>
        <w:t>MU7(]HVFE:&gt;6XA*I2;X)&lt;0.O7&amp;EYVS?MHRS2'8^XK3F:"=B:DE MLLOFT59'OOM-U+;3Z#&lt;96:76C5HM*3X!#JI4:!]9#I;"JK%NY&amp;4TVL&gt;-V+&gt;E</w:t>
      </w:r>
    </w:p>
    <w:p>
      <w:pPr>
        <w:spacing w:after="0" w:line="229" w:lineRule="auto"/>
        <w:rPr>
          <w:sz w:val="20"/>
          <w:szCs w:val="20"/>
          <w:color w:val="auto"/>
        </w:rPr>
      </w:pPr>
      <w:r>
        <w:rPr>
          <w:rFonts w:ascii="Arial" w:cs="Arial" w:eastAsia="Arial" w:hAnsi="Arial"/>
          <w:sz w:val="17"/>
          <w:szCs w:val="17"/>
          <w:b w:val="1"/>
          <w:bCs w:val="1"/>
          <w:u w:val="single" w:color="auto"/>
          <w:color w:val="auto"/>
        </w:rPr>
        <w:t>M*Z^'+W7&amp;,VA1VQ&amp;T;LA,2-R54RIN*HH&gt;+HJ5=0_45"D-4R&amp;C=4I)(ZQ9LMF, MQE,Q:S.4O3MYF#K&amp;46U)/K37$PYC+V,W9N9?,V8W+$U249)--</w:t>
      </w:r>
    </w:p>
    <w:p>
      <w:pPr>
        <w:spacing w:after="0" w:line="229" w:lineRule="auto"/>
        <w:rPr>
          <w:sz w:val="20"/>
          <w:szCs w:val="20"/>
          <w:color w:val="auto"/>
        </w:rPr>
      </w:pPr>
      <w:r>
        <w:rPr>
          <w:rFonts w:ascii="Arial" w:cs="Arial" w:eastAsia="Arial" w:hAnsi="Arial"/>
          <w:sz w:val="17"/>
          <w:szCs w:val="17"/>
          <w:b w:val="1"/>
          <w:bCs w:val="1"/>
          <w:u w:val="single" w:color="auto"/>
          <w:color w:val="auto"/>
        </w:rPr>
        <w:t>=33,9L3[*-F M5IS-OY&gt;Q5BNS:RLK:&gt;/NBT;MI+DG[W@'::1IT2,/&lt;=IMS-QS]LMLO4U2BHH: MRA:21)4AQE9:</w:t>
      </w:r>
    </w:p>
    <w:p>
      <w:pPr>
        <w:spacing w:after="0" w:line="242" w:lineRule="auto"/>
        <w:rPr>
          <w:sz w:val="20"/>
          <w:szCs w:val="20"/>
          <w:color w:val="auto"/>
        </w:rPr>
      </w:pPr>
      <w:r>
        <w:rPr>
          <w:rFonts w:ascii="Arial" w:cs="Arial" w:eastAsia="Arial" w:hAnsi="Arial"/>
          <w:sz w:val="16"/>
          <w:szCs w:val="16"/>
          <w:b w:val="1"/>
          <w:bCs w:val="1"/>
          <w:u w:val="single" w:color="auto"/>
          <w:color w:val="auto"/>
        </w:rPr>
        <w:t>(4.DS^]]U:EE9Y#.:S&lt;&gt;6DJ.*C"#:Z5*4(QE)/I3;3Z4SGLC MLS;.G9I9W*:3".93JG*4YT?0TIRE%-=#23710S+(N^.4IR\!TYJ) &lt;%N:.DL@TRI GK,H*^VZ=R09&gt; MDDTS;M"A3Z#-HC64T?!TY@^&amp;,J8PJJC'=)2Y'L.IJLO1M7,XFIJ&gt;[[?&gt;J,H1 M%!!,W372N.V6Y%3E[1M%;-0W(NOQA5+3="M+ZE$THE&amp;H^/#D#=8F] [,GKDNN MSH.[K8F;NL-&lt;(W?-K14_%2-QV8YP!:G+&gt;#\3YVM]FU\M MV-"WO#4KZZJA:DT5#-;&amp;53J":=J(B8CJBBF8A]YHB2M=-4-*6DB)1F1$0V&gt;D MZSJNAWWF=)ST[-YJCI1J2Z,49)QE3M3-;J&gt;D:9K-A9?5,G"]:3JJU33ZXR34 MHOM31Q3"^U? &amp;WEV2JX&gt;4?BY7=IF^Q\% M2M50J=3)TN,JXZZ[,QU-&amp;;;K*4E58XMBOC7#4K322TTU,C*\%QE)\D@=0F^&gt; MP&lt; 7/N1]810;H%45!K\M.Y9^LM6Q2C8["=T5=TU&gt;/H9NHBH:;O&gt; MW\KQG4IH]"GB4R9FBD&lt;53FMC/!SPVW!?G/H^R)R MKO.!B5IEH!29*7MQJIIV#*OHC)UQ/X^S_)$T5:JG.H,&lt;#WE;?,*V3M#M&gt;+M# M(\?;NX+#/Q@P#:-MVNU&gt;':S'^6\.Y7LJWJ"\JJP MC+&amp;1X3#N+,E961[@HH)BCJ9NL@[(MV1N:6I8:FD*Z+H*B5J M*",&lt;13H?J:=E;QI);K:3-90DVTES;!AG6^LIPA%0]EWY-V-G&amp;"PA&gt;\K 05#N M)F+"CZ'"T7,7&amp;[045 Q-S[ESG/T\.4O7'1*FV8NHM]3[#JFZYQDD.KOWF.Z1VW579034Y1Q^-M M5?=OV[&lt;]34TY46* (N;O/9YMXEK\@;FO* M(MR5\WG;^P5=60K5N_&amp;U6:ZFX+?JX"0MQ--55!)I5./T_9ZN-&amp;9'-M3B[4L5 M%)_,^D%+9Q(Y+PINA7M*DLI7YE[$-P[/;'W,6%59-K6;CN[%DF]&gt;M/CJ4Q\U M&gt;BFV9:=M&gt;429U4:U7=JJC:HU,M*+J.+&gt;2I*&amp;/"DZTX S"WU?O(]XW_96W"_] M4EW]SA%(&gt;G#PH'6Y:W[-GJ!BX-?FK9\X._\ -- PSPD?!XQEX..9H^E?.P9(O M?[9J-_\ ^8LWP&gt;'=5;XK_P!#_P [\@,D]]7[R/&gt;-_P!E?&lt;)_U27&lt;*0].'A0. MM?&gt;,VW_ 26BR;:#9_ #L6;[+J))OL_C[M[3V?4TZA(TX---</w:t>
      </w:r>
    </w:p>
    <w:p>
      <w:pPr>
        <w:spacing w:after="0" w:line="8"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b w:val="1"/>
          <w:bCs w:val="1"/>
          <w:u w:val="single" w:color="auto"/>
          <w:color w:val="auto"/>
        </w:rPr>
        <w:t>"+@&amp;6'^_?A?Y0 M9*^LO_IWU=O'_M.=L?&gt;XX+*GN"EK_I/]E@QMG=?PM_\ &gt;!]?VA,,:\^R.[.+ MO:B_YN7\+^= VFP3_5[_ -W=+N[;$'1K,\&gt;G\H+, [M/C+V__&gt;!O MBGVWI3XI;'O.^PZ_:?%K\#D%\=-&gt;SX&gt;P^)WG_:AOX-;(GX/\ S;K=3 /X'_1G;E6&gt;E_PP8Q^(WQ4-/YYE*=AU/-NQ_HCL^MR= M88[7^^5? 2X_,P;FSP&gt;N:DCT__3%A/;^=5Z(:_8K_:_("UUG1^/9;&gt;# MZZZ*RU((B&lt;52&gt;%]J-!DV5_ZN0Z;"MN4L].6(S!95M+&amp;5 MPR=FQ&amp;)+BG;1D*:;Q3E&amp;W;4DG(9UI\V(F4B4VXU4 MG4W#C&amp;6F6&amp;&amp;6^LNIJC9;2DU*3I&gt;VTFT^35 6PW&gt;[2K*W9XAO[-&amp;$KAO2)R]D M/;#&gt;EIV-&lt;&gt;+ [TI;.B,Y6E&gt;%DRLK85@Y+I9^E?MFY+%GI"8:2ERM;I*JCIZUP MVZNFT2MN83&lt;&amp;ET)I_(#(+;/M=L_ ,?(7&amp;59=UX9;OJ"M&amp;BR-D;(MQINJ[Y%J MV(E-'#VI1UE+31\'!VC;*GWD44=%TE)1IZQN*2XX?7%92;HN&amp;%=@+T98QQ"9 MBQ9DK$=S54K0VWE.P+QQS&lt;%=!/T=-.4&lt;)&gt;]NR-LRM7#5,A0RE!3RM/02;BZ= M;]-4,H&gt;))K:&lt;21H.$VFFN:!9&amp;@V?8TCKIVA7&gt;NB3!S=6WN MS%;FF-UAR=SED.GP35;&gt;T0Q5L5\3#LNKR!1Y' M:&amp;:3IC'!T5J#FV6,&lt;0F8L69*Q'[+S\[AEZ\9.YXU6#X8&gt; MX\41F'JZIR(ENUVG):2:MF*;?:7&amp;KB&amp;DUQJ6IM31DR3'+S^5),'*+&gt;VNXR@&lt;</w:t>
      </w:r>
    </w:p>
    <w:p>
      <w:pPr>
        <w:sectPr>
          <w:pgSz w:w="11900" w:h="16919" w:orient="portrait"/>
          <w:cols w:equalWidth="0" w:num="1">
            <w:col w:w="11440"/>
          </w:cols>
          <w:pgMar w:left="220" w:top="118" w:right="239" w:bottom="0" w:gutter="0" w:footer="0" w:header="0"/>
        </w:sectPr>
      </w:pPr>
    </w:p>
    <w:bookmarkStart w:id="130" w:name="page131"/>
    <w:bookmarkEnd w:id="130"/>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MF;G,G5'IFYJS=K0X_BLL6I=+D-)V4N)QYCZHQG01,)$M0E'7-QT[;54X4FU7 M5=&gt;50ZL^S[)LS;#$\,4^@%G;5]7SB&gt;W93'B9?(N&gt;.E$DGU](+\)V</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M]68CP22D*8I88KJ!8:T_5Q8 MFMJDL:U93*FX;(.'\93D%&lt;%@8$R!D:,FL2VY6VI5%76C3*H:*TXF[KDA;4K6</w:t>
      </w:r>
    </w:p>
    <w:p>
      <w:pPr>
        <w:spacing w:after="0"/>
        <w:rPr>
          <w:sz w:val="20"/>
          <w:szCs w:val="20"/>
          <w:color w:val="auto"/>
        </w:rPr>
      </w:pPr>
      <w:r>
        <w:rPr>
          <w:rFonts w:ascii="Arial" w:cs="Arial" w:eastAsia="Arial" w:hAnsi="Arial"/>
          <w:sz w:val="16"/>
          <w:szCs w:val="16"/>
          <w:b w:val="1"/>
          <w:bCs w:val="1"/>
          <w:u w:val="single" w:color="auto"/>
          <w:color w:val="auto"/>
        </w:rPr>
        <w:t>MF7:"/FIB2H654S7XTHDZ'=W'5M12EU@E[3HG\)6;=TF[ARG;5!9)N:W\+8:K ME*J'55^)&lt;#-R&lt;#)7-'N/-4Z2A[ZRK(SM92J;0;=114U*\A;K:T.+3:P6XKHX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MOQ@S[&amp;, M ?__6]_ TT\ M/M@!IQ]\ :@ #3V&gt;SG &amp;H M #__ MU_?P M M /_]#W\ /@#99^X[?M2*JYZ MZ)R&amp;MN#H$DNNFI^4H8&gt;*HFU*)*5U4C(OT])3H-</w:t>
      </w:r>
    </w:p>
    <w:p>
      <w:pPr>
        <w:spacing w:after="0" w:line="231" w:lineRule="auto"/>
        <w:rPr>
          <w:sz w:val="20"/>
          <w:szCs w:val="20"/>
          <w:color w:val="auto"/>
        </w:rPr>
      </w:pPr>
      <w:r>
        <w:rPr>
          <w:rFonts w:ascii="Arial" w:cs="Arial" w:eastAsia="Arial" w:hAnsi="Arial"/>
          <w:sz w:val="17"/>
          <w:szCs w:val="17"/>
          <w:b w:val="1"/>
          <w:bCs w:val="1"/>
          <w:u w:val="single" w:color="auto"/>
          <w:color w:val="auto"/>
        </w:rPr>
        <w:t>1D6JUIX3&amp;6QE\QFKL;&amp;6L3 MN7I&lt;&lt;4U\L8M?C-G_A'ME'[?4!\GKX^]&lt;9 MO[?;Q]AS]&gt;W]"_FTO;,/4N?4'\(]LH_;Z@/D]?'WKA_;[&gt;/L.?KV_KCW\V</w:t>
      </w:r>
    </w:p>
    <w:p>
      <w:pPr>
        <w:spacing w:after="0" w:line="228" w:lineRule="auto"/>
        <w:rPr>
          <w:sz w:val="20"/>
          <w:szCs w:val="20"/>
          <w:color w:val="auto"/>
        </w:rPr>
      </w:pPr>
      <w:r>
        <w:rPr>
          <w:rFonts w:ascii="Arial" w:cs="Arial" w:eastAsia="Arial" w:hAnsi="Arial"/>
          <w:sz w:val="17"/>
          <w:szCs w:val="17"/>
          <w:b w:val="1"/>
          <w:bCs w:val="1"/>
          <w:u w:val="single" w:color="auto"/>
          <w:color w:val="auto"/>
        </w:rPr>
        <w:t>ME[9AZESZ@_A'ME'[?4!\GKX^]W]&lt;&gt;_FTO;,/4N?4'\(]LH_;Z M@/D]?'WKA_;[&gt;/L.?KV_KCW\VE[9AZESZ@_A'ME'[?4!\GKX^]W]&lt;&gt;_FTO;,/4N?4'\</w:t>
      </w:r>
    </w:p>
    <w:p>
      <w:pPr>
        <w:spacing w:after="0" w:line="229" w:lineRule="auto"/>
        <w:rPr>
          <w:sz w:val="20"/>
          <w:szCs w:val="20"/>
          <w:color w:val="auto"/>
        </w:rPr>
      </w:pPr>
      <w:r>
        <w:rPr>
          <w:rFonts w:ascii="Arial" w:cs="Arial" w:eastAsia="Arial" w:hAnsi="Arial"/>
          <w:sz w:val="17"/>
          <w:szCs w:val="17"/>
          <w:b w:val="1"/>
          <w:bCs w:val="1"/>
          <w:u w:val="single" w:color="auto"/>
          <w:color w:val="auto"/>
        </w:rPr>
        <w:t>(]LH_;Z@/D]?'WKA_;[&gt;/L.?KV_KCW\VE[9AZESZ@_ MA'ME'[?4!\GKX^]W]&lt;&gt;_FTO;,/4N?4'\(]LH_;Z@/D]?'WKA_ M;[&gt;/L.?</w:t>
      </w:r>
    </w:p>
    <w:p>
      <w:pPr>
        <w:spacing w:after="0" w:line="229" w:lineRule="auto"/>
        <w:rPr>
          <w:sz w:val="20"/>
          <w:szCs w:val="20"/>
          <w:color w:val="auto"/>
        </w:rPr>
      </w:pPr>
      <w:r>
        <w:rPr>
          <w:rFonts w:ascii="Arial" w:cs="Arial" w:eastAsia="Arial" w:hAnsi="Arial"/>
          <w:sz w:val="17"/>
          <w:szCs w:val="17"/>
          <w:b w:val="1"/>
          <w:bCs w:val="1"/>
          <w:u w:val="single" w:color="auto"/>
          <w:color w:val="auto"/>
        </w:rPr>
        <w:t>KV_KCW\VE[9AZESZ@_A'ME'[?4!\GKX^]W]&lt;&gt;_FTO; M,/4N?4'\(]LH_;Z@/D]?'WKA_;[&gt;/L.?KV_KCW\VE[9AZESZ@_A'ME'[?4!\ MGKX^]W]</w:t>
      </w:r>
    </w:p>
    <w:p>
      <w:pPr>
        <w:spacing w:after="0" w:line="228" w:lineRule="auto"/>
        <w:rPr>
          <w:sz w:val="20"/>
          <w:szCs w:val="20"/>
          <w:color w:val="auto"/>
        </w:rPr>
      </w:pPr>
      <w:r>
        <w:rPr>
          <w:rFonts w:ascii="Arial" w:cs="Arial" w:eastAsia="Arial" w:hAnsi="Arial"/>
          <w:sz w:val="17"/>
          <w:szCs w:val="17"/>
          <w:b w:val="1"/>
          <w:bCs w:val="1"/>
          <w:u w:val="single" w:color="auto"/>
          <w:color w:val="auto"/>
        </w:rPr>
        <w:t>&lt;&gt;_FTO;,/4N?4'\(]LH_;Z@/D]?'WKA_;[&gt;/L.?KV_ MKCW\VE[9AZESZ@_A'ME'[?4!\GKX^]W]&lt;&gt;_FTO;,/4N?4'\(] MLH_;Z@/D]?'WKA_;[&gt;/L.?</w:t>
      </w:r>
    </w:p>
    <w:p>
      <w:pPr>
        <w:spacing w:after="0" w:line="229" w:lineRule="auto"/>
        <w:rPr>
          <w:sz w:val="20"/>
          <w:szCs w:val="20"/>
          <w:color w:val="auto"/>
        </w:rPr>
      </w:pPr>
      <w:r>
        <w:rPr>
          <w:rFonts w:ascii="Arial" w:cs="Arial" w:eastAsia="Arial" w:hAnsi="Arial"/>
          <w:sz w:val="17"/>
          <w:szCs w:val="17"/>
          <w:b w:val="1"/>
          <w:bCs w:val="1"/>
          <w:u w:val="single" w:color="auto"/>
          <w:color w:val="auto"/>
        </w:rPr>
        <w:t>KV_KCW\VE[9AZESZ@_A'ME'[?4!\GKX^]W]&lt;&gt;_FTO;,/4N?4'\(]LH_;Z@/D]?'WKA_;[&gt;/L.?KV_KCW\VE[9AZ MESZ@_A'ME'[?4!\GKX^]W]</w:t>
      </w:r>
    </w:p>
    <w:p>
      <w:pPr>
        <w:spacing w:after="0" w:line="229" w:lineRule="auto"/>
        <w:rPr>
          <w:sz w:val="20"/>
          <w:szCs w:val="20"/>
          <w:color w:val="auto"/>
        </w:rPr>
      </w:pPr>
      <w:r>
        <w:rPr>
          <w:rFonts w:ascii="Arial" w:cs="Arial" w:eastAsia="Arial" w:hAnsi="Arial"/>
          <w:sz w:val="17"/>
          <w:szCs w:val="17"/>
          <w:b w:val="1"/>
          <w:bCs w:val="1"/>
          <w:u w:val="single" w:color="auto"/>
          <w:color w:val="auto"/>
        </w:rPr>
        <w:t>&lt;&gt;_FTO;,/4N?4'\(]LH_;Z@/D]? M'WKA_;[&gt;/L.?KV_KCW\VE[9AZESZ@_A'ME'[?4!\GKX^]W]&lt;&gt; M_FTO;,/4N?4'\(]LH_;Z@/D]?'WKA_;[&gt;/L.?</w:t>
      </w:r>
    </w:p>
    <w:p>
      <w:pPr>
        <w:spacing w:after="0" w:line="228" w:lineRule="auto"/>
        <w:rPr>
          <w:sz w:val="20"/>
          <w:szCs w:val="20"/>
          <w:color w:val="auto"/>
        </w:rPr>
      </w:pPr>
      <w:r>
        <w:rPr>
          <w:rFonts w:ascii="Arial" w:cs="Arial" w:eastAsia="Arial" w:hAnsi="Arial"/>
          <w:sz w:val="17"/>
          <w:szCs w:val="17"/>
          <w:b w:val="1"/>
          <w:bCs w:val="1"/>
          <w:u w:val="single" w:color="auto"/>
          <w:color w:val="auto"/>
        </w:rPr>
        <w:t>KV_KCW\VE[9AZESZ@_A'ME' M[?4!\GKX^]W]&lt;&gt;_FTO;,/4N?4'\(]LH_;Z@/D]?'WKA_;[&gt;/L M.?KV_KCW\VE[9AZESZ@_A'ME'[?4!\GKX^]W]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&lt;&gt;_FTO;,/4N? M4'\(]LH_;Z@/D]?'WKA_;[&gt;/L.?KV_KCW\VE[9AZESZ@_A'ME'[?4!\GKX^] MW]&lt;&gt;_FTO;,/4N?4'\(]LH_;Z@/D]?'WKA_;[&gt;/L.?KV_KCW\V</w:t>
      </w:r>
    </w:p>
    <w:p>
      <w:pPr>
        <w:spacing w:after="0" w:line="231" w:lineRule="auto"/>
        <w:rPr>
          <w:sz w:val="20"/>
          <w:szCs w:val="20"/>
          <w:color w:val="auto"/>
        </w:rPr>
      </w:pPr>
      <w:r>
        <w:rPr>
          <w:rFonts w:ascii="Arial" w:cs="Arial" w:eastAsia="Arial" w:hAnsi="Arial"/>
          <w:sz w:val="17"/>
          <w:szCs w:val="17"/>
          <w:b w:val="1"/>
          <w:bCs w:val="1"/>
          <w:u w:val="single" w:color="auto"/>
          <w:color w:val="auto"/>
        </w:rPr>
        <w:t>ME[9AZESZ@_A'ME'[?4!\GKX^]W]&lt;&gt;_FTO;,/4N?4'\(]LH_;Z M@/D]?'WKA_;[&gt;/L.?KV_KCW\VE[9AZESZ@_A'ME'[?4!\GKX^]W]&lt;&gt;_FTO;,/4N?4'\</w:t>
      </w:r>
    </w:p>
    <w:p>
      <w:pPr>
        <w:spacing w:after="0" w:line="228" w:lineRule="auto"/>
        <w:rPr>
          <w:sz w:val="20"/>
          <w:szCs w:val="20"/>
          <w:color w:val="auto"/>
        </w:rPr>
      </w:pPr>
      <w:r>
        <w:rPr>
          <w:rFonts w:ascii="Arial" w:cs="Arial" w:eastAsia="Arial" w:hAnsi="Arial"/>
          <w:sz w:val="17"/>
          <w:szCs w:val="17"/>
          <w:b w:val="1"/>
          <w:bCs w:val="1"/>
          <w:u w:val="single" w:color="auto"/>
          <w:color w:val="auto"/>
        </w:rPr>
        <w:t>(]LH_;Z@/D]?'WKA_;[&gt;/L.?KV_KCW\VE[9AZESZ@_ MA'ME'[?4!\GKX^]W]&lt;&gt;_FTO;,/4N?4'\(]LH_;Z@/D]?'WKA_ M;[&gt;/L.?</w:t>
      </w:r>
    </w:p>
    <w:p>
      <w:pPr>
        <w:spacing w:after="0" w:line="229" w:lineRule="auto"/>
        <w:rPr>
          <w:sz w:val="20"/>
          <w:szCs w:val="20"/>
          <w:color w:val="auto"/>
        </w:rPr>
      </w:pPr>
      <w:r>
        <w:rPr>
          <w:rFonts w:ascii="Arial" w:cs="Arial" w:eastAsia="Arial" w:hAnsi="Arial"/>
          <w:sz w:val="17"/>
          <w:szCs w:val="17"/>
          <w:b w:val="1"/>
          <w:bCs w:val="1"/>
          <w:u w:val="single" w:color="auto"/>
          <w:color w:val="auto"/>
        </w:rPr>
        <w:t>KV_KCW\VE[9AZESZ@_A'ME'[?4!\GKX^]W]&lt;&gt;_FTO; M,/4N?4'\(]LH_;Z@/D]?'WKA_;[&gt;/L.?KV_KCW\VE[9AZESZ@_A'ME'[?4!\ MGKX^]W]</w:t>
      </w:r>
    </w:p>
    <w:p>
      <w:pPr>
        <w:spacing w:after="0" w:line="229" w:lineRule="auto"/>
        <w:rPr>
          <w:sz w:val="20"/>
          <w:szCs w:val="20"/>
          <w:color w:val="auto"/>
        </w:rPr>
      </w:pPr>
      <w:r>
        <w:rPr>
          <w:rFonts w:ascii="Arial" w:cs="Arial" w:eastAsia="Arial" w:hAnsi="Arial"/>
          <w:sz w:val="17"/>
          <w:szCs w:val="17"/>
          <w:b w:val="1"/>
          <w:bCs w:val="1"/>
          <w:u w:val="single" w:color="auto"/>
          <w:color w:val="auto"/>
        </w:rPr>
        <w:t>&lt;&gt;_FTO;,/4N?4'\(]LH_;Z@/D]?'WKA_;[&gt;/L.?KV_ MKCW\VE[9AZESZ@_A'ME'[?4!\GKX^]W]&lt;&gt;_FTO;,/4N?4'\(] MLH_;Z@/D]?'WKA_;[&gt;/L.?</w:t>
      </w:r>
    </w:p>
    <w:p>
      <w:pPr>
        <w:spacing w:after="0" w:line="228" w:lineRule="auto"/>
        <w:rPr>
          <w:sz w:val="20"/>
          <w:szCs w:val="20"/>
          <w:color w:val="auto"/>
        </w:rPr>
      </w:pPr>
      <w:r>
        <w:rPr>
          <w:rFonts w:ascii="Arial" w:cs="Arial" w:eastAsia="Arial" w:hAnsi="Arial"/>
          <w:sz w:val="17"/>
          <w:szCs w:val="17"/>
          <w:b w:val="1"/>
          <w:bCs w:val="1"/>
          <w:u w:val="single" w:color="auto"/>
          <w:color w:val="auto"/>
        </w:rPr>
        <w:t>KV_KCW\VE[9AZESZ@_A'ME'[?4!\GKX^]W]&lt;&gt;_FTO;,/4N?4'\(]LH_;Z@/D]?'WKA_;[&gt;/L.?KV_KCW\VE[9AZ MESZ@_A'ME'[?4!\GKX^]W]</w:t>
      </w:r>
    </w:p>
    <w:p>
      <w:pPr>
        <w:spacing w:after="0" w:line="229" w:lineRule="auto"/>
        <w:rPr>
          <w:sz w:val="20"/>
          <w:szCs w:val="20"/>
          <w:color w:val="auto"/>
        </w:rPr>
      </w:pPr>
      <w:r>
        <w:rPr>
          <w:rFonts w:ascii="Arial" w:cs="Arial" w:eastAsia="Arial" w:hAnsi="Arial"/>
          <w:sz w:val="17"/>
          <w:szCs w:val="17"/>
          <w:b w:val="1"/>
          <w:bCs w:val="1"/>
          <w:u w:val="single" w:color="auto"/>
          <w:color w:val="auto"/>
        </w:rPr>
        <w:t>&lt;&gt;_FTO;,/4N?4'\(]LH_;Z@/D]? M'WKA_;[&gt;/L.?KV_KCW\VE[9AZESZ@_A'ME'[?4!\GKX^]W]&lt;&gt; M_FTO;,/4N?4/MKUC.RIYUME&amp;&gt;</w:t>
      </w:r>
    </w:p>
    <w:p>
      <w:pPr>
        <w:spacing w:after="0"/>
        <w:rPr>
          <w:sz w:val="20"/>
          <w:szCs w:val="20"/>
          <w:color w:val="auto"/>
        </w:rPr>
      </w:pPr>
      <w:r>
        <w:rPr>
          <w:rFonts w:ascii="Arial" w:cs="Arial" w:eastAsia="Arial" w:hAnsi="Arial"/>
          <w:sz w:val="16"/>
          <w:szCs w:val="16"/>
          <w:b w:val="1"/>
          <w:bCs w:val="1"/>
          <w:u w:val="single" w:color="auto"/>
          <w:color w:val="auto"/>
        </w:rPr>
        <w:t>[&lt;2MUQ#2#&gt;A+SIVB4XHDI-VH?MIMAALC/ZY M:U)0DN$S(BU$/X?;Q2;_ ('&lt;]:V_Q*9*WWM)NG\9AZMSZAD'CC.&gt;',OMO*Q? MDZR+Z=IF4U%916Y&lt;4;</w:t>
      </w:r>
    </w:p>
    <w:p>
      <w:pPr>
        <w:spacing w:after="0" w:line="231" w:lineRule="auto"/>
        <w:rPr>
          <w:sz w:val="20"/>
          <w:szCs w:val="20"/>
          <w:color w:val="auto"/>
        </w:rPr>
      </w:pPr>
      <w:r>
        <w:rPr>
          <w:rFonts w:ascii="Arial" w:cs="Arial" w:eastAsia="Arial" w:hAnsi="Arial"/>
          <w:sz w:val="17"/>
          <w:szCs w:val="17"/>
          <w:b w:val="1"/>
          <w:bCs w:val="1"/>
          <w:u w:val="single" w:color="auto"/>
          <w:color w:val="auto"/>
        </w:rPr>
        <w:t>(RE PI24D[(Q#3YR&lt;&gt;V:UDDC&gt;901J/3CX!H-0T75]) M-(NKKPZ M=(U:XFR-1( /_]'W\ M T/B, 8)7_+2K'K"-OT,U)R#&lt;16X)RM5U&lt;4W65#</w:t>
      </w:r>
    </w:p>
    <w:p>
      <w:pPr>
        <w:spacing w:after="0" w:line="228" w:lineRule="auto"/>
        <w:rPr>
          <w:sz w:val="20"/>
          <w:szCs w:val="20"/>
          <w:color w:val="auto"/>
        </w:rPr>
      </w:pPr>
      <w:r>
        <w:rPr>
          <w:rFonts w:ascii="Arial" w:cs="Arial" w:eastAsia="Arial" w:hAnsi="Arial"/>
          <w:sz w:val="17"/>
          <w:szCs w:val="17"/>
          <w:b w:val="1"/>
          <w:bCs w:val="1"/>
          <w:u w:val="single" w:color="auto"/>
          <w:color w:val="auto"/>
        </w:rPr>
        <w:t>&lt;;555/)4::&gt;IJ*%#A4K]0 MRD]$+4DU)Y#(=OD+5I[!U^\[&lt;7=6=L).BJE1U2?-)G&amp;YVY&lt;6]]$M*Y)6GD[S M:JZ-IJC:K1OCU&amp;=QCB#LCQJ;VMQ^0-P&gt;P8?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TF-.^?MA7L&amp;'])C3OG[85[!A_28T[Y^V%&gt;P8? MTF-.^?MA7L&amp;'])C3OG[85[!A_28T[Y^V%&gt;P8?TF-.^?MA7L&amp;'])C3OG[85[! MA_28T[Y^V%&gt;P8?TF-.^?</w:t>
      </w:r>
    </w:p>
    <w:p>
      <w:pPr>
        <w:spacing w:after="0" w:line="231" w:lineRule="auto"/>
        <w:rPr>
          <w:sz w:val="20"/>
          <w:szCs w:val="20"/>
          <w:color w:val="auto"/>
        </w:rPr>
      </w:pPr>
      <w:r>
        <w:rPr>
          <w:rFonts w:ascii="Arial" w:cs="Arial" w:eastAsia="Arial" w:hAnsi="Arial"/>
          <w:sz w:val="17"/>
          <w:szCs w:val="17"/>
          <w:b w:val="1"/>
          <w:bCs w:val="1"/>
          <w:u w:val="single" w:color="auto"/>
          <w:color w:val="auto"/>
        </w:rPr>
        <w:t>MA7L&amp;'])C3OG[85[!A_28T[Y^V%&gt;P8?TF-.^?MA7 ML&amp;'])C3OG[85[!A_28T[Y^V%&gt;P8?TF-.^?MA7L&amp;'])C3OG[85[!A_28T[Y^V M%&gt;P8?TF-.^?</w:t>
      </w:r>
    </w:p>
    <w:p>
      <w:pPr>
        <w:spacing w:after="0" w:line="228" w:lineRule="auto"/>
        <w:rPr>
          <w:sz w:val="20"/>
          <w:szCs w:val="20"/>
          <w:color w:val="auto"/>
        </w:rPr>
      </w:pPr>
      <w:r>
        <w:rPr>
          <w:rFonts w:ascii="Arial" w:cs="Arial" w:eastAsia="Arial" w:hAnsi="Arial"/>
          <w:sz w:val="17"/>
          <w:szCs w:val="17"/>
          <w:b w:val="1"/>
          <w:bCs w:val="1"/>
          <w:u w:val="single" w:color="auto"/>
          <w:color w:val="auto"/>
        </w:rPr>
        <w:t>MA7L&amp;'])C3OG[85[!A_28T[Y^V%&gt;P8?TF-.^?MA7L&amp;'])C3OG M[85[!A_28T[Y^V%&gt;P8?TF-.^?MA7L&amp;'])C3OG[85[!A_28T[Y^V%&gt;P8?TF-. 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MA7L&amp;'])C3OG[85[!A_28T[Y^V%&gt;P8?TF-.^?MA7L&amp;'])C3OG[85[!A_28 MT[Y^V%&gt;P8?TF-.^?MA7L&amp;'])C3OG[85[!A_28T[Y^V%&gt;P8?TF-.^?MA7L&amp;']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M)C3OG[85[!A_28T[Y^V%&gt;P8?TF-.^?MA7L&amp;'])FNG?/GX2$U&amp;'M9O]K75IGK9G9&gt;TIJ1IZ=G5JFII63@7:EII M/ TATDEQ#\@;LT&gt;WH.X]4TJRWW%J:</w:t>
      </w:r>
    </w:p>
    <w:p>
      <w:pPr>
        <w:spacing w:after="0" w:line="231" w:lineRule="auto"/>
        <w:rPr>
          <w:sz w:val="20"/>
          <w:szCs w:val="20"/>
          <w:color w:val="auto"/>
        </w:rPr>
      </w:pPr>
      <w:r>
        <w:rPr>
          <w:rFonts w:ascii="Arial" w:cs="Arial" w:eastAsia="Arial" w:hAnsi="Arial"/>
          <w:sz w:val="17"/>
          <w:szCs w:val="17"/>
          <w:b w:val="1"/>
          <w:bCs w:val="1"/>
          <w:u w:val="single" w:color="auto"/>
          <w:color w:val="auto"/>
        </w:rPr>
        <w:t>&lt;:NK4)Q5R*;Z:1DE7I:J^)^K-KZKG_\ M#W&lt;'^&gt;L?,&lt;5GOY[T+_)7_P!9&amp;?ICA#M3PG96_92R0?=OZ\&gt;3_G#(\O+Q#]M:</w:t>
      </w:r>
    </w:p>
    <w:p>
      <w:pPr>
        <w:spacing w:after="0" w:line="228" w:lineRule="auto"/>
        <w:rPr>
          <w:sz w:val="20"/>
          <w:szCs w:val="20"/>
          <w:color w:val="auto"/>
        </w:rPr>
      </w:pPr>
      <w:r>
        <w:rPr>
          <w:rFonts w:ascii="Arial" w:cs="Arial" w:eastAsia="Arial" w:hAnsi="Arial"/>
          <w:sz w:val="17"/>
          <w:szCs w:val="17"/>
          <w:b w:val="1"/>
          <w:bCs w:val="1"/>
          <w:u w:val="single" w:color="auto"/>
          <w:color w:val="auto"/>
        </w:rPr>
        <w:t>M;PTO3UT*Q;_'!'XZU'_4&lt;^Z_]/&lt;_6EY#@8]9Y0 M E*KI4CP^2./@&amp;',9C+92WWN;S-NU:ZYR45\K:7X_D,</w:t>
      </w:r>
    </w:p>
    <w:p>
      <w:pPr>
        <w:spacing w:after="0" w:line="229" w:lineRule="auto"/>
        <w:rPr>
          <w:sz w:val="20"/>
          <w:szCs w:val="20"/>
          <w:color w:val="auto"/>
        </w:rPr>
      </w:pPr>
      <w:r>
        <w:rPr>
          <w:rFonts w:ascii="Arial" w:cs="Arial" w:eastAsia="Arial" w:hAnsi="Arial"/>
          <w:sz w:val="17"/>
          <w:szCs w:val="17"/>
          <w:b w:val="1"/>
          <w:bCs w:val="1"/>
          <w:u w:val="single" w:color="auto"/>
          <w:color w:val="auto"/>
        </w:rPr>
        <w:t>MV7R^:SD^[RF5N79]4(N3^1)LWZ],4Y2QQV)Y"QK?UB%4K)NF.\[.N*URJ'#0 M;B4,G-QU$3JU-</w:t>
      </w:r>
    </w:p>
    <w:p>
      <w:pPr>
        <w:spacing w:after="0" w:line="229" w:lineRule="auto"/>
        <w:rPr>
          <w:sz w:val="20"/>
          <w:szCs w:val="20"/>
          <w:color w:val="auto"/>
        </w:rPr>
      </w:pPr>
      <w:r>
        <w:rPr>
          <w:rFonts w:ascii="Arial" w:cs="Arial" w:eastAsia="Arial" w:hAnsi="Arial"/>
          <w:sz w:val="17"/>
          <w:szCs w:val="17"/>
          <w:b w:val="1"/>
          <w:bCs w:val="1"/>
          <w:u w:val="single" w:color="auto"/>
          <w:color w:val="auto"/>
        </w:rPr>
        <w:t>EUB).I]7AXA@R&gt;I:9J";R&amp;HV+]%5]W&amp;)+CV&amp;UV=8M[Y#E_B_8%FW5?,]YH_7^A+/MZ7N</w:t>
      </w:r>
    </w:p>
    <w:p>
      <w:pPr>
        <w:spacing w:after="0" w:line="228" w:lineRule="auto"/>
        <w:rPr>
          <w:sz w:val="20"/>
          <w:szCs w:val="20"/>
          <w:color w:val="auto"/>
        </w:rPr>
      </w:pPr>
      <w:r>
        <w:rPr>
          <w:rFonts w:ascii="Arial" w:cs="Arial" w:eastAsia="Arial" w:hAnsi="Arial"/>
          <w:sz w:val="17"/>
          <w:szCs w:val="17"/>
          <w:b w:val="1"/>
          <w:bCs w:val="1"/>
          <w:u w:val="single" w:color="auto"/>
          <w:color w:val="auto"/>
        </w:rPr>
        <w:t>M:7*BI5-)J:PXV%HZZL\TIU/H)QPD&amp;A!K3UC(S(CR9S.9+3K/WC/YRU9L5IBG</w:t>
      </w:r>
    </w:p>
    <w:p>
      <w:pPr>
        <w:spacing w:after="0" w:line="229" w:lineRule="auto"/>
        <w:rPr>
          <w:sz w:val="20"/>
          <w:szCs w:val="20"/>
          <w:color w:val="auto"/>
        </w:rPr>
      </w:pPr>
      <w:r>
        <w:rPr>
          <w:rFonts w:ascii="Arial" w:cs="Arial" w:eastAsia="Arial" w:hAnsi="Arial"/>
          <w:sz w:val="17"/>
          <w:szCs w:val="17"/>
          <w:b w:val="1"/>
          <w:bCs w:val="1"/>
          <w:u w:val="single" w:color="auto"/>
          <w:color w:val="auto"/>
        </w:rPr>
        <w:t>M)0C5\E632J^/3T&amp;'*97.9^YW.1RER]&gt;HWAA&amp;4Y)*E&gt;$4WT\Z%T_FI;I/HUY^ MT_&lt;=R(9_4MTQJUN?;+X+&lt;&gt;0K_F+7US9&gt;[FX^G;^=I_@7?</w:t>
      </w:r>
    </w:p>
    <w:p>
      <w:pPr>
        <w:spacing w:after="0" w:line="229" w:lineRule="auto"/>
        <w:rPr>
          <w:sz w:val="20"/>
          <w:szCs w:val="20"/>
          <w:color w:val="auto"/>
        </w:rPr>
      </w:pPr>
      <w:r>
        <w:rPr>
          <w:rFonts w:ascii="Arial" w:cs="Arial" w:eastAsia="Arial" w:hAnsi="Arial"/>
          <w:sz w:val="17"/>
          <w:szCs w:val="17"/>
          <w:b w:val="1"/>
          <w:bCs w:val="1"/>
          <w:u w:val="single" w:color="auto"/>
          <w:color w:val="auto"/>
        </w:rPr>
        <w:t>JEK;QL6]L=R_P 7 M\@6==5C3YTC-&gt;4'&gt;%NR]M2YT-0IU-/6^C9JCH:WS2H4PLFW.IU%F@R(]2/3: M93.9/4+*S&amp;0S=J_8K3%;E&amp;</w:t>
      </w:r>
    </w:p>
    <w:p>
      <w:pPr>
        <w:spacing w:after="0" w:line="228" w:lineRule="auto"/>
        <w:rPr>
          <w:sz w:val="20"/>
          <w:szCs w:val="20"/>
          <w:color w:val="auto"/>
        </w:rPr>
      </w:pPr>
      <w:r>
        <w:rPr>
          <w:rFonts w:ascii="Arial" w:cs="Arial" w:eastAsia="Arial" w:hAnsi="Arial"/>
          <w:sz w:val="17"/>
          <w:szCs w:val="17"/>
          <w:b w:val="1"/>
          <w:bCs w:val="1"/>
          <w:u w:val="single" w:color="auto"/>
          <w:color w:val="auto"/>
        </w:rPr>
        <w:t>&lt;:KFJQ;5&gt;RIKLWE,YD+G- M)).CHZ&amp;[67B;*N1TO+QYC/(-^(IC--0NR[,N.Z44YEIJ3ZH.-KB9ZO6+7K:: M:C%G-3TO3G%:AJ&gt;7L-\E?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CBR.FW[T&gt;N%N&gt;K=*(U+56A)(U*4&gt;B4D1ZF9\!%P:\)F9%X0&lt;:*K? 8OD+LKP)G5N".Z M%X6RRBVB23AW"K'-WI@B;-!+)PYNO:::&lt;(U7\:T7OGEOXQE?</w:t>
      </w:r>
    </w:p>
    <w:p>
      <w:pPr>
        <w:spacing w:after="0" w:line="231" w:lineRule="auto"/>
        <w:rPr>
          <w:sz w:val="20"/>
          <w:szCs w:val="20"/>
          <w:color w:val="auto"/>
        </w:rPr>
      </w:pPr>
      <w:r>
        <w:rPr>
          <w:rFonts w:ascii="Arial" w:cs="Arial" w:eastAsia="Arial" w:hAnsi="Arial"/>
          <w:sz w:val="17"/>
          <w:szCs w:val="17"/>
          <w:b w:val="1"/>
          <w:bCs w:val="1"/>
          <w:u w:val="single" w:color="auto"/>
          <w:color w:val="auto"/>
        </w:rPr>
        <w:t>O/T M.]MXJ\N6*O/AR-K_ 36^Z[]Z-FE8IZ3M3P\NO#3Q]1:7AX&gt; ].[X?9[8VC2 M72:JO&amp;E/PI4U$%C0_&lt;\8+F5ER/7EZKS]XM@X_P!TS_K@R!W-"U,?</w:t>
      </w:r>
    </w:p>
    <w:p>
      <w:pPr>
        <w:spacing w:after="0"/>
        <w:rPr>
          <w:sz w:val="20"/>
          <w:szCs w:val="20"/>
          <w:color w:val="auto"/>
        </w:rPr>
      </w:pPr>
      <w:r>
        <w:rPr>
          <w:rFonts w:ascii="Arial" w:cs="Arial" w:eastAsia="Arial" w:hAnsi="Arial"/>
          <w:sz w:val="16"/>
          <w:szCs w:val="16"/>
          <w:b w:val="1"/>
          <w:bCs w:val="1"/>
          <w:u w:val="single" w:color="auto"/>
          <w:color w:val="auto"/>
        </w:rPr>
        <w:t>E3XE_P [ M:T^G]C^XM'Z&lt;^';KL[1V^?[;]_=,_!PIVH !_ M_]/W\ M;F/,E@X'Q_,Y+R3++B;9ACIF%JIJ5^0DI&amp;1KWT4L;$1, M=3)4_724A4K)*$%U4(22G'%</w:t>
      </w:r>
    </w:p>
    <w:p>
      <w:pPr>
        <w:spacing w:after="0" w:line="231" w:lineRule="auto"/>
        <w:rPr>
          <w:sz w:val="20"/>
          <w:szCs w:val="20"/>
          <w:color w:val="auto"/>
        </w:rPr>
      </w:pPr>
      <w:r>
        <w:rPr>
          <w:rFonts w:ascii="Arial" w:cs="Arial" w:eastAsia="Arial" w:hAnsi="Arial"/>
          <w:sz w:val="17"/>
          <w:szCs w:val="17"/>
          <w:b w:val="1"/>
          <w:bCs w:val="1"/>
          <w:u w:val="single" w:color="auto"/>
          <w:color w:val="auto"/>
        </w:rPr>
        <w:t>(:0XXG9:1I&amp;?US/VM-TZSCS,ZOBZ))"2;:3UVJZKDM%R-[4-0NX,O"G15MMT48I'C[*U_)Q; M5V7EG$N0JVW#NZW[4S'9K-</w:t>
      </w:r>
    </w:p>
    <w:p>
      <w:pPr>
        <w:spacing w:after="0" w:line="228" w:lineRule="auto"/>
        <w:rPr>
          <w:sz w:val="20"/>
          <w:szCs w:val="20"/>
          <w:color w:val="auto"/>
        </w:rPr>
      </w:pPr>
      <w:r>
        <w:rPr>
          <w:rFonts w:ascii="Arial" w:cs="Arial" w:eastAsia="Arial" w:hAnsi="Arial"/>
          <w:sz w:val="17"/>
          <w:szCs w:val="17"/>
          <w:b w:val="1"/>
          <w:bCs w:val="1"/>
          <w:u w:val="single" w:color="auto"/>
          <w:color w:val="auto"/>
        </w:rPr>
        <w:t>H2=UVRDU$[,VX=',SE+6T['9KZ[;CC+Y$TX9-F M3:S3MM5VEG]+R#U2&amp;;RN:T^-SNY3L7,:A/Z,JQBZOH:37%&lt;&gt;*-5IFZ_ MATLIFL,PA%3A8_G M\\4-</w:t>
      </w:r>
    </w:p>
    <w:p>
      <w:pPr>
        <w:spacing w:after="0" w:line="229" w:lineRule="auto"/>
        <w:rPr>
          <w:sz w:val="20"/>
          <w:szCs w:val="20"/>
          <w:color w:val="auto"/>
        </w:rPr>
      </w:pPr>
      <w:r>
        <w:rPr>
          <w:rFonts w:ascii="Arial" w:cs="Arial" w:eastAsia="Arial" w:hAnsi="Arial"/>
          <w:sz w:val="17"/>
          <w:szCs w:val="17"/>
          <w:b w:val="1"/>
          <w:bCs w:val="1"/>
          <w:u w:val="single" w:color="auto"/>
          <w:color w:val="auto"/>
        </w:rPr>
        <w:t>B*J&lt;)0MTE6HCGZ"NN_THBN["EK76VUU+= Y3'VK9I&lt;4EQ)G[[6P=:NVK M=,SE%J,[/&gt;QRKNTS,H4JFK&gt;&amp;G%)\'-/@^%4SR7-\:1;O7%W&amp;:&gt;0A=</w:t>
      </w:r>
    </w:p>
    <w:p>
      <w:pPr>
        <w:spacing w:after="0" w:line="229" w:lineRule="auto"/>
        <w:rPr>
          <w:sz w:val="20"/>
          <w:szCs w:val="20"/>
          <w:color w:val="auto"/>
        </w:rPr>
      </w:pPr>
      <w:r>
        <w:rPr>
          <w:rFonts w:ascii="Arial" w:cs="Arial" w:eastAsia="Arial" w:hAnsi="Arial"/>
          <w:sz w:val="17"/>
          <w:szCs w:val="17"/>
          <w:b w:val="1"/>
          <w:bCs w:val="1"/>
          <w:u w:val="single" w:color="auto"/>
          <w:color w:val="auto"/>
        </w:rPr>
        <w:t>[N695NN M74ZTHYXJ\VN*BUQ5&amp;ZHRLR=DZTL1X[NO)]XUQ4UKVC UT_6N4[M&amp;=5(-TE,M M^FC(9-95T=+6S$R\2*&gt;B9-</w:t>
      </w:r>
    </w:p>
    <w:p>
      <w:pPr>
        <w:spacing w:after="0" w:line="228" w:lineRule="auto"/>
        <w:rPr>
          <w:sz w:val="20"/>
          <w:szCs w:val="20"/>
          <w:color w:val="auto"/>
        </w:rPr>
      </w:pPr>
      <w:r>
        <w:rPr>
          <w:rFonts w:ascii="Arial" w:cs="Arial" w:eastAsia="Arial" w:hAnsi="Arial"/>
          <w:sz w:val="17"/>
          <w:szCs w:val="17"/>
          <w:b w:val="1"/>
          <w:bCs w:val="1"/>
          <w:u w:val="single" w:color="auto"/>
          <w:color w:val="auto"/>
        </w:rPr>
        <w:t>YLJBI=0@E%UM1R^F:;F]7U#*:9D[=</w:t>
      </w:r>
      <w:r>
        <w:rPr>
          <w:rFonts w:ascii="Arial" w:cs="Arial" w:eastAsia="Arial" w:hAnsi="Arial"/>
          <w:sz w:val="17"/>
          <w:szCs w:val="17"/>
          <w:b w:val="1"/>
          <w:bCs w:val="1"/>
          <w:u w:val="single" w:color="auto"/>
          <w:color w:val="auto"/>
          <w:strike w:val="1"/>
        </w:rPr>
        <w:t>FHKG15 M='*5$VHQYR:3HDW0Z34-0RVF9'-:AFI4R]J#D^5715I&amp;K2\E:;HO/6&amp;/)NCPN5.G@FS4Z?O#</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M3L_GLMI\\IFLM?OQKI^^L@UD#2M)G6J"N;E9&amp;@M)VZ^Q M:9)QOJTM*?\ (S6XH?FW/Y?.[S^(,LCJ'?0TQ9B[;C1-*-JUB?FMII.YAJWT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MREQ;5#]$9*_E-H;&amp;CG,G&amp;T\\K$)R7"LKMQQ7G4=6HN5.?",3E6P7&lt;%&lt;&amp;^/". M5;:W!6[:MSIB)IFUY=-/$E11=RV]&lt;$8=:PS)127G&amp;&amp;)..JJ5WJU%-</w:t>
      </w:r>
    </w:p>
    <w:p>
      <w:pPr>
        <w:spacing w:after="0"/>
        <w:rPr>
          <w:sz w:val="20"/>
          <w:szCs w:val="20"/>
          <w:color w:val="auto"/>
        </w:rPr>
      </w:pPr>
      <w:r>
        <w:rPr>
          <w:rFonts w:ascii="Arial" w:cs="Arial" w:eastAsia="Arial" w:hAnsi="Arial"/>
          <w:sz w:val="16"/>
          <w:szCs w:val="16"/>
          <w:b w:val="1"/>
          <w:bCs w:val="1"/>
          <w:u w:val="single" w:color="auto"/>
          <w:color w:val="auto"/>
          <w:strike w:val="1"/>
        </w:rPr>
        <w:t>YOU4]BM M"4/-FZOR[[T"QLG6=+S&amp;@7[EJ4X8XUE5PG!T;4N=)&lt;*IUK5KBG1&gt;C9&gt;N7]WZ M/J%O6;14\WJ\9\\SVJ7]X[DTV6L;VU;5\UKV8NW90C&amp;4J2</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MHYRFWQ;71%1X**7-4X*A]BWKKU[9^E:98T3+VX8YN$4U6,805:)5YMM?C;[( M69$Q.\_U:-1F"^;ZM@SU+.V(+-</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K*RO*G#!.VFVXOBTGA:I5U3HZM5/+@6G'R\9Z&lt;&gt;O! MP\!:=T^,SU'Z8Y4ZJ&gt;7A^0_.74^@[IO4WX'M&gt;^K^R'F*ZXNDEW,7LV]%691R 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(5524URW'Z6J*NX6T/$JG])04?$);ICZJE-JK3&lt;+J+0VH?'?B[KF9R60T[2 M^'FE6]B0UV%RY_%?NL# M#3@L+HG6N)-2BW'%BKQK./*E,+Z^)BKZ MX;</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MKXWRI864[0AZ.$IE,"'R M\9Z\?5=_O%L&amp;_P#O,_ZX&lt;@#\J?$K^==:_P"Q_&lt;6C]-?#K^3='_[7]_=,_1PI MVP !__]3W\ -#XO:\8 L_FC#F-,T6W</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M#Q&amp;4Z)RNMRT+IB\A4J2F:V$I*:8MNEDD4=;)OT=32MU,92T\B\IQFH-5,&gt;A* M6GZPC+:Z-J^HZ-?NWM+FHW[MJ5I^:I-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QFTVHIU:DW%4:X]1J]5TO(:I8M6M1 M@WE[5Q7%YSBE*"='*C54JO@^!UJ(O-_=)NXDMPN+*&gt;I/#NU#$64+;B\B.&amp;]2 M4%^9$GK8N&gt;/&gt;:ME39LU5?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#T%-+]JEY"D$GS4GB6DJE@E?1GDX[9VI:T#4VOX MOJN;LS=I4&gt;N:*. XVA8M_U*D^I^D0M4C:63)RM4:G#54RT7FFX#CJYP^OK MVM,</w:t>
      </w:r>
    </w:p>
    <w:p>
      <w:pPr>
        <w:spacing w:after="0"/>
        <w:rPr>
          <w:sz w:val="20"/>
          <w:szCs w:val="20"/>
          <w:color w:val="auto"/>
        </w:rPr>
      </w:pPr>
      <w:r>
        <w:rPr>
          <w:rFonts w:ascii="Arial" w:cs="Arial" w:eastAsia="Arial" w:hAnsi="Arial"/>
          <w:sz w:val="16"/>
          <w:szCs w:val="16"/>
          <w:b w:val="1"/>
          <w:bCs w:val="1"/>
          <w:u w:val="single" w:color="auto"/>
          <w:color w:val="auto"/>
          <w:strike w:val="1"/>
        </w:rPr>
        <w:t>&lt;)2Z::)/L2U(^'7W:C&gt;NQ^,EE*?"-VS!?[+R\&lt;2Y=.*2\?,\60LPE\)K^ M.%7*U&gt;D^GSHWY4?BPQ^3D7"W%89QIE?U&gt;EEYSOJVWYG)EH;4,;2MLSIW-=])</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M3Q-;56G R;K_ *#H[@9@Y)[SJ5?/M*VFJG5)7HI9D1:&gt;#;VL:EIF_P#.:+DL</w:t>
      </w:r>
    </w:p>
    <w:p>
      <w:pPr>
        <w:spacing w:after="0"/>
        <w:rPr>
          <w:sz w:val="20"/>
          <w:szCs w:val="20"/>
          <w:color w:val="auto"/>
        </w:rPr>
      </w:pPr>
      <w:r>
        <w:rPr>
          <w:rFonts w:ascii="Arial" w:cs="Arial" w:eastAsia="Arial" w:hAnsi="Arial"/>
          <w:sz w:val="16"/>
          <w:szCs w:val="16"/>
          <w:b w:val="1"/>
          <w:bCs w:val="1"/>
          <w:u w:val="single" w:color="auto"/>
          <w:color w:val="auto"/>
          <w:strike w:val="1"/>
        </w:rPr>
        <w:t>MRH:=&gt;U6\IQP6WB2N27I..)*D5PBXKL/=KVDZ=J6Q\KK&amp;],Q$X_M5C9^#IS,GIN&amp;H&lt;35ET/1*" M01J6Y7U5NLH27 ?6,M![=J9=9CXC[Q?&gt;8+T/OKC+Z,G?</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4,75P4V^76&gt;/&lt;^8[ MCX?[33MN=F?W-2BOSHJRYX?&amp;XI?(7TF^\Y:VIW[=RD+68MP[R\@^8]G3XO M?1*&lt;.P\ME[&gt;L[ORJW)6QFE6,+21*8TMF]</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&lt;=T,*4O,'02=%.R9&amp;[(U=0:?.&amp;: MJG\V+JI1]8&gt;IZC],Y'X;Y&amp;.WLQHJU*[W69NV[KEACB3BN2Z*&lt;&gt;D_.V;^(6=E</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MK^6U7^'VN]L6YVE'%*C4I;:%+^N4E)&amp;?"/SOJV2CIVJZEI]N;E"QF+EM M-\&amp;U";BFTN%71'WO2\W+4-,T[/S@HROV+=QKG1S@I43ZE6AXELK?</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LHY(_P!/ MKR_UADA^RM-_TS(?X%K]1'Y*U'_4&lt;]_F+GZTC@8]9Y M -/9[.$A*YKB5E6C2YER,2XEOS- M]^P&gt;-</w:t>
      </w:r>
    </w:p>
    <w:p>
      <w:pPr>
        <w:spacing w:after="0"/>
        <w:rPr>
          <w:sz w:val="20"/>
          <w:szCs w:val="20"/>
          <w:color w:val="auto"/>
        </w:rPr>
      </w:pPr>
      <w:r>
        <w:rPr>
          <w:rFonts w:ascii="Arial" w:cs="Arial" w:eastAsia="Arial" w:hAnsi="Arial"/>
          <w:sz w:val="16"/>
          <w:szCs w:val="16"/>
          <w:b w:val="1"/>
          <w:bCs w:val="1"/>
          <w:u w:val="single" w:color="auto"/>
          <w:color w:val="auto"/>
          <w:strike w:val="1"/>
        </w:rPr>
        <w:t>L;P=1/7/.U'9LL)U;HZ"C;-)UDO,5G54S&amp;Q$:THUOOK^M07 1&lt;H5X MM4U;(Z+DK^HZA?P96VJ]K?1&amp;*Z92Y+K?'A1GNTS2\[K6&gt;M:?D++G?FUX$NF4</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MGT177QZN;1Z:HE.(_55[4'Z24F:6Y;ZE7ZZ711]9%+*9+R36T5)2)IHNAZYU ME%:4&amp;S3L(&lt;=/5-+1MJ&lt;5UJE]*'?S?</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=_BWQ/W1&amp;5JS*WD()1K^;9LIM\7R=*-:JG+J/G?P]U_3M/U'6 ML]K6?C:G?C%IM/SFY2E*E$^7XZ]AF-@7UC,)*[M:7;]C?'N/XG;_ '=?5P1% MN71</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1EP4EW3&lt;_7L5M2W&gt;TI45=:S2R";MN!A*G.WCVZMMA]*G7E*;/7D-&lt;^'U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M^WM2&gt;OZCG\Q+7K5B$I0FXNW&amp;*HN[22;7=Q=%2&gt;&amp;JHDDSJ]&amp;WW9O[GCH&gt;0R5A M:-PJ6^U5UG7'%'T'PNUM9O;FKY# M5+ZEE MA-</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6OWMT%W/;$Z&amp;AVA)LRIVY4=DQCMQ.0U5*5=SNXRBS[:J5!+K6UMKC:1-(E MV;=J75RCB"J.T(C2_P!?9;,N92.]KD]VN]</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[Q2O2P8E%05Z7!8J2DXJK;/LOPEU.Q"&gt;J:5+W#3;:C1K#1S: MH\57Z*C4XEZ[DF_B#@51DGM2O"\DH,^KVG4.%AS=)!^5U34E'6(N#4B[P]/P</w:t>
      </w:r>
    </w:p>
    <w:p>
      <w:pPr>
        <w:spacing w:after="0"/>
        <w:rPr>
          <w:sz w:val="20"/>
          <w:szCs w:val="20"/>
          <w:color w:val="auto"/>
        </w:rPr>
      </w:pPr>
      <w:r>
        <w:rPr>
          <w:rFonts w:ascii="Arial" w:cs="Arial" w:eastAsia="Arial" w:hAnsi="Arial"/>
          <w:sz w:val="16"/>
          <w:szCs w:val="16"/>
          <w:b w:val="1"/>
          <w:bCs w:val="1"/>
          <w:u w:val="single" w:color="auto"/>
          <w:color w:val="auto"/>
          <w:strike w:val="1"/>
        </w:rPr>
        <w:t>M:K]^UVGH]S;_ %I4/-\6TOX=H_!5[^7ZG_H/.T/OQ\+-#Z2\8$/EXSUX^J[_ M 'BV#?\ WF?]&lt;.0!^5/B5_.NM?\ 8_N+1^FOAU_)NC_]K^_NF?HX4[8 M _]7W\ -</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#XC!UHZL&amp;LK.^2]N4QCK; M];[UQ7/&gt;MPPT)=-)3W#;EM/LV%YO)2,XM,C&lt;\O"T;C-=7T%'0OL-/=L]3U;B</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M&gt;JIKM2'9;"SFB:=N&amp;UJ.O7U;RUFW*5MN$YKO:I1\V$9/@I2DG2B&lt;5Q3HW+_P!^UK*[PGG-:E&lt;4U!Y:[!2;FJI2DL,5"-7%D9K:</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&lt;,IH\8.+FLQ;FXI1='AB\3B+MKZ&gt;1QVE+5WOW K\?;?9IF_-%^&gt;K2E1D MGKN=&amp;]P[3S&amp;X,KO?,:A..HPM1!.-W_=X.33;JL*;7&amp;BT"T'&lt;^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M7T/,;.L9"V\C*ZU'-.[!*-EW,;K:]/$^E)8?.?'A5Y\[B&lt;03:=RY*C=,3DV\,4Y/GR2;[#M=VQG-(TZWCO?=U;A&amp;J5&lt;* M22K)I+@NET+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(Y:VK7UEG8;B+"C'HZW,NXSL/"\E&amp;44O5TE7&amp;4E_XZM&amp;-B9.# MK)*-=D(]27B76TB*EE;U-VJDKZRF=5#=Z5NC):7OG5M9EBN:5F;^83&lt;4TW:N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MS#U&amp;I[;SNI[,TO28X;&gt;J9&gt;S8:4J-*Y:@E*-55?2BFJKCS MIQ-EK\&gt;[FMSN6]NT]F?#&lt;#@BR, W6C)?9IQ=T_9]7^1*UX/T=D?B7BVUF]:_@O\ \-&gt;MVL'?</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&gt;EB7I8NZ MX4ZL+KUGY_S?PZP[BRFD_P 8_P#B+5R[C[KT&lt;$EYN'O&gt;-:\ZJG4ST48HL;\&amp; M&amp;+&lt;:XU]*&gt;G/P&gt;6!9UC&gt;FO,O1GICXI6['0'I3T=YW(&gt;C_</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$AZ/[7L.W?[+K]7 MM%Z=8_S_ *IG?XEJ&gt;HZCW6#[Q?N7,-:X&lt;=$?&lt;]-R?\ #].R M&amp;0[S'W%F%O%2F+!%1K2KI6E:5=.MGB-RM^RCDC_3Z\O]89(?</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LS3?],R'^!:_ M41^2-1_U'/?YBY^M(X&amp;/6&gt;0 M #02N:*RY&lt;3U6&gt;K.V^4.$=L-!D]BW2FLI9?MTKYJ$*=I:&amp;N</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MJ[?;/TC\/]$MZ1MZSGHV&lt;6HYJWWKZ&amp;XM5MP3 M?)---OIE)M]%.M#/&gt;R#UC6XO(\QDK(UEPU;)R"U4\7%LY&amp;L=$1;,$VZXY06[ M!4BKA-</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-)&amp;T).GW7'W5+&gt;=4MU:UJ^C:'O3X&gt;[&gt;T^SI^GYR:MQXR;M7,4Y4XSD</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M\'%MJG8J)42H&lt;%K&gt;SM]:_J%W/YW+VW.3&gt;&amp;*N1PPCT1BF^2^63XOB;CZMS;K@ MJ^,G;@&lt;&amp;[DK!A;@R;84E2T\+&amp;5EP2S"V'K5F+CMO(M)0/6Y-</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T%))E'RJ: S&lt; M2;Z5MJ-:#)!&amp;:L?Q$W!K&gt;3TS0=;V[GIV]-OQ&gt;)J*Y3C"=IRQQ;CBCBZJ/ASX M%M@:'H^9S^NZ1KF1MW-</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0L32BG)_F.4;E,+2:3P\&gt;//Y;NX=]73EK'^_YN\J2 MT*&gt;W=O\ 9F0YZ_+6N*FG8RJI#MMU4I76;:E!05$I5W&amp;_6T3[[%#4=NSJVRPM MQ3A]9I3NKU?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X@Z7J&amp;Q)92&gt;;[S7KV7C:G%QDGC5(W)MJ.!)\9*CXMJBX-+9Z5 ML74*Y)\&gt;*.7&gt;L W 67;F^W:%%RTG</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M1OPN$IR.N6^'=6'&amp;;:&gt;OJXH+SIRO7U2=1514!;M')+0HSZC*VUI(E*/7Q["T M#-YC9&amp;[+EJW)7L[!PM]</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&lt;^[A*E.QSG*'+BZUY4/7O36\EEMY;5M7IK!E9XKCX M4AWKBN/@C%3IT*C+H&gt;MCV\98S_:6%+FP[;=7?C5DUUYHF(BWW:6ID'J"]J&gt;S</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MUQ,W0TZJMHY&amp;CIUVVM"SITNK2FI2YP-DM1:WX5Z_I6@YG6,KJ^8CEW?C;PN? M!5MNYBB^#PMXZ\:</w:t>
      </w:r>
    </w:p>
    <w:p>
      <w:pPr>
        <w:spacing w:after="0"/>
        <w:rPr>
          <w:sz w:val="20"/>
          <w:szCs w:val="20"/>
          <w:color w:val="auto"/>
        </w:rPr>
      </w:pPr>
      <w:r>
        <w:rPr>
          <w:rFonts w:ascii="Arial" w:cs="Arial" w:eastAsia="Arial" w:hAnsi="Arial"/>
          <w:sz w:val="16"/>
          <w:szCs w:val="16"/>
          <w:b w:val="1"/>
          <w:bCs w:val="1"/>
          <w:u w:val="single" w:color="auto"/>
          <w:color w:val="auto"/>
          <w:strike w:val="1"/>
        </w:rPr>
        <w:t>&lt;8^"GO^).@ZIK&gt;6TJ]I5F5WNI3Q1BU5J:A27%KT&lt;-.%6L M2=.#+G6?#56TSU8U9;&gt;9SHXN&gt;M[$^2J*1AZFLHJKK7#D68NZOMZSTNLU551U MM:=3=-</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-0+)EQQLU)4:3ZB=2UN;LM22?H6HVU*YR32I!R M3:3X]9LKJN+=U MC2A)(&gt;S?.Y2:I*DD\73P1@V1MW)[BSF:R][/W,OF+,5*W@I5T;4V</w:t>
      </w:r>
    </w:p>
    <w:p>
      <w:pPr>
        <w:spacing w:after="0"/>
        <w:rPr>
          <w:sz w:val="20"/>
          <w:szCs w:val="20"/>
          <w:color w:val="auto"/>
        </w:rPr>
      </w:pPr>
      <w:r>
        <w:rPr>
          <w:rFonts w:ascii="Arial" w:cs="Arial" w:eastAsia="Arial" w:hAnsi="Arial"/>
          <w:sz w:val="17"/>
          <w:szCs w:val="17"/>
          <w:b w:val="1"/>
          <w:bCs w:val="1"/>
          <w:u w:val="single" w:color="auto"/>
          <w:color w:val="auto"/>
          <w:strike w:val="1"/>
        </w:rPr>
        <w:t>MJNOFUC1KCQ;?09OV?LVWD)WH8]B+YNC*E_X7Q#DNV+Z@\BW]&gt;TC-P%7:UFRU M!</w:t>
      </w:r>
    </w:p>
    <w:p>
      <w:pPr>
        <w:sectPr>
          <w:pgSz w:w="11900" w:h="16919" w:orient="portrait"/>
          <w:cols w:equalWidth="0" w:num="1">
            <w:col w:w="11420"/>
          </w:cols>
          <w:pgMar w:left="220" w:top="118" w:right="259" w:bottom="0" w:gutter="0" w:footer="0" w:header="0"/>
        </w:sectPr>
      </w:pPr>
    </w:p>
    <w:bookmarkStart w:id="131" w:name="page132"/>
    <w:bookmarkEnd w:id="131"/>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strike w:val="1"/>
        </w:rPr>
        <w:t>&lt;40W'TDA,RZ*69KWJ1%&amp;="PT3C*UKUZC*3=+BLWN_:'N=J%[(Y;*V-7S&gt;7G M:E:M6U&amp;:G]&gt;2M9W-9F]HF5S$+L;ERZY)QM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strike w:val="1"/>
        </w:rPr>
        <w:t>MM35$Y2I)M8:)57'C3B;/ZZ?*L'/Y Q)B6(K*&gt;KDK A[DN2ZDL+0[YA6WFN!:</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MAHRIZI:T]:Q&amp;0"JE3&gt;NILUK2C(M4F,GP&gt;TN]E]/U75;UMQAF)PA#H35O%BDN MM-S2KUQ?:8/BQJ-</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J]F]+TRW.L[,9SFET.=%%/J=$W3JDF^:.D8@IQ3'S&amp;NG?U]G0"5*=0&amp;@D ^(_ 7,P#R)_M&amp;MNO M[@67/^4Z(=WI_P#P]W!_GK'S'%9[^&gt;]"_P E?</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_61GZ.$.U/"=E;]E')'^GUY M?ZPR0_;6F_Z9D/\ M?J(_'&gt;H_ZCGO\ ,7/UI' QZSR M 3HR'Q353."W/60;T+2MZ!M6W</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MLRE'0%LPT7;\''ECK%%25#$0U"Q&amp;QM&amp;5366+45E05-14R$==UQQQ?5U4HS,S M'&amp;9CX&gt;[/S68O9K,:/BOW)N4GWM]5E)UDZ*Y15;K1*BZCK[._-</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V9&gt;S:L6=6PV M;&lt;5&amp;*[JRZ**HEQMMNBHN+J;U_"@[Z.7./_\ 33#_ /\ V_T&amp;'^VVR5RT3_\ M6S'_ .Z9/[A;QX__ %C_ /1L?</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_MF(+N4,@N9'DLNLW9+QF29:Z)&gt;]*V[X)Y% MO2IW-/2%3*2TI2'!-Q]/'*K:VL=4IJG0TRE*S0E"6_K1UJT[(?P^UI4LI"6G</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M0M1MJW*LXX(148Q&gt;)MNB256Z\*UKQ.86H9Y:AY'#U M#_ -7\IT4M][NE;[IZS+#V</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M0MI]/YRABY.G,PUE)23G)&amp;MF)F1KY:6DJEVLD924JWY"1KZQ]1K?JJVMJW'J</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MFKJ7W#ZRUN*4I2N$SXQU]J%NQ;A:LVXPM12225$DN227!+L.4N7+MZY.[&gt;NN M=V7%M\6WUMNK;</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[:_*9+XLWL;I\+PE+;6.\RW)$V[0,^;1T%*4L%=\1%TO6-9 M4L1'WE$W!2Q-,2U&amp;9(ID-)(S,R+A,&lt;[J&gt;S]L:Q?</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EF=0T&gt;W._)U)XM5US6-;+6K[*P]D;XH6S*3]7=%=&amp;_%"PY_MYZNCHJ)JJ_SR</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MZ+7FZ]OM*"$I6^R0ZEE/9=8D$I2S5XM9VEMW&lt;&amp;:AG=7T[OLQ&amp;VH)]YHZZB=8J6'"(S(S2HM2/0^</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M#@&amp;^OV,OFK%S+9K+PN6)JDHR2E%KM3X/QU[#29:_F,G&gt;MYG*WY6[\'52BVFG</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MX4T_#UU9E[5^L8WJUL&amp;FWGL]7$B@2E2"J*2#LR@G3)1N&amp;9G=%#;5-LH8OQ]748:RN3O7KLIW MI.KE)U;?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2VWQ=&gt;T@BQ4T/I+Q@0^7C/7CZKO]XM@W_P!YG_7#D ?E3XE?SKK7 M_8_N+1^FOAU_)NC_ /:_O[IGZ.%.V /_U_?P M #0^(_</w:t>
      </w:r>
    </w:p>
    <w:p>
      <w:pPr>
        <w:spacing w:after="0"/>
        <w:rPr>
          <w:sz w:val="20"/>
          <w:szCs w:val="20"/>
          <w:color w:val="auto"/>
        </w:rPr>
      </w:pPr>
      <w:r>
        <w:rPr>
          <w:rFonts w:ascii="Arial" w:cs="Arial" w:eastAsia="Arial" w:hAnsi="Arial"/>
          <w:sz w:val="16"/>
          <w:szCs w:val="16"/>
          <w:b w:val="1"/>
          <w:bCs w:val="1"/>
          <w:u w:val="single" w:color="auto"/>
          <w:color w:val="auto"/>
          <w:strike w:val="1"/>
        </w:rPr>
        <w:t>7,P#R)_M&amp;MNO[@67/^4Z(=WI__ ]W!_GK M'S'%9[^&gt;]"_R5_\ 61GZ.$.U/"?E8M,I9)X&gt;*_[Q_P!89'VA^VM-XZ9D&amp;N7&lt; M6OU$?CO4:_Q'/)KCW]Q_^L_*</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&lt;"'K/( M &amp;A^YXP7,K+D&gt;O+U7G M[Q;!Q?NF?]&lt;&amp;0.YJ6I#\J?$O^=M:73^Q_&lt;6C].?#M4V=HZ?/]M^_NF?@X4[4 M __0]_ -#XC &amp; &gt;0^</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M'UC.W7O8"RY]63HAW&gt;GO_P#'NO\ 7]^L?,&lt;5GOY[T/A_\C&gt;_61GZ?$.$.U/'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MYOUVK7WMXS3&gt;,K50TG68QOBYY&gt;XK(O)JG&gt;J(MQB&gt;KJF4.W)*O0CL*6X89;SC M"V7&gt;S%SRCJ6Z.'@J)VMJ32:B2NIJ#;+L:&amp;</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M@IR/K/5+ZFZ=A&amp;JW%H21F7FSN&gt;R6EY&gt;YG-0S=NUEHKC*327@ZVWT))M]"9ZL MGD&gt;4ZFB)OLWD(T/ZY)C;V=9OV-</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%SNB1MP&gt;7OWH7')UQ)P5$EQI1]/ U5 M[2+%[6,IK,KDE?LVIVU'AA:FZMOA6JZ.)&gt;&lt;:@VIM\G$QDU0545,Q]#+Q=IZGPC?</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PW;NBW%0CN#.477=F_QMLT&lt;]J[:G)R&gt;A92O9 M:@OF2(GS+-I7T=,0?(&gt;#]ZBWOANG^H,W]I+RE?=/;/L/+&gt;I$?,LVE?1TQ!\A</w:t>
      </w:r>
    </w:p>
    <w:p>
      <w:pPr>
        <w:spacing w:after="0"/>
        <w:rPr>
          <w:sz w:val="20"/>
          <w:szCs w:val="20"/>
          <w:color w:val="auto"/>
        </w:rPr>
      </w:pPr>
      <w:r>
        <w:rPr>
          <w:rFonts w:ascii="Arial" w:cs="Arial" w:eastAsia="Arial" w:hAnsi="Arial"/>
          <w:sz w:val="16"/>
          <w:szCs w:val="16"/>
          <w:b w:val="1"/>
          <w:bCs w:val="1"/>
          <w:u w:val="single" w:color="auto"/>
          <w:color w:val="auto"/>
          <w:strike w:val="1"/>
        </w:rPr>
        <w:t>MX/WJ'OANG^H,W]I+RCW3VS[#RWJ1'S+-I7T=,0?(&gt;#]ZA[X;I_J#-_:2\H]T M]L^P\MZD1\RS:5]'3$'R'@_&gt;H&gt;^&amp;Z?Z@S?VDO*/=/;/L/+&gt;I$?,LVE?1TQ!\</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MAX/WJ'OANG^H,W]I+RCW3VS[#RWJ1'S+-I7T=,0?(&gt;#]ZA[X;I_J#-_:2\H] MT]L^P\MZD1\RS:5]'3$'R'@_&gt;H&gt;^&amp;Z?Z@S?VDO*/=/;/L/+&gt;I$?,LVE?1TQ!</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M\AX/WJ'OANG^H,W]I+RCW3VS[#RWJ1'S+-I7T=,0?(&gt;#]ZA[X;I_J#-_:2\H M]T]L^P\MZD1\RS:5]'3$'R'@_&gt;H&gt;^&amp;Z?Z@S?VDO*/=/;/L/+&gt;I$?,LVE?1TQ</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M!\AX/WJ'OANG^H,W]I+RCW3VS[#RWJ1'S+-I7T=,0?(&gt;#]ZA[X;I_J#-_:2\ MH]T]L^P\MZD1\RS:5]'3$'R'@_&gt;H&gt;^&amp;Z?Z@S?VDO*/=/;/L/+&gt;I$?,LVE?1T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MQ!\AX/WJ'OANG^H,W]I+RCW3VS[#RWJ1'S+-I7T=,0?(&gt;#]ZA[X;I_J#-_:2 M\H]T]L^P\MZD1\RS:5]'3$'R'@_&gt;H&gt;^&amp;Z?Z@S?VDO*/=/;/L/+&gt;I$?,LVE?1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MTQ!\AX/WJ'OANG^H,W]I+RCW3VS[#RWJ1'S+-I7T=,0?(&gt;#]ZA[X;I_J#-_: M2\H]T]L^P\MZD1\RS:5]'3$'R'@_&gt;H&gt;^&amp;Z?Z@S?VDO*/=/;/L/+&gt;I$?,LVE?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M1TQ!\AX/WJ'OANG^H,W]I+RCW3VS[#RWJ1'S+-I7T=,0?(&gt;#]ZA[X;I_J#-_ M:2\H]T]L^P\MZD1\RS:5]'3$'R'@_&gt;H&gt;^&amp;Z?Z@S?VDO*/=/;/L/+&gt;I$?,LVE 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1TQ!\AX/WJ'OANG^H,W]I+RCW3VS[#RWJ1'S+-I7T=,0?(&gt;#]ZA[X;I_J#- M_:2\H]T]L^P\MZD1\RS:5]'3$'R'@_&gt;H&gt;^&amp;Z?Z@S?VDO*/=/;/L/+&gt;I$?,LV ME?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1TQ!\AX/WJ'OANG^H,W]I+RCW3VS[#RWJ1'S+-I7T=,0?(&gt;#]ZA[X;I_J# M-_:2\H]T]L^P\MZD1\RS:5]'3$'R'@_&gt;H&gt;^&amp;Z?Z@S?VDO*/=/;/L/+&gt;I$?,L MVE?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1TQ!\AX/WJ'OANG^H,W]I+RCW3VS[#RWJ1'S+-I7T=,0?(&gt;#]ZA[X;I_J M#-_:2\H]T]L^P\MZD1\RS:5]'3$'R'@_&gt;H&gt;^&amp;Z?Z@S?VDO*/=/;/L/+&gt;I$?, MLVE?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1TQ!\AX/WJ'OANG^H,W]I+RCW3VS[#RWJ1'S+-I7T=,0?(&gt;#]ZA[X;I_ MJ#-_:2\H]T]L^P\MZD1\RS:5]'3$'R'@_&gt;H&gt;^&amp;Z?Z@S?VDO*/=/;/L/+&gt;I$? M,LVE?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1TQ!\AX/WJ'OANG^H,W]I+RCW3VS[#RWJ1'S+-I7T=,0?(&gt;#]ZA[X;I M_J#-_:2\H]T]L^P\MZD1\RS:5]'3$'R'@_&gt;H&gt;^&amp;Z?Z@S?VDO*/=/;/L/+&gt;I$ M?,LVE?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1TQ!\AX/WJ'OANG^H,W]I+RCW3VS[#RWJ1'S+-I7T=,0?(&gt;#]ZA[X; MI_J#-_:2\H]T]L^P\MZD1\RS:5]'3$'R'@_&gt;H&gt;^&amp;Z?Z@S?VDO*/=/;/L/+&gt;I M$?,LVE?</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1TQ!\AX/WJ'OANG^H,W]I+RCW3VS[#RWJ1'S+-I7T=,0?(&gt;#]ZA[X M;I_J#-_:2\H]T]L^P\MZD1\RS:5]'3$'R'@_&gt;H&gt;^&amp;Z?Z@S?VDO*/=/;/L/+&gt;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MI$^D[+]I:%)6G;IA[K(4E1=&gt;Q(%Q.J3(RZS;E&amp;I"TZEPDHC(^4M &gt;[]U4=-P MYM/_ !)&gt;4&gt;Z&gt;V51_P+*_9Q?XJ%[;1Q_8F/Z)&lt;;8=E6E9,/M&amp;VX&gt;VZ)?</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M9D9-]:EAJ.B85V9&amp;9)U3P%Q#39O/9[/W%=SV=NWKBY.#\AH_?PE0EU!M%,\GP1?E M*6_]#1^_A/=]H3J?!Y2@4\=%+]W^0T?OX'"B;J*GR&gt;58$BU\QE__</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$-%[^&amp;- M*KHN8JNLIJRS;Z2U\PF#\#-#K_9XM@EU"JZRF&gt;7;&gt;+CCYKP=C0?"&amp;@8)=0JN ML^/PPVWKH=!-</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E_YB@^$0P2ZA5=92/,UM$1GZ/G.#N,1^O_*08)=0JNLIGFJV M"_M=._&lt;\?W?[Y"&lt;$A5=8_#7:_P"ET]]SQWPF08)"JZRD&gt;&lt;+6(M?1L_S4\;W&gt;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M_*$(P2ZA5=93/.EJ%IK&amp;W#]S1OPJ&amp;"74*KK/@\\6D1F7HVXN#^MHWX5$]VQ5 M'R&gt;&gt;K2(M?1EQ?XBSB+7T50J2) MZ9DA;NI=: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(Q(IGN6L@CT]#W3]R1'PT'=2Z6AB1\GN9L@N'T/=7W)$?#0K@EU M$U76?![G+&amp;(M?0UU\?\ 4D1\-B5!L5764SW06(1Z&gt;AKL^XX?X;$]U+K1&amp;)%,</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M]TUA$6OH6[ON*&amp;^'1'=LFJ9\_.HL'EA;O^XH7X=(.[D^E!NA2/=98!%J&lt;)&gt;' MW%"_#PGNI=:^4C$BFK=CC].GYQWB?'^4H3X&gt;#NI=:^48D?!</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[M&lt;&gt;%_:.\N#^L M83X?#NI=:&amp;)'P&gt;[?'B=-8*\^'7\HPGWP!W;ZQB135N\QTDS_ #BO3@_K&amp;#[F MOZX [OM&amp;)%(]X..2_M!&gt;OW#!?? '=OH8Q(^?</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GAXX_6_&gt;Q_\ $8'IN$A/=2ZU M\H-C\_&amp;9'H=O7US1\!]\A"5:F^5!B12^&gt;IC(O\ -V^_\'V_]\@=S/L#G%'R</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MK&gt;MC%.GZG+\/7N1]OZ_5N4.ZEUKY2.\B^A_(4SWMXO(M?BY?O^#[&gt;^^81W4N MM?*3B13/&gt;_BY/';E_-!C/@]^&gt;)RX[8R'_@VVOOJ</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MY!#LR3I5!S2Z.!4I]^6('7D-U$!D&amp;C:4KJKJ78F =:9UT^N=137,]4=0N7J( M6?&gt;$NS-=05R+Z'\AE99=]VED.%:N"S9RCG(MU1MJ&gt;IC6AZF?2E*E4M=1U"&amp;J</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MR@JD)41FT\VA?542M.J9&amp;&gt;*47%T:+)I\CEH@D #_ MT_?P "P]T2#TA,5?769LTKSE+3-D?UB&amp;V5FV:</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MB+_PG5)-1^'3D(9;:7%])23XT.+F7UQGWS]LSXQD*D5S[+P]/^Z (R_)/F\9 M ",OC+P=)BK?%(NN10,ABAZ2,=%YW81%\7/T&amp;,X(J^/F MZ3 $57&amp;?A/I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$17DG[.4 15\9&gt;#I,$J ^!#YH@B*\D_9RB22*ORB\'NB'R!$ M/C/PF)!\+\D^;QD (R^3GZ "X$-9^5S@2W4B+\D^;QD!!1 $=?V7&gt;ZWB,ND</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M1'.3GZ!/B!$7Y1\WB(0"DOBY^@P!07Q&lt;_08&gt;$$-?E'S&gt;(@!$5Q(P9:/24 MC!"740U^2?-XR J17.3GZ !$/C/PGXP!2BZD04%EJ1\7!_%&amp;.7-</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JB!$&lt;\DR[A=!^'N"A)'7QE MX.DQEBJI.B((:_)/F\9"U%U H&amp;,4N$N0YKF1G"X%&gt;'@UX=.$M1E7%(K1_29D MCM/R/(V%F"VX]%2Z4%?%?26I-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4"3/L:A^2=.E@:OJ'UD(J(^8J6S)&gt;G6)EQU M!&amp;1+,Q2[%.#?2BT/-HER.[@&gt;(S ?__4]_ M ,=I7]$Y#\VU7\W&lt;[XS6^3\)C?-FT'QGX3\8N017.) M7AZ0!&amp;7Y)\WC(</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1E\9&gt;#I,4EZ42ZY%!SCYO=$ODR2BOR?:\9#%#TD4^F1%\7 M/T&amp;,Y!%7Q\W28 BGQGX3\8 B+\D^;QD (B^/FZ3 'R(?./A_(R"(OR3YO&amp;0D</w:t>
      </w:r>
    </w:p>
    <w:p>
      <w:pPr>
        <w:spacing w:after="0"/>
        <w:rPr>
          <w:sz w:val="20"/>
          <w:szCs w:val="20"/>
          <w:color w:val="auto"/>
        </w:rPr>
      </w:pPr>
      <w:r>
        <w:rPr>
          <w:rFonts w:ascii="Arial" w:cs="Arial" w:eastAsia="Arial" w:hAnsi="Arial"/>
          <w:sz w:val="16"/>
          <w:szCs w:val="16"/>
          <w:b w:val="1"/>
          <w:bCs w:val="1"/>
          <w:u w:val="single" w:color="auto"/>
          <w:color w:val="auto"/>
          <w:strike w:val="1"/>
        </w:rPr>
        <w:t>MDBKX^;W1$N7C7SD$0^,_"?C$DGPOR3YO&amp;0 BN,AD,^ A,_18*#BN%/@/3OZZ&gt; MUQ&gt;T,(Y$5?&amp;KN?7 _%]0]&gt;Z,,_29)##I/ZHS0]%$$-7$?1W"/FY!8@CF?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#[7BUYQBGZ1)''I&amp;1(OV6\5_NC63_K-%B)JL9+L"YH]!H\!F M __]7W\ L_G?.^,=MF+[DS!EZX/B[95L(I$550S1U,ZW&amp;=P7G927$,5-RVBAZOE:*6HJ)]SJ/-</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&amp;\U5HZCB MNQ-#+RF[2MRBD^#79T&gt;$' KL]:!MPL^Z+GH*R$S-*8TL6_V\77_N.@,8R4KM MWL:^RK*.,KH&amp;XLAM5B'&amp;U1$K(T]+5U--15-</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&amp;T\^V7:FE:5'/=2IT5ZND&amp;;N1 MLC6IBO'-YY4N^0;H[.L2TYJ\IRO0[2%^&lt;\'&amp;ORE1YFY5U-)1O554RQU*=*GD</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M)&gt;=6A)*+K:BB3;22X@LKD+=SC'&amp;&gt;TYC&gt;//X+'\&gt;V!DDHJ@C8&gt;IO9N#R0 MJVD0%&amp;N+$.79.+\8,YM&gt;GV&lt;.@Q@U]GL, -?9W@!CM*_HG(?</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FVJ_FZQFM\GX3&amp;^;- MH/C/PGXQ&lt;@BN&lt;2O#T@",OR3YO&amp;0 C+XR\'28I+THEUR*#G'S&gt;Z)?)DE%?D^U MXR&amp;*'I(I],B+XN?</w:t>
      </w:r>
    </w:p>
    <w:p>
      <w:pPr>
        <w:spacing w:after="0"/>
        <w:rPr>
          <w:sz w:val="20"/>
          <w:szCs w:val="20"/>
          <w:color w:val="auto"/>
        </w:rPr>
      </w:pPr>
      <w:r>
        <w:rPr>
          <w:rFonts w:ascii="Arial" w:cs="Arial" w:eastAsia="Arial" w:hAnsi="Arial"/>
          <w:sz w:val="16"/>
          <w:szCs w:val="16"/>
          <w:b w:val="1"/>
          <w:bCs w:val="1"/>
          <w:u w:val="single" w:color="auto"/>
          <w:color w:val="auto"/>
          <w:strike w:val="1"/>
        </w:rPr>
        <w:t>H,9R"*OCYNDP!%/C/PGXP!$7Y)\WC( 1%\?-TF /D0^,A))%7Q\WNB),@!%,@!1 $=?V7XKI $-SDY^@ 15^4?-XB %)?%S]!@".OBY^@P! M$7Y1\WB( 1%</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&lt;7.7B,&amp;6CTE$P1$N9$7Y)\WC(""*YR&lt;_0 (A\9^$_&amp; *3G)S] M B.&lt;:O!T "&amp;OBY^@P!2 %%?E'S&gt;(@!"7Q&lt;_08 CKX^;W1EAR\9#.-W'/1MJ</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MV]/7/,O'3P]N0TG/2KY))1LQL11/R%NCRADO-&amp;#[$R?MPI\IF1'E\VBZB(QK5ME\LU9KOR"R58^#L/6Y;BDD7UQN:HQN-&lt;4@EPJ^1"P]FJ</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M_9K)M\8,S';UKP^1[2@(Z\8^6L:LE'[2NRTJ]UBA=D*"DG=9&gt;/=CY"K9;63C MCO74Z:?K.RZSL.-$I)AI)*AE"OC_ !/N\O)X&gt;07AZ**F!M;GO/=]_A+NO!UE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MXWK\:XPF)N 54WI7W&amp;=S9(D;80;T^Y9:8=5+&amp;1=(T2&gt;SIU5A/)J'.J9*+K+0 MU;JJ7PI-59DKB')&lt;5F'&amp;UHY)A:9VAH;IC%59T#[J:AV.KZ2KJ8V6C55*$-IJ</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M2CY:C?9)WJ-FZ2"5U4Z]4L4^?%%6J.B? N"YQ*\/2,BY(@YWB']ES%?[HUD_ MZS182]%^ +FCT&amp;C7F8 #_];W\ L?G7 M&gt;--P4)9L#M?&lt;1A6E&gt;DL"</w:t>
      </w:r>
    </w:p>
    <w:p>
      <w:pPr>
        <w:spacing w:after="0"/>
        <w:rPr>
          <w:sz w:val="20"/>
          <w:szCs w:val="20"/>
          <w:color w:val="auto"/>
        </w:rPr>
      </w:pPr>
      <w:r>
        <w:rPr>
          <w:rFonts w:ascii="Arial" w:cs="Arial" w:eastAsia="Arial" w:hAnsi="Arial"/>
          <w:sz w:val="16"/>
          <w:szCs w:val="16"/>
          <w:b w:val="1"/>
          <w:bCs w:val="1"/>
          <w:u w:val="single" w:color="auto"/>
          <w:color w:val="auto"/>
          <w:strike w:val="1"/>
        </w:rPr>
        <w:t>[(L9YFLE[,C3!(M_+&amp;9,@P M:X:NLJQ:AZGZ]S0%D1JBJGY%GMJ0JH]$=9JIIG:C*EW=M0DO.EQIY08_X$M^ M,K?^[UWS45[2J^JN'!NY&gt;]IJKJ^H[52-</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S,Y&amp;R1*L2E6Z2$KJ*MBKB:8TK7UE MZ,H(U'H)E_\ $1ZZH%Y-RNW?#^=?576]FS*MIU%V9*QUZOV)NRS)ZHNN](^E</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MA[CHL)TET4LPNWX&gt;XH^VY:O9G3[[1".L2E(41&amp;$6E&gt;DVZ/=SNBPMGG!V-]V^'[[6MIR1?N-9G3L5D&gt;RTP3J%*(EH2K2N",HR&lt;).JYU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M_(#L^]G2,0.F&gt;2]9+E2BD:^C;L3'RVZ2NJJ9M2T7'UC0P^XRDU=6&lt;(NL:4\.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MFA:C)W?:14[9,:W+5WICJP;RKV*&gt;EK[MLJUKFK:6C)PJ2FJYZ#H)6IIZ4GEN MO&gt;;LO52DHZZE*ZI%J9GPBCX-HDM7*_HG(?FVJ_FZQEM\GX3&amp;^;-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H/C/PGXQ&lt; M@BN&lt;2O#T@",OR3YO&amp;0 C+XR\'28I+THEUR*#G'S&gt;Z)?)DE%?D^UXR&amp;*'I(I] M,B+XN?H,9R"*OCYNDP!%/C/PGXP!$7Y)\WC( 1%\?-TF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/D0^,A))%7Q\WNB),@!%,@!1 $=?V7XKI $-SDY^@ 15^4?-XB %)?%S]!@".OBY^@P!$7Y1\WB( M1%&lt;7.7B,&amp;6CTE$P1$N9$7Y)\WC(""*YR&lt;_0 (A\9^$_&amp;</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*3G)S] B.&lt;:O!T M "&amp;OBY^@P!2 %%?E'S&gt;(@!"7Q&lt;_08 CKX^;W1EAR\9#-BFHB+N"'E8&amp;;H::4 MA9N.K8B7C*UM+U'(QKI7EMK2?</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I*C(6DZ)M#CT)O@7MV[XL=PIA2P,95-6U6UUL0SR96IIDJ M*E=FI&gt;0KIZ;.D-PB&lt;72-RLH\EI:R2:VR)1I29FDE:RJ&amp;ZU,:\+U2LX[H\QYG</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MJE)JK5PVIS!N+T%^.TB9-I2JJ_I]APD);565+JDMM/)-1N4%V38NWU0\(:?B_!7/)QBJSSD[;I;SF&amp;.M%QBWJ</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MAQ_L7'4TYNF9FGK*,QCE5RPUX%5X&gt;!A9MXE*Z\]SV9+TR?%U&amp;/\ ,C%D0]LQ MN)Z@CK2A&lt;:M2-#5*GF;G:4J,NHI&amp;:9I&gt;T&gt;HTM,L+7IU5=HGJS)-</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*G06EP43. MZ&gt;K78V&amp;EI%A+:GZ"+KZUE+I*-I3M+2O/MDZ2%MK-LUH+K:*2&gt;G*7&amp;)3I!/\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M#F5CZ2.IG:;=^XU&amp;V&gt;.J&lt;1V9C!^W[,=O!Z8=OZNN2HN/(TRN&gt;E[AD&amp;K98@7: M&gt;CCE4\56T]"VY7J&lt;*HJVS\ELC45VU6E3(Z553L*P7DF!R[BNT,@6Y&amp;-</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P&lt;=/4 M52IR#;-DTPTI12%903,&lt;2J=IAMQMF4IGC;&lt;[-LWFC2Z:$]?08I^DZE)_C[;+DKU;E@8TL65PM=UW</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M7A$61NHK\HQ$=1V=A'(]XN7=/0T_B;T&lt;[&gt;\M?49324C2'YNX="\[5IZKIMM=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M=S*IP&lt;^];X]7_*#L^W"X/E)38]EO;GB6,7+2S^VNZ&gt;I2ZZ_E!:6YL+;HJ;8MMYL/" M%WT^+MQN%;'V_5]1 RDNQ\6+NE&lt;;6A#1-ZXBN^;A/3-&amp;</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[;]PDW4L&amp;_3&amp;_3.U M3#!]JEE2GTRG!SDYJL74%H9_&amp;F[[&gt;+G3:_.YSP-;NV+#VVC)-+G*5I%9CMC+ M%WY(R7</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4#]/9D5;R;+CF*&amp;$MN&amp;KGW':MVO6V]4LNJ2ELE)(CLI0A&amp;:C)N3[* M [GOB7U?17H&gt;N(O1GHOXVJ\^\X[?\ MDWG#/4T_D:M1E4^#="#N-</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L&amp;U_B/8MEV5Y]Z4^*%IVY:_I+S;S+TC\7X&gt;CB?/ MO,_.*OS3SOS3M.R[5WL^MU&gt;NK34\;XMLDM%*_HG(?FVJ_FZQEM\GX3&amp;^;-H/</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MC/PGXQ&lt;@BN&lt;2O#T@",OR3YO&amp;0 C+XR\'28I+THEUR*#G'S&gt;Z)?)DE%?D^UXR M&amp;*'I(I],B+XN?H,9R"*OCYNDP!%/C/PGXP!$7Y)\WC( 1%\?-TF</w:t>
      </w:r>
    </w:p>
    <w:p>
      <w:pPr>
        <w:spacing w:after="0"/>
        <w:rPr>
          <w:sz w:val="20"/>
          <w:szCs w:val="20"/>
          <w:color w:val="auto"/>
        </w:rPr>
      </w:pPr>
      <w:r>
        <w:rPr>
          <w:rFonts w:ascii="Arial" w:cs="Arial" w:eastAsia="Arial" w:hAnsi="Arial"/>
          <w:sz w:val="16"/>
          <w:szCs w:val="16"/>
          <w:b w:val="1"/>
          <w:bCs w:val="1"/>
          <w:u w:val="single" w:color="auto"/>
          <w:color w:val="auto"/>
          <w:strike w:val="1"/>
        </w:rPr>
        <w:t>/D0^,A))%7Q\WNB),@!%,@!1 $=?V7XKI $-SDY^@ 15^4?-XB %)?%S]!@".OBY^@P!$7 MY1\WB( 1%&lt;7.7B,&amp;6CTE$P1$N9$7Y)\WC(""*YR&lt;_0 (A\9^$_&amp;</w:t>
      </w:r>
    </w:p>
    <w:p>
      <w:pPr>
        <w:sectPr>
          <w:pgSz w:w="11900" w:h="16908" w:orient="portrait"/>
          <w:cols w:equalWidth="0" w:num="1">
            <w:col w:w="11440"/>
          </w:cols>
          <w:pgMar w:left="220" w:top="118" w:right="239" w:bottom="0" w:gutter="0" w:footer="0" w:header="0"/>
        </w:sectPr>
      </w:pPr>
    </w:p>
    <w:bookmarkStart w:id="132" w:name="page133"/>
    <w:bookmarkEnd w:id="132"/>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strike w:val="1"/>
        </w:rPr>
        <w:t>*3G)S] MB.&lt;:O!T "&amp;OBY^@P!2 %%?E'S&gt;(@!"7Q&lt;_08 CKX^;W1EAR\9#.%7U-2EMV3 M&gt;-Q0D157!-0-K7!-1$!0TE57ULW*1&lt;35UT?$4=#1?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strike w:val="1"/>
        </w:rPr>
        <w:t>T;654E5L(9;:9_'7%K) M*/KC(6DJII!'5;MIR&amp;G#NUO&gt;#=N&lt;;[K9&amp;7R3D%.$:B05(5=9(/53,3</w:t>
      </w:r>
    </w:p>
    <w:p>
      <w:pPr>
        <w:spacing w:after="0"/>
        <w:rPr>
          <w:sz w:val="20"/>
          <w:szCs w:val="20"/>
          <w:color w:val="auto"/>
        </w:rPr>
      </w:pPr>
      <w:r>
        <w:rPr>
          <w:rFonts w:ascii="Arial" w:cs="Arial" w:eastAsia="Arial" w:hAnsi="Arial"/>
          <w:sz w:val="16"/>
          <w:szCs w:val="16"/>
          <w:b w:val="1"/>
          <w:bCs w:val="1"/>
          <w:u w:val="single" w:color="auto"/>
          <w:color w:val="auto"/>
          <w:strike w:val="1"/>
        </w:rPr>
        <w:t>M!5V&gt;+KJ+JDRAHU)\.2+2E6B3X'84C)$O&lt;&gt;%9_)G46G&gt;5JNQF0"E[&gt;:FF(V/J;4IWI1]=;,UL8ARC90IU=2R^R9)U6 M22Q875*J(CQ:++[&amp;S5KA*&amp;D-7:I)9\?</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$8ROA)OK$N?@-L:5.,$&gt;-JLZ$ MJE.TX3BZ'O#*&gt;YB?W$3-B7=C:SH7%E'BVS8F^8QJ NRXJAZ=?GY*:DH$JFJJ M8ZBI'*AYMM+QI4ZE;2BT-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"T%9^C1.HX1BDF7^Q]?\YD&amp;4R9#7%C*X;*CK-NZ M3M**K;FIZLJ#(,135%;2IN6%170\&gt;Q40DBPPE:.S55-*0\7XXHN$Y2\U(C@J M-,PGQ7-93VN6-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&gt;&amp;$4X1R;?LI#W%&lt;]1B&gt;[;0@6Y&gt;S+BC9U]=9#O7/,HJD-6PY M253_ %JI+_7,DFI"=5)(U32K;_#@7X2HS)_:]BJ2PO@^Q[!FS85&lt;%!2R$AMUCQS?G%9.K9?</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ESB5X&gt;D M9%R14YWB']ES%?[HUD_ZS182]%^ +FCT&amp;C7F8 #_ MT/?P --/: &amp;OC #0 !IH -0!AY&gt;?[]G"W[CV1O[/IA9&gt;C(&amp;88 MJ#':5_1.0_-M5_-UC-;Y/PF-</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\V;0?&amp;?A/QBY!%'I $9?DGS&gt;,@!&amp;7QEX M.DQ27I1+KD4'./F]T2^3)**_)]KQD,4/213Z9$7Q&lt;_08SD$5?'S=)@"*?&amp;?A M/Q@"(OR3YO&amp;0 B+X^;I, ?</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(A\X^'\C((B_)/F\9"22*OCYO=$2Y&gt;-?.01#XS M\)^,22?"_)/F\9 "*YR&lt;_0 (:_LOQ72 (J_)/F\9 "B (Z_LOQ72 (;G)S] M BK\H^;Q$ *2^+GZ# $=?%S]!@"</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(ORCYO$0 B*XN#H $-?%S]!@"D **_*/F\1 "$O MBY^@P!'7Q\WNC+#EXR&amp;0SX2]G0+2]%@HN&lt;:&gt;[], MN!)&gt;T*I\P4%&lt;'!W2Y-"XSU/P\(RP]$$1?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DGR:Z&gt;,N'PBP(Y\?L]G*,,_28([ MG$KP](RKD@&lt;[Q#^RYBO]T:R?]9HL)&gt;B_ %S1Z#1KS, M !_]'W\ ##R\_W[.%OW'LC?V?3"R]&amp;0,PQ4&amp;/$ MNDT2LDE7</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::ZK2?A)]&gt;NFO(,UOD_"4DN+9LQ\9^$_&amp;+E2*YQ*\/2 (R_)/F\ M9 ",OC+P=)BDO2B77(H.DBGTR(OBY^@QG((J^/FZ M3 $4^,_"?C $1?DGS&gt;,@!$7Q\W28</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^1#YQ\/Y&amp;01%^2?-XR$DD5?'S&gt;Z(ER\ M:^&lt;@B'QGX3\8DD^%^2?-XR $5SDY^@ 0U_9?BND 15^2?-XR %$ 1U_9?BND M 0W.3GZ !%7Y1\WB( 4E\7/T&amp;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(Z^+GZ# $1?E'S&gt;(@!$5Q(P9:/243!$ M2YD1?DGS&gt;,@((KG)S] B'QGX3\8 I.@@&gt; S ?_TO?P M ,/+S_?LX6_&lt;&gt;R-_9],++T9 S#/B%06YNRUJBL?5)QJ" M&lt;=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&lt;27G5,6A.+-!$DGF=&gt;JE2NHDB4GC,RU+4S,7A)+@RLE4MBY'R#:S2Y0UC: MB,R,ETKZ%$??)39&amp;7.,F./65POJ(2Z.L,E?T)4\?_D'&gt;[]J&amp;./6,+ZB.JBK# M2?\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0E3_ .@=[OVHG%'K%'U$9=%6ZE_0=5P%_4[O\8*.46TZEDN!070UIZ&amp;5 M'5GP:?TN]_&amp;=\')4=&amp;24ET%=U3_H*KY/RL]W2_W@QQ=))OD5::K3I(CE!7Z%</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MI0UA\/)3/?Q@S8X]9&amp;%]1'L87U$4XZ1X3\PK&gt;4_ MZ5?_ (P,&lt;&gt;L87U$54;(]4_Z K&gt;3\JO\ =^T!R25:BCZB(J,DS/\ 0ZN^Y7S\</w:t>
      </w:r>
    </w:p>
    <w:p>
      <w:pPr>
        <w:spacing w:after="0"/>
        <w:rPr>
          <w:sz w:val="20"/>
          <w:szCs w:val="20"/>
          <w:color w:val="auto"/>
        </w:rPr>
      </w:pPr>
      <w:r>
        <w:rPr>
          <w:rFonts w:ascii="Arial" w:cs="Arial" w:eastAsia="Arial" w:hAnsi="Arial"/>
          <w:sz w:val="16"/>
          <w:szCs w:val="16"/>
          <w:b w:val="1"/>
          <w:bCs w:val="1"/>
          <w:u w:val="single" w:color="auto"/>
          <w:color w:val="auto"/>
          <w:strike w:val="1"/>
        </w:rPr>
        <w:t>M38M5/BA1GSZ,DOTNKON2H_G8JY1JN(POJ(JHN3ZI_G=7L8 M7U$5&lt;5*=8OSMK^+^HZCO_D8ARB^%1A?41CB)74_SLD./^HZC^=B]11GPN(E&gt; MJ?</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YV2')^4ZCN_P K$8H]8POJ(CD3*\'YV2'+^4ZCO?D88H]8POJ(BHB6/7\Z MY$M=?RE4\O\ YH1CCUC"^HC*AY[_*A9.+?,4?44O0TQ^E4E]P MU/\ .A#E%=</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(H^HCJAI@^M^=,EJ&gt;O!YC5=_\ (@4HO@F,+ZB(N$FN#\Z)/E_* M%5WOR(2*,BKA)GK'^=$GR?E"J[A?D0"C*2X2:T+\Z)/CY*"J/_YD5G%_(A-4*</w:t>
      </w:r>
    </w:p>
    <w:p>
      <w:pPr>
        <w:spacing w:after="0"/>
        <w:rPr>
          <w:sz w:val="20"/>
          <w:szCs w:val="20"/>
          <w:color w:val="auto"/>
        </w:rPr>
      </w:pPr>
      <w:r>
        <w:rPr>
          <w:rFonts w:ascii="Arial" w:cs="Arial" w:eastAsia="Arial" w:hAnsi="Arial"/>
          <w:sz w:val="16"/>
          <w:szCs w:val="16"/>
          <w:b w:val="1"/>
          <w:bCs w:val="1"/>
          <w:u w:val="single" w:color="auto"/>
          <w:color w:val="auto"/>
          <w:strike w:val="1"/>
        </w:rPr>
        <w:t>M,AJ@9S3]!I7C_2^K[_Y"(Q1ZR4FN@I' 3OZ2RW^#JS^&lt;@FNL23(JH"=ZI_G+ M+FD'+GQ\4;6=[\A$576*/J(KENW!JK\XICB_2RM[G\H$BC(B[&lt; MN'3]</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9GC_2NN[A_D $4?44?BY&lt;)?VAF?\%UW\X %%5N7$9Z^@9DN\&lt;77?S@" M:/J(B[:N/3] )KC_ $KKNX?Y HR.JV;CUU] 37%R1=_K&lt;9L4&gt;M!)LH+MBYB(_U.</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MSO$?]J)#N?F;NC%)U;'(B+M:YS+_ "=G&gt;'0N"(D#Y#_K?OBH*"K6N?7_ ";G MN#@_0&gt;1\/]3#+"2I1L4?41%VI=/5/]34_P G]IY'NE_6PMBCUHBCZB.JU;I+</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MA^+4_P#X'D?;_I;B&amp;*7I.C))R-_9],++T9 S#%0 M ]GL\( M /_]3W\ ##R\_W[.%OW'LC?V?3"R]&amp;0,PQ M4&amp;P35Q4,(A/;]9VI&lt;+K-</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4K1EVBD\)==:E:$VV2BTUX3UXB/ATF*Q.A#=$&lt; ? MR))FL^PH:%I&amp;O E[SA]1%W#6V]3D9_B2&amp;3N^TKB["(K(\X6NE+%&lt;&amp;O\ XBKY</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M/^/!W?:,784%9+G2(S\TB?\ T%9[_#N^T8NPI*R=/%^5(CA_(*WO?U^([OM+ M)U*2LHW G\IP_#_6];\("'"BK4D^#RG&lt;.G])PW%K_2]=\</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(BA7%Z7#D4%98N( MB,_,H7[GKOA$9&gt;[[2,78459/^I)/X7#N^T8NPHJSQ=Y'IZ.MO[CD_A@3W:ZV,78?/X&gt;;OY(VV_N.4</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M^&amp;"$=VNL8NPH*S[&gt;)$9^C;:^XY3X9#N^T8NPH*W WF1Z%&amp;6QQ:\-%*_#1".[ MITC'V%$]PUZ$9EZ+M?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@/^HI;X:%N[76QB["F&gt;XF]2,R]%VMQ_P!12WPV([M= M8Q=A\*W%WLG3\ZK6X?ZREOAL.[[1B[".K[76QB["@K='?YZG():?G-9AZ]V/F^]_SA$]</w:t>
      </w:r>
    </w:p>
    <w:p>
      <w:pPr>
        <w:spacing w:after="0"/>
        <w:rPr>
          <w:sz w:val="20"/>
          <w:szCs w:val="20"/>
          <w:color w:val="auto"/>
        </w:rPr>
      </w:pPr>
      <w:r>
        <w:rPr>
          <w:rFonts w:ascii="Arial" w:cs="Arial" w:eastAsia="Arial" w:hAnsi="Arial"/>
          <w:sz w:val="16"/>
          <w:szCs w:val="16"/>
          <w:b w:val="1"/>
          <w:bCs w:val="1"/>
          <w:u w:val="single" w:color="auto"/>
          <w:color w:val="auto"/>
          <w:strike w:val="1"/>
        </w:rPr>
        <w:t>MVNME&lt;7843W79#(S+T-9?^#IS[X@[M=;&amp;+L(ZMV&gt;12+4H6RN/]+IW[XP[M=;&amp; M+L/CYVN1OTDLG_!T[]\@=VNMC%V%%6[G)"==(2R. _TMGN[I^N0.</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[76QB["B MK=]DE.GYQV/P_P!S9[[Y0[M=;&amp;+L*![PLED9EZ#L7_!D_P"']\/)A$9^@[%X"/\ M9/_ 'SAW:ZV,3*"MY&amp;3DZ:05B\S)Y&amp;9&gt;@;"_P74R(_P X+</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X"_2JXOOJ%7:BG2K)Q,I*WKY43K^&lt;&amp;/^ _TJN/NZ?KK$=VNMC$ MRBK&gt;WE4O\W\?#NQ5R??8+.PD MJXF,?84E;XLL)</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(OU/8\X3T_0FY.X9_KM[PIW&lt;&gt;MC$R@&gt;^;+1:?J&gt;QUPD1_H1 M6R(S^+N.?\$7-]]XR?=U])C'V%%6^_+J&gt;*W,&lt;(C_</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%.8W_P/&lt;_WX"CM14J58Q,I*WZY@(M?BWC;C_2&gt;Z M/OQ%^XC])C&amp;R.K?UF,CT*V\:&lt;\-=/WYB&gt;XAUL8V43W_9D(N"VL9Z_P!YKI^_ M,5=B*5&lt;3&amp;-</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G/;,]8/()KV&amp;,AV-'G'.J:142=HU-4Q4423(B=&gt;3$2U16IKD]; MA)'G;)I1P$:C(B57N:IM,G%QX\CLCMNY(2[X.,N6VY&amp;FEH.8I45D=(4JC4U4 M,J-25?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6J2EQIYEU)MNMK)+C3J5(6E*TFDL+5'1ES?! /_ MU??P ,/+S_?LX6_&lt;&gt;R-_9],++T9 S#%08^SU2Y53 M,BZZHU'YTZTC7AZK;"S:;27$1:-</w:t>
      </w:r>
    </w:p>
    <w:p>
      <w:pPr>
        <w:spacing w:after="0"/>
        <w:rPr>
          <w:sz w:val="20"/>
          <w:szCs w:val="20"/>
          <w:color w:val="auto"/>
        </w:rPr>
      </w:pPr>
      <w:r>
        <w:rPr>
          <w:rFonts w:ascii="Arial" w:cs="Arial" w:eastAsia="Arial" w:hAnsi="Arial"/>
          <w:sz w:val="16"/>
          <w:szCs w:val="16"/>
          <w:b w:val="1"/>
          <w:bCs w:val="1"/>
          <w:u w:val="single" w:color="auto"/>
          <w:color w:val="auto"/>
          <w:strike w:val="1"/>
        </w:rPr>
        <w:t>H\'+RC-;]$QRYLV)7E'S&gt;(7((J_LOQ72 M(J_)/F\9 ".ODY^@&amp;6CR([G)S] I/T66*1\7,?B&amp;#K,?TR(OR3YO&amp;0]0(KG) MS] BK\H^;Q$ (J_LOQ72 (B^+GZ#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45^4?-XB $)?%S]!@"*OCYNDP!\ M "*OR3YO&amp;0 BKX^;W1$N7C7SD$0^,_"?C$DD&lt;^,_"?C %)SDY^@ 1'.-7@Z M!#7Q&lt;_08 IB'SCX?R,@C"22*OR3YO&amp;0</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B+X^;I, 4#XS\)B"ZY(CN@J17.3GZ !15Q'X M.@8GZ?C)Z",OBY^@QE((B_*/F\1 "(KB/O#YH['QYRX !__UO?P M ,/+S_?LX6_&lt;&gt;R-_9],++T9</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S#%08ZROZ)R'YMJOYLYQC-;Y/PF- M\V;4ORCYO$0N015_9?BND 15^2?-XR $=?)S] ,M'D1W.3GZ!2?HLL4CXN8_ M$,'68_ID1?DGS&gt;,AZ@17.3GZ</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!%7Y1\WB( 15_9?BND 1%\7/T&amp; *0 HK\H^ M;Q$ (2^+GZ# $5?'S=)@#X $5?DGS&gt;,@!%7Q\WNB),@!$7Q\W2 M8 H'QGX3$%UR1''I $1SDY^@ 1E M&gt;4?LY</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"*9\1^ _$ (CG)S] BK\H^;Q$ (B_)+PEXC&amp;='I%22*ODY^CQ"\.9#(R].L?#W/$6O%QZ=[49)&gt;BP1W#(B(SX-#Z%&lt; M?&lt;&amp;$)I\F15F1&amp;1=[3B/DU/Q E5T)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(R^(_'R%H?#P]PM!G*D5?)S]'+Q:%RGQ M$ (YF7UW@/NZGP-0B'+QAG8WZNK]&amp;LJ?WK MM3^RYWQF,&gt;8Y1\)&gt;'2=I@\I&lt; __]?W\ QRW4;</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ME[,VGXAD\L7E%3]RJ],P5HVA95J4S-7=%]WU==&gt;F,MJTX%FI&gt;8IO.Z^I4IUQ</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M:U_C5*PZXE#BT):7:$7.2B@6$POO&gt;O*YL\0FVW&lt;9MKN?;'E2^['D\A8MI:W( M=GY5MN^H* 22[DC4W'9[5(S"W;",DX\</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['N-.D5.PM9O)ZS"7K2@E'%&amp;54"T5 MS&gt;M&amp;J(N,OS,5L[8[^O79]BW(]7C:^MR,7&gt;UHTU8U50LW0VUMH6_(W?$1,UD5%/%NU\-%V?0OK?</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DYFIN&amp;H)NG8524M3HITE=4R(QCC"4I) M4Z07,PUD/\+F(,596]#_ !?_ FXVL;(7H'S_P!*^A/CI:\7DO M1OI+L?./-J?MNIU^S;UZA1)87)=0,2K"W_6/DO?</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EDG8_9]KN2M5BO&amp;E;&gt;5UY M.:N)E4:U=D5+VQ&amp;S5A4EN(AUJJ'(9%V4R:BN]()[.M:J*8ZGG3K'Z^Y*BE135;#%+1TD&gt;IGSAY'9L+?</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2K@621E=*.O(M%5XF,F=;8R+M3 MLZW\T6MGC,%_5%OW-;M!&gt;]I9*N9-S6U=\7-5*:&amp;N;B(9=/3(MZL4^Y^,I96I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M3;9EHLEM]=&gt;.&amp;%MJG,F/%M4+G9=G+PR9N-M?;I;%\W-CVV(S&amp;U?E3(L[9%:W M#7;)4RYMN A;?BYY;3M5$):JGFGG7*=)J6U4::]9!=64L-</w:t>
      </w:r>
    </w:p>
    <w:p>
      <w:pPr>
        <w:spacing w:after="0"/>
        <w:rPr>
          <w:sz w:val="20"/>
          <w:szCs w:val="20"/>
          <w:color w:val="auto"/>
        </w:rPr>
      </w:pPr>
      <w:r>
        <w:rPr>
          <w:rFonts w:ascii="Arial" w:cs="Arial" w:eastAsia="Arial" w:hAnsi="Arial"/>
          <w:sz w:val="16"/>
          <w:szCs w:val="16"/>
          <w:b w:val="1"/>
          <w:bCs w:val="1"/>
          <w:u w:val="single" w:color="auto"/>
          <w:color w:val="auto"/>
          <w:strike w:val="1"/>
        </w:rPr>
        <w:t>7S_P#14K5*+DUQ M*&amp;%+CO&amp;Q&lt;_Y*VWW3&gt;5Q9 A:"S8?)F.[CN^M:DKJHX-^LH8&gt;:@YN72RR]+.,R MD@@Z=QS\&lt;)MI1Z:+)*;UK\I:7%)])Q[?3F.Y;*L9-</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@8VD*V@R#=,/.W/62T3 M(/QTE:-@V;3*EIZ=;KJ12:B/J95ZF1'TB]6S&lt;4XZ3:R&lt;06KEQ(BNGH,CL&amp;2, MA+X0P[+2U=62DM*8JQ[(R4G(U3]=</w:t>
      </w:r>
    </w:p>
    <w:p>
      <w:pPr>
        <w:spacing w:after="0"/>
        <w:rPr>
          <w:sz w:val="20"/>
          <w:szCs w:val="20"/>
          <w:color w:val="auto"/>
        </w:rPr>
      </w:pPr>
      <w:r>
        <w:rPr>
          <w:rFonts w:ascii="Arial" w:cs="Arial" w:eastAsia="Arial" w:hAnsi="Arial"/>
          <w:sz w:val="16"/>
          <w:szCs w:val="16"/>
          <w:b w:val="1"/>
          <w:bCs w:val="1"/>
          <w:u w:val="single" w:color="auto"/>
          <w:color w:val="auto"/>
          <w:strike w:val="1"/>
        </w:rPr>
        <w:t>(2,A76C$5-;7UU;4KWP:= K+T9%&gt;!17Q'X%&gt;-0B'+QAG8WZNK]&amp;LJ?WKM3 M^RYT8\QRCX2\.D[2QY2X !__]#W\ M1E^RL077 M;-#-9JB+7D+3Q7&lt;$?</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E^DE+O&lt;:IH6S)^PF*V0C[XV^=N&amp;EJH&gt;Y_!7GDF+B7C;J(_&amp;=#&amp;,'21[SY-/5-2A"TZ+35,4F5TMP[M^DW5@Q^V[TL4O</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M_N\=T=FFF&gt;0_MXW.5U6HWNW)5T6=;\W=ULUK. J64;J( M&amp;X92.J9F%J&amp;)36H0JF=;4A_Z\OKN$53:O43X8_R@YY.;EV=J7JL&lt;$Y/I#CW;</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MXKMN&amp;WVPL3QV,XXMR!65&amp;P"=AKVR1%9!M.91DS&lt;5D+5V3LBZY0T"W'9 Z F&amp;D)4AM(R7,4K@R*Y6P'QDL^@N*U(5TH*G*D;B)2M,ZM-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32$YU*BH4; M):.&amp;9&amp;G09DE3EP9!WKXJN&amp;1NW&amp;&amp;.+JF%-+E[FL*S[AE5L-$PPN2FK&gt;CI*N4R MPDS2RTJJJ5FE!&amp;9)+@Y!B?-</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DEM)7]$Y#\VU7\W6,MOD_"8WS9M*_*/F\1"Y! M%7]E^*Z0!%7Y)\WC( 1U\G/T RT&gt;1'(@!%7]E^*Z0!$7Q&lt;_08 I "BORCYO$0 A+XN?H, 1 M5\?-TF /@</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15^2?-XR $5?'S&gt;Z(ER\:^&lt;@B'QGX3\8DDCGQGX3\8 I.D 1'.3GZ !&amp;5Y1^SD (IGQ'X# M\0 B.D5)(J M^3GZ/"+PYD,X[.\J6</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MWGFTMQ.';9H+]KDV548UOZP*FX8ZU*Z7@%R;LO02D3,S"D1::NDKC;-U+R]# M*F9)"5=9:D53JFF_PH0J4HRP=@ED%[?A*W?</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DZ+B;8KZG;Q(74_:T5,(N+XDV MO37+36Y0Q,G*TC:::4F7':$ZY[S5)M:5I$@C))F,G-1:ZR[55^'68\UN?,1W MQ9&amp;Z#)MVWK1TV5LN6U-6/8-</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DO4,V_6VO8$.A3$!!E7LQRHI%?&lt;=8VBLJR[0F M^U0A&gt;I&amp;M9%+Z/"3U=1V/;4,@6A?."&lt;&lt;4EJ33,O4658=AVC=#3-/6L'%7'%V=</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M#-2$6Z=92TR7WJ=PC(UM&amp;XT9\2C&amp;-^D_"C%*J?%[H7M&gt;#@K/T65**^(_ KQJ$0Y&gt;,,[&amp;_5U? MHUE3^]=J?V7.C'F.4?"7ATG:6/*7 /_]'W\ P</w:t>
      </w:r>
    </w:p>
    <w:p>
      <w:pPr>
        <w:spacing w:after="0"/>
        <w:rPr>
          <w:sz w:val="20"/>
          <w:szCs w:val="20"/>
          <w:color w:val="auto"/>
        </w:rPr>
      </w:pPr>
      <w:r>
        <w:rPr>
          <w:rFonts w:ascii="Arial" w:cs="Arial" w:eastAsia="Arial" w:hAnsi="Arial"/>
          <w:sz w:val="16"/>
          <w:szCs w:val="16"/>
          <w:b w:val="1"/>
          <w:bCs w:val="1"/>
          <w:u w:val="single" w:color="auto"/>
          <w:color w:val="auto"/>
          <w:strike w:val="1"/>
        </w:rPr>
        <w:t>M4]8CMYS+NEV\GAK#%P6!!5D]?]F2=_4^2I"[(RV;GQW;=35STE:-14V5&amp;24_ MI.W%01:*A#1TW:4*:A/;H4:4JO;DHRJT#[PA&amp;^L-A[SL^(S'0;&amp;(K"4515D=</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M+QF$*;-]%&gt;4='T-N2%-:M!9]%=+35I4=%23;5 V\TZE*&amp;XU+J62)PFR"7=TD MTY8NT&amp;'%3ZNK&lt;_"8IR)LLQ[F+#T/LHR+?</w:t>
      </w:r>
    </w:p>
    <w:p>
      <w:pPr>
        <w:spacing w:after="0"/>
        <w:rPr>
          <w:sz w:val="20"/>
          <w:szCs w:val="20"/>
          <w:color w:val="auto"/>
        </w:rPr>
      </w:pPr>
      <w:r>
        <w:rPr>
          <w:rFonts w:ascii="Arial" w:cs="Arial" w:eastAsia="Arial" w:hAnsi="Arial"/>
          <w:sz w:val="16"/>
          <w:szCs w:val="16"/>
          <w:b w:val="1"/>
          <w:bCs w:val="1"/>
          <w:u w:val="single" w:color="auto"/>
          <w:color w:val="auto"/>
          <w:strike w:val="1"/>
        </w:rPr>
        <w:t>DW/HF)6W[SJ=PMBX]O"YV+ONO%5 MLTM-4(QS74#D@3].Q)U+B'U,UK[BV"4I"&amp;[]Y%R4Y1&gt;-+Q [(,]X.I*G?,C0V:UH!R&gt;*4DZ58,8Z'U&gt;&gt;.X/??:&gt;Y2U\</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M5[?;;Q':FWTK)C[)A;"@XF;HQ;-%7PL)3-4]-+HK$RS M+Q=5M*&amp;T$M5N\;@XMMNOX@=E6GLT]G*,8.NJL]6UBNLJZJL7?&gt;0$.5=2]5+2</w:t>
      </w:r>
    </w:p>
    <w:p>
      <w:pPr>
        <w:spacing w:after="0"/>
        <w:rPr>
          <w:sz w:val="20"/>
          <w:szCs w:val="20"/>
          <w:color w:val="auto"/>
        </w:rPr>
      </w:pPr>
      <w:r>
        <w:rPr>
          <w:rFonts w:ascii="Arial" w:cs="Arial" w:eastAsia="Arial" w:hAnsi="Arial"/>
          <w:sz w:val="16"/>
          <w:szCs w:val="16"/>
          <w:b w:val="1"/>
          <w:bCs w:val="1"/>
          <w:u w:val="single" w:color="auto"/>
          <w:color w:val="auto"/>
          <w:strike w:val="1"/>
        </w:rPr>
        <w:t>MA=N=1*WW5.J2GK09GU2-6A:ZF+8W2@,\K-MFDLJT+5LZ@J*BJH;3MN#MFBJ: MOLO.JFD@8REBZ9^I[%MIGSAUFE)2^HE*&gt;L9Z$1:$*@LU*_HG(?</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FVJ_FZQFM\ MGX3&amp;^;-I7Y1\WB(7((J_LOQ72 (J_)/F\9 ".ODY^@&amp;6CR([G)S] I/T66*1 M\7,?B&amp;#K,?TR(OR3YO&amp;0]0(KG)S] BK\H^;Q$ (J_LOQ72</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(B^+GZ# %( 4 M5^4?-XB $)?%S]!@"*OCYNDP!\ "*OR3YO&amp;0 BKX^;W1$N7C7SD$0^,_"?C$ MDD&lt;^,_"?C %)SDY^@ 1'.-7@Z !#7Q&lt;_08 IB'SCX?</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R,@C"22*OR3YO&amp;0 B+ MX^;I, 4#XS\)B"ZY(CN M_P CZ2DH*&amp;EV745#0,,TE#1T;.::&gt;DI*6F:0U2TU+3-)0S3T].T@D(0@DI2E</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M)$1$1:"O[/KXD-)^DCDV9,0Y)EM MJJBO::JG8$GI"-D(ZLJW7&amp;W6V5FX:D]91);-#F.L57S:EDU2C16PSAR[+8N^ M_G8:024(0DDI21$1NFG/IWA6?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HLDHKXC\ M"O&amp;H1#EXPSL;]75^C65/[UVI_98Y1\)&gt;'2=I8\I&lt; _ M_]+W\ TT]GL[H U &amp;FGL_B !IPZ^SO^V &amp;G%WCU]FH U &amp; M.TK^B(A&lt;@BK^R_%=(</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BK\D^;QD (Z^3GZ M9:/(CN-?.01#XS\)^,221SXS\)^, 4G.3GZ !$#H $-?%S]!@"F(?./A_ M(R",))(J_)/F\9 "(OCYNDP!0/C/PF(+KDB.YR&lt;_0)*$5?E'S&gt;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(@!"7Q&lt;_08 M I ",YQ*\/2 (CG)S] C*\H_9R $4SXC\!^( 1'.3GZ !%7Y1\WB( 1%^27 MA+Q&amp;,ZY+P$%!7$?@/Q#%/TF",YQ*\/2*DD5?)S]</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O#F0R,L^$_9W.YH0R2]% M@CN#N&gt;,.%'PXD$=7DGW]/&amp;0SD$1S MDY^@"44%%Y1Z\)D&gt;G!Q&amp;9'J?.9C&amp;^$QT$99 1 M%&gt;2KP'T^SV&amp;*S]%DE!?$?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+P*\9B(NU/[*G1CS'*/A+PZ M3M+'E+@ '__T_?P #'N&lt;973S M$DTX6BDUCY\/!JEQPW&amp;U$1\BVUD?@,AFA2G!F-\V;(ORCYO$0N015_9?BND M15^2?-XR</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$=?)S] ,M'D1W.3GZ!2?HLL4CXN8_$,'68_ID1?DGS&gt;,AZ@17.3 MGZ !%7Y1\WB( 15_9?BND 1%\7/T&amp; *0 HK\H^;Q$ (2^+GZ# $5?'S=)@#X M $5?</w:t>
      </w:r>
    </w:p>
    <w:p>
      <w:pPr>
        <w:spacing w:after="0"/>
        <w:rPr>
          <w:sz w:val="20"/>
          <w:szCs w:val="20"/>
          <w:color w:val="auto"/>
        </w:rPr>
      </w:pPr>
      <w:r>
        <w:rPr>
          <w:rFonts w:ascii="Arial" w:cs="Arial" w:eastAsia="Arial" w:hAnsi="Arial"/>
          <w:sz w:val="16"/>
          <w:szCs w:val="16"/>
          <w:b w:val="1"/>
          <w:bCs w:val="1"/>
          <w:u w:val="single" w:color="auto"/>
          <w:color w:val="auto"/>
          <w:strike w:val="1"/>
        </w:rPr>
        <w:t>DGS&gt;,@!%7Q\WNB),@!$7Q\W28 H'QGX3$%UR1''I $1SDY^@ 1E&gt;4?LY "*9\1^ _$ (CG)S] M BK\H^;Q$ (B_)+PEXC&amp;='I%22*ODY^@7AS( M9&amp;7QGS&gt;</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(A&gt;?HL$=SB3]M_P %0PDD57V/VI "*OR3YO&amp;0]!4BNX5JQ-/4&amp;7XU45C)SE96,M*XC72,/L*7WGTC%F'Z*+6VVFV MJ'9R/,9 #_U/?P #B%R6LW-</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M&amp;FJIW$T]TC*LFYSZVD9QZ_EV/Y?^-B&gt;\74QA[2 M.JQKI,C(HO\ ^FQW=_-@=XNIC#VE!5AW6&gt;FD5K_QZ-]^"'&lt;742E0I+L&amp;[3TT MB&gt;[^7XSO?</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UX*N=52A8IGC^[]/T(Y-/Z?C.7@_JT4*X?2X\R.K'=X&amp;1D41_\ M3XON_FX9N\74R,/:4%XXO,]-(;B_NA%&gt;_@[Q=3&amp;'M(ZL:WJ9F?H7_&amp;,3[_#O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M%U,8&gt;TH*QE&gt;Y];2$X]=/SRB.7_U@'&gt;+J8P]I&amp;5BZ^C(B*#_QG#_" =Y$86?' MX+;[_2/_ !G#_" G'$864E8KOTS,R@?\:0W&lt;_OB([Q=3&amp;'M(R\3W^9&lt;$!R_I</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MK"_"0=XAA[2.K$&gt;0C/@M_P#QM"?"0G''K&amp;%GS^"+(7ZW_P#&amp;T)\)",&lt;1A9'5 MA_(ID9%;W^-H+N_WS#O%U,8&gt;TCJPYDFEM?XYM_X5$=XA</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MA[2,O".3SZVEL\9?IU;WL864_P&amp; M93_6O_CNW?A&lt;0YQX.HPLH_@)RK^M;_'=N?# =XAA[2.K N5S(R*U?\&gt;6WW?[ 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&lt;&lt;&gt;L861U8"RT9\%I_X]MKX9#''K(PLHG@#+FIZ6GK_ .OK9^&amp;1&amp;./67HZ% M)&gt;WW+QZ:6EQ?W?MGX9$XX]97"R.K;UF S,RM'7_U_;'&lt;_OT&amp;./6,+</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(J]NV8S M+@L_E_7!:_PV&amp;./6,+/CYNF9/UG_ /2"UOAL,&lt;&gt;L864%[&lt;$XX?2_$1A?41U[9LW'II97=_SDM+O?W&gt;$8X]</w:t>
      </w:r>
    </w:p>
    <w:p>
      <w:pPr>
        <w:ind w:right="820"/>
        <w:spacing w:after="0" w:line="257" w:lineRule="auto"/>
        <w:rPr>
          <w:sz w:val="20"/>
          <w:szCs w:val="20"/>
          <w:color w:val="auto"/>
        </w:rPr>
      </w:pPr>
      <w:r>
        <w:rPr>
          <w:rFonts w:ascii="Arial" w:cs="Arial" w:eastAsia="Arial" w:hAnsi="Arial"/>
          <w:sz w:val="16"/>
          <w:szCs w:val="16"/>
          <w:b w:val="1"/>
          <w:bCs w:val="1"/>
          <w:u w:val="single" w:color="auto"/>
          <w:color w:val="auto"/>
          <w:strike w:val="1"/>
        </w:rPr>
        <w:t>M9.%D=6V/.!F9E9.O_P!9;1Z9X@QQZR,+(ZMK^=SUTL7C/]&lt;]G=W7]&lt;(C M'#Z3^087U$=6U?/)Z:6)KQ_YSV;]\(F-R$76K^0864%;5,]F9Z6'W/\ .BS/ MOB%G&gt;@U2K&amp;%E%6U+/JB+]0.FAZ_Y4V7W#+]']5MC\' ?_ #E%N^AULC"^HC*V@;BS,S+'?-\;;%^^&lt;.^A MUL87U% ]GFXPR,OP=\9?</w:t>
      </w:r>
    </w:p>
    <w:p>
      <w:pPr>
        <w:sectPr>
          <w:pgSz w:w="11900" w:h="16932" w:orient="portrait"/>
          <w:cols w:equalWidth="0" w:num="1">
            <w:col w:w="11460"/>
          </w:cols>
          <w:pgMar w:left="220" w:top="118" w:right="219" w:bottom="0" w:gutter="0" w:footer="0" w:header="0"/>
        </w:sectPr>
      </w:pPr>
    </w:p>
    <w:bookmarkStart w:id="133" w:name="page134"/>
    <w:bookmarkEnd w:id="133"/>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KNL7[YQ$KT&amp;FJC"^HYW9.Q/+&lt;_6,_'%R(L:*)&gt;M6 MX[7T&lt;_+FUUC,RH:*%J:J/=&lt;47*[5M$GCT5Q'3OE&amp;+2YDX6^9VIXXQU;.++2C M+-M.EPA%0#,*@: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strike w:val="1"/>
        </w:rPr>
        <w:t>M]XP\0!'J&gt;GU1(-3 &amp;FOL]A"*@:^UPZ][3O&lt;8&lt;&gt;72!KS&gt;$2!K[-?; #7V(U &amp;AG[-&gt;7N"*\P"/4]!(XFH TU]AAU&lt; -&gt;/NARI4#7_ M '?9W!'$&gt;(U$@</w:t>
      </w:r>
    </w:p>
    <w:p>
      <w:pPr>
        <w:spacing w:after="0"/>
        <w:rPr>
          <w:sz w:val="20"/>
          <w:szCs w:val="20"/>
          <w:color w:val="auto"/>
        </w:rPr>
      </w:pPr>
      <w:r>
        <w:rPr>
          <w:rFonts w:ascii="Arial" w:cs="Arial" w:eastAsia="Arial" w:hAnsi="Arial"/>
          <w:sz w:val="16"/>
          <w:szCs w:val="16"/>
          <w:b w:val="1"/>
          <w:bCs w:val="1"/>
          <w:u w:val="single" w:color="auto"/>
          <w:color w:val="auto"/>
          <w:strike w:val="1"/>
        </w:rPr>
        <w:t>^=&gt;]]7@]L.D&amp;NOL]A"*@:^SN!QY=(-1(/DCUY-!'$&gt; M UUX?J&gt;,2#4 ::_[OU!%&gt;5 "/DY?9[@57C!J) !IKWO%[.417H UXN#P M][V^,$Z@:B0:@#__U/?P !X.8,'-</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_&amp;Y'(FU_$U MF7KC&amp;'LZ;N2Z]#,U\0FAF[9O*6-]IN#G[=JVJY-=;].A+BGUM): M6X1H,S2I/9[%V[I^Y=4S&gt;4U*]&gt;AE[&gt;4G=K;&lt;5*L9VU3SHS35)/H3K3BN1Q^]</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M-&gt;S^W=-RF;TZU9GF+N:C;I&lt;4G&amp;DH7'7S91:=8KC5I*O L+=V8O6J8^@)"\9[ M!.VNZX&amp;WZ=Z3G(FQZZ[G+E5$T;+M16U$ MY32/AAG[]O)V=;U&amp;U?</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FTHRN*VH8F^";5I?*W%=II*%4H-RB\4:JC:_-,RK*K;BD;.M.1O&amp;/IHB[J^V8*MNF)I"--)%W'515( M]-QU(2JNO65-0R;CK2"-]\R2DOQQ?E'Q^ ]-.</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M'B'FQ&lt;.'.AZ/"84;ZMQ]\;8L9V!&gt;5A15J2\I=68[5Q[(L7?0R]?0,PLY;]W2 MM754;4-.P%0W*-5$ R3:W'7&amp;2;4LE-J,TFGL]D;=R6Y-2S^4S]V["W:R&lt;[L&gt;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M[&lt;4W*,[&lt;4GBC)--3=&gt;"=4G5.K?&amp;E*49S&amp;ZMPSVYD=#,5\8=%,VQ&gt;4N:Z9J%N&amp;VZE$B=?;U.VA:ZA31-K61 MH,S2I/:[#VYI^YM6S63U*]&gt;AE[&gt;5E=K;</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&lt;4ZQG;CQQ1FFJ3;?"M4N/0[XJWJ:OHXB@F(626NF:HZ.6D9&gt;3I#&gt;M^MH77&amp;WZAQ1.N*TT2:2+ MR[SV_9VUKMW3:XMU;XM\C!O?/ZQW+VW3-</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DAC'$UI8WN"'M&gt;SK9EKPD M;TB;GDJV/N"XZFIJ*&gt;C:=@KRMNFIZ-&lt;-51ZVVW&amp;G'E+=6K7J$6G:;(^'FD[@ MT6WJ6JYK,V[ER].-</w:t>
      </w:r>
    </w:p>
    <w:p>
      <w:pPr>
        <w:spacing w:after="0"/>
        <w:rPr>
          <w:sz w:val="20"/>
          <w:szCs w:val="20"/>
          <w:color w:val="auto"/>
        </w:rPr>
      </w:pPr>
      <w:r>
        <w:rPr>
          <w:rFonts w:ascii="Arial" w:cs="Arial" w:eastAsia="Arial" w:hAnsi="Arial"/>
          <w:sz w:val="16"/>
          <w:szCs w:val="16"/>
          <w:b w:val="1"/>
          <w:bCs w:val="1"/>
          <w:u w:val="single" w:color="auto"/>
          <w:color w:val="auto"/>
          <w:strike w:val="1"/>
        </w:rPr>
        <w:t>M6Y0BG""57YUN;;4E/E1*BZ3CMY;\U30M7GI^FY;+SMV M[4)3=R,Y-3G5I&gt;;&lt;@DJ.'-5=7T#O]SF'R!4\2/J_C-2/F$_.# M3K&gt;SO=WO"!4=;E"O&amp;BY@:\'%</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[/XH572Z#C3M-=&gt;+OZ]GM!X@:Z]W@]G^Z) U$&gt;$=@U[P50-.MW@33 ZW&gt;]G&gt;[O&amp;) ZWL]L0</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MG7H(J:ZB:\&gt;9)IKQ\'%XNZ(KQH!K["!]0ZC$C;=N9K\\9!W+6366C26TU@+*</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MDACFDD*:7&gt;DG+F8H9JZXDI6IIW:"C3&amp;.NIMQ+G9)6\1&amp;Z9=&amp;JDN::7FR?"3:BHU.(US&lt;^&gt;L:K;V_M_ M(1S.KN&amp;.;FVK=N/-8J-/DT_2CSBE5RH&lt;:QSN_P</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XV5F^S,![Q\76?8&gt;F$.(:3;E32RLG.UC-&lt;]4OM4O7*K[1JK&gt;82NG)FI;?3Z=1VG MHFSVT X#K&gt;SO&lt;'M"*KC4@=;V?Q \1(ZW'[-0JND&gt;+B-&gt;#ZO!P\7"#</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M:KA:X@Q(W [F*_"F8=L&amp;+Z6T:.X*?&lt;)&gt;,Y:];,5,P]'OVNW#UME4B:REHFJ"</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MK1*KJ"NQ2C0MQDDFP1:GUC-/5:#MR&amp;LZ3N34Y9QPEI]F,U%1JIN2N.C&gt;)8:= MWSH^?9QYC6]P3TC5-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O:='+*:SUV4')MIP47;54L+Q5Q\JJE.WARK,=W[@;&gt;R M5@:&amp;Q)8$!=&gt;.[IN:6HLX7%+-NN2-DVXQ56NF*D8-3=U02$5-52UTFI1JI)(M</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M:9'XVG0R&lt;\NCY30,QI^N7M5ST[6HVK47EXQY7)M3K&amp;7F2Y-0_.AZ3Z^'IU7- M:W8U#1;6F9&amp;%W(7;DEF).M;&lt;$X4E&amp;DX\6G-OS9H&amp;G6[W%QZN_?</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N0E%N+@E&amp;5U)Q2BI)T MMJM9-.KX+A3DLCKV;S.[M9T"Y:MK)Y:S"&lt;9)2QMRC:;4GB&lt;6JS=*17)S]R.X8WU&amp;W97H2M?LZR?F-</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UXW/^D7)&gt;:^G0WLUKD-PY3*6LC!Z!*PW M:Y=YJLC MGZ1^^F"BFX4H];%2TLK/29O'4(,NW/ZSZTNMZ\MMN%_:&amp;H[G&gt;;DKEC-*TK&gt;'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M@Z]WQQ5X?[SE3HY\3S9C&lt;,[&amp;ZLAMQ91.-[+.[WF*C5.\\W#3_P!GSQ=/+AQR MXUUX.;G'*?.=/XSK1W,[G-SUH[J[#VU[=[4P]&lt;-?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&gt;6)F\@(&gt;R9370AY%KAD:4H^C;/'AQ MYVZ3 ^2\=VKO+P]CB L7)\VQ;D+DO$\C,N0\%*U+C M%.E$U32L]</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&lt;[K_FJWDNOMJ.C&lt;.E4IUCM^P&lt;0/7[G[9UW3M0S&gt;T-6S$\[EK;G* MS?C'%)+Z.&amp;,*5HTG27&amp;BEAQ)GF]Z]QZ-J&amp;1RVZM+L0R&gt;8FHQNV7+#%OZ6*4Z</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MTYM&gt;;PJXXJ-':\1Z\ACY=5'TD:A6O)&lt;0-&gt;\%06'W.9K;V[8(R)F-&lt;04Z[9L7 M0KH(A;RJ=FNF)VP*])UES:C&amp;+G*BZ7ABTNBK1IMPZNM"T;/ZKW&gt;-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VHJB;HG*4E&amp;-7T+%)5[*F M*5D9A]8!&lt;.WB_,I5^(&lt;+UE_2L)BRY,!V?;*YM]N?B;JFVW;Q^.S-?D5!,U,9 M9U;3U=</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(AFOHS2\3A+)PR)HNHSND;#L;@R.F0U;.1R,)WHYJY/#6+A'S.Z:M/ MA*XG%MQET4IZ1S64U3&gt;U_0\[J,]+RCSTH699:$&lt;5)1G+S^\K=7&amp;,&amp;FJ2CQQ5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MKR+D;D]TMX[:\'8=R-&lt;%@QDU&gt;5]W?CZQ;MMDY:HA*&amp;WYRZ+0G9V&gt;=H7FFKA&lt; M&gt;3$RL$NG;94XX2D+U-Y1IU5KMN;8RFX]:U;3K&amp;?</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E#)6+5VY;GAQ.483A&amp;-56 M'.,JM]'4&gt;_7]QYK0-'TO/W\C&amp;&gt;;O7;5N&lt;*X5&amp;4X2E*C\[T91I3\9FX71[.8&lt; M9T\:'7?.?0DD_]7W\ ZGO7!55/0[?,1UU6YV</w:t>
      </w:r>
    </w:p>
    <w:p>
      <w:pPr>
        <w:spacing w:after="0"/>
        <w:rPr>
          <w:sz w:val="20"/>
          <w:szCs w:val="20"/>
          <w:color w:val="auto"/>
        </w:rPr>
      </w:pPr>
      <w:r>
        <w:rPr>
          <w:rFonts w:ascii="Arial" w:cs="Arial" w:eastAsia="Arial" w:hAnsi="Arial"/>
          <w:sz w:val="16"/>
          <w:szCs w:val="16"/>
          <w:b w:val="1"/>
          <w:bCs w:val="1"/>
          <w:u w:val="single" w:color="auto"/>
          <w:color w:val="auto"/>
          <w:strike w:val="1"/>
        </w:rPr>
        <w:t>M5+1[E[#JZEWJ+&lt;[-BGL?)KSSG4;2MQ?4;09Z)2HSY"/B'U#X21E/7=3A#TGI MMQ+PNY9/FGQ2E&amp;&amp;AZ9.7HK4+;?BMWCFM\&gt;M1VFT%M29XYO&amp;7R=?</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-53N4-J65 M#6#?T?53=P5J3IHBB=J[FMF#CVJ6HKW6TN]5QQ[J&amp;?4;&lt;5HD_'D?AANJYF;7 M\0RD,MDDZSN2NVGA@O2:4)R;:2=.BO-</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I&lt;3VYSXC[9AE[GW'-RS.;:I"W&amp;W&lt;3 ME)^BO.A%)-TKTT?!,Q2I&lt;5Y8V@&gt;J?RL[4S4_CS*D]=MKY#&gt;&gt;MB?K8&gt;XK1.Y&lt;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MA8JM1F,1.05:S4TE=4VO$(*L0PZ1)\Z=87KHLCZB&gt;IZ5N[XI:6HV(9C3+=F= MI*45*$\%J_S7G^@Q'CVW+HE%+DJVBE+FM: 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F;CJ*RO16G4S=54NMLI=&gt;2ZYVU8;^BEMCGMO:!IVH[LW#=U*TEHV0E?NSA M'S4U"L4E)F0V'[2)MYZJG;AKLB8%E'GY.M=?JYB:J&lt;-WM5N/5\A</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M5O*=&gt;J9&amp;O&lt;-3KSJ^LI:S4I6NIC%L"S9M;XW7ETE#+JQFHT2248_&gt;+:X)&lt;$DN M27#L,V^KEVYLW;%YR&lt;[SOY=U;JY-</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V+CXM\VWTOCULD;N,:;LL#8ID]TR=XN0 MY&gt;][0E;5D;JL.,I_0&gt;)$4UPW+&amp;0!1%OVI&gt;K:9M:W&gt; MJXL]*</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[3U+:NMZI:VS[H9&gt;.3O0N*W=EYU]N,'+%.Y123DHMTBXX9-)521.YLA MN71=-N;C]Z;\LY:E!SMI*-FDIJ.&amp;,*X6HN27G1DY)-NE:' ?68V=)WOA_ &gt;X M-</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[).1Z6GR;=V&amp;(S\%;5Q5"&lt;;6W6W#CZ[)]=VP%O*&lt;&gt;117=3FVIA-7UUK)EYQ M)F?6U'N^'&amp;54CQ?$'*7,W</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MI6BZW/4+Z68N6%W*F^ZBY6ISQPCT37%*7'@SN*P?B&gt;OPU9CEHR.4F9;* M1P*/=V(*$.#;Q47YSK1OJ2/J&gt;D:;/2LJ\M/4GCGQ25*]2I5+K;,</w:t>
      </w:r>
    </w:p>
    <w:p>
      <w:pPr>
        <w:spacing w:after="0"/>
        <w:rPr>
          <w:sz w:val="20"/>
          <w:szCs w:val="20"/>
          <w:color w:val="auto"/>
        </w:rPr>
      </w:pPr>
      <w:r>
        <w:rPr>
          <w:rFonts w:ascii="Arial" w:cs="Arial" w:eastAsia="Arial" w:hAnsi="Arial"/>
          <w:sz w:val="16"/>
          <w:szCs w:val="16"/>
          <w:b w:val="1"/>
          <w:bCs w:val="1"/>
          <w:u w:val="single" w:color="auto"/>
          <w:color w:val="auto"/>
          <w:strike w:val="1"/>
        </w:rPr>
        <w:t>M"/6[_L#8:_[3^//]3,ECN?A-_K&gt;JM&lt;_X9=_&gt;63B_B?\ Z-I7_F-O]W&gt;)FR%" M&lt;5[HM[^W9Q*J:C8OZ-S-9U&amp;I7UA0=\LG55Q,-FLTJ8H*.4AJ\-#?"/?1OP7Z-Q&lt;</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M:+L3@NWJ.J?&lt;.VG)&gt;*MX6Y=Q*GZ2^=W]GX\M"M6LU$=KV% WAV#E.YUU==NN</w:t>
      </w:r>
    </w:p>
    <w:p>
      <w:pPr>
        <w:spacing w:after="0"/>
        <w:rPr>
          <w:sz w:val="20"/>
          <w:szCs w:val="20"/>
          <w:color w:val="auto"/>
        </w:rPr>
      </w:pPr>
      <w:r>
        <w:rPr>
          <w:rFonts w:ascii="Arial" w:cs="Arial" w:eastAsia="Arial" w:hAnsi="Arial"/>
          <w:sz w:val="16"/>
          <w:szCs w:val="16"/>
          <w:b w:val="1"/>
          <w:bCs w:val="1"/>
          <w:u w:val="single" w:color="auto"/>
          <w:color w:val="auto"/>
          <w:strike w:val="1"/>
        </w:rPr>
        <w:t>MBI"*)9D9MI73=5!Z),B^H;?;T[4]I;;:I.HY^7CJNNJ5^U4UO84JT-$AQUM0^&amp;[2N;:L9C/ M9W5[AN')5O6]=&amp;(\N7F MU=C$U;%92R-;+35'"UE6_4PD2TY3-</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4BW&amp;F.NTY7LJ0^E2$$KZ!MUZ;O:SJF3 MS&gt;S\IE;$,O*&lt;+]BWW;C--)19S-^= M^,9V+UQ34HM-RDHMMQBJ*-4N&amp;-/$G2M_?6#7_F&gt;TDG:\SD&amp;[LE6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MV]0JF)6DM"5KJY&gt;,8:$D;T@:&amp;MI:*Z8ZU79YZM;IJI#R5&amp;2T)29N*)6BV%D- M'S&gt;C;RS&amp;LY.%VS8M69IX4[D4N^E)6Y--</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P&lt;\*BY1H^74;G&gt;^&gt;U;+:QM'+Z3FY M6[U^[=C3$U"3?=1BYQ3I-0QN5&amp;GU=)93&lt;7;^X_9),8=S@SNORGF*)NC+%NV+ MD&amp;R[Y&lt;,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[7DDS5%72U0J"M=,K50L%1U=!;]:VE%,TV_2K&lt;:-M_@/7&lt;;?S&amp;WMZ M6=8T5[7RN4NVLI.Y:N6UY\</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&lt;+44I345.33G%U;:E1IKBC4:Y8U[:%W2M8]YEJYFFNIIRI32$@GJ"E4DGZUE;KI-,O)'&amp;[8S M6UM,T_5-1U?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+PS.KPPK+Y&gt;:D[;Y8I2:C@HJUI*2\V,DE5Q.OW'EMR:AGM-R&amp; ME7I9;2I5=^_%Q4U3E&amp;*TG=SMMQA;^ZO(N&gt;;&gt;S%</w:t>
      </w:r>
    </w:p>
    <w:p>
      <w:pPr>
        <w:spacing w:after="0"/>
        <w:rPr>
          <w:sz w:val="20"/>
          <w:szCs w:val="20"/>
          <w:color w:val="auto"/>
        </w:rPr>
      </w:pPr>
      <w:r>
        <w:rPr>
          <w:rFonts w:ascii="Arial" w:cs="Arial" w:eastAsia="Arial" w:hAnsi="Arial"/>
          <w:sz w:val="16"/>
          <w:szCs w:val="16"/>
          <w:b w:val="1"/>
          <w:bCs w:val="1"/>
          <w:u w:val="single" w:color="auto"/>
          <w:color w:val="auto"/>
          <w:strike w:val="1"/>
        </w:rPr>
        <w:t>MLU:;+M1!Q45*'5.U%3(0JJ^HEG7J-*6Z4U+C'4F;R''"+K MK-G(;KVIN+4K^V,ODGWDH)N,8RKQ&lt;:U;7+T'S39&gt;+V8-*.P61&amp;]S.W?=!L]PY/;@\BY)Q?&gt;63</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M8Z0A;DE9B4A[EF:9J1@HF[;!R ]'R*VK\B:'MZ*KIG:]3JDID'6S1IPGOM/&gt; MV]P;:W;J]G0:G4TN&gt;6X-"W'MC2K M^MYC,:;=S"&lt;9.34Y+%&amp;,</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[5UI_M(JL9)RX^=)%ZKMF,R;N=U^6\'67F.^,&amp;88 MV]1%N4MU3&amp;,GUPU[7?&gt;]S4_G5/3_ !A1V57$T-.JGK6D)2M;2T1YJ[)PW^NQ MILI:TC:&gt;U]*UK-</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Z19SVLY^CY75+V3TG(QACE9&gt;&amp;Y.Y--^DN,5Z271YM:.M8[S@B[5O9;OK,[C3N1HW%QDW5RKAETOT4U2KI8G"%!N4W(9CWH8WI-R60,: MXWL+</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&lt;-?;*I&gt;'DI"&gt;ETBW MN#7M4W7D(Z_?L9"SGKGG1E*5RCG&lt;4;=MRE^RA%1J\/9%&lt;.)M&gt;(Z+=K)Y]SOL M5?W-W:Y;ED(A+XK,UR2ZJ9RS0VG(1,)</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(TEKVO+24C55E#(W$=XQJJFH=JEE0 M(H'_ #[G14\[''$N M%3'ID=S7-:UG9KW#&lt;[BUAN=^ZROJ#C%J$')U3ECA5U\U1EA:K0OAM!N;,6,M MX&amp;=-</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HV1]4-O(6 M\ZT;E$3K262&lt;6V&gt;DW9EM'U+:6A[KT_2K&gt;3S-W,.S2LZ7)3[@-VGJ*6I. MF&lt;-XDE6I;3V),FI_TYUZ-L;3M$R[T'*Y[6\UEXWKLKZQQA&amp;?</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HQC#DJ-2C7A7 M#5UKPP92&amp;K[RU#6,PMIW?INEWM'T#=6D9)9:QG%.%RU%UC&amp;Y!M-QX4I)QFJ&lt;."3 MHJLVFU=0U&amp;UJ^N;9U7-O,7%RE-I M\XI?</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H\KM+*;BW/HSN9GN_#N1Y;&amp;%'F*VY%&lt;5?S%$U72L4=903Q.O5JY&amp;DD+6</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MJ7&amp;:EY3M035425N.=4M-!O'+:3HVH;8W%IFE6%D\WEU&gt;&gt;7FL5MND7QCP5'&amp;: M32258\$C&gt;[2S.IZMD=QZ#J6I77FO6H;?VS!Z)DI/.:?5-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VU7+XK=KAE_H*.+@N-*1ZC0[(T M6Y/7=QS6L9R+RF&gt;PR2N.E_#.YQO?2AA?2E@G)\?</w:t>
      </w:r>
    </w:p>
    <w:p>
      <w:pPr>
        <w:spacing w:after="0"/>
        <w:rPr>
          <w:sz w:val="20"/>
          <w:szCs w:val="20"/>
          <w:color w:val="auto"/>
        </w:rPr>
      </w:pPr>
      <w:r>
        <w:rPr>
          <w:rFonts w:ascii="Arial" w:cs="Arial" w:eastAsia="Arial" w:hAnsi="Arial"/>
          <w:sz w:val="16"/>
          <w:szCs w:val="16"/>
          <w:b w:val="1"/>
          <w:bCs w:val="1"/>
          <w:u w:val="single" w:color="auto"/>
          <w:color w:val="auto"/>
          <w:strike w:val="1"/>
        </w:rPr>
        <w:t>#!/Q&amp;]^L(R%F&gt;SLV[)K&gt;PO&gt;,I;X#89=^(\QR&gt;Y?)&amp;=,87MDB+Q_EZV932(8)BHIV6EK&gt;:?4T&gt;QTJ&gt;@[YRFK: M/:VYE\EJ5G+2N9&gt;=E)2;@TL-QX4YU;BFY-</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U3;5'%,\.IPUO9F:TK5;NX+^;S$KZLY&gt;U/C;Q4K*4E^=RE1-/A#]*JVFNYS5=6W)E=K:9J$\K8C M8=Z_=A_O*5HHQ?</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YOYOG)KC/LH^(Q=;E_9QNHP/BJY,Y7[G/#FXYNZ+=H2RO+ M(F[PM&amp;\;?*/=:JZ2X*MPZBJI:FKGJ%E+76;0XW4NI)I3C+*E&gt;NY#2=W[8UW4</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M\MHEC):QI^";[B+C;G;E7@XK@FE&amp;3KS5$\5&amp;Z&gt;:W/5-J[BT;35QSW?S*O74HJ,8RO3[V\HJ[&lt;2Q.W"*K3CQC&amp;-'R&gt;OS5W&lt;6H;YU_1=,</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MU2Y9RSLVVY.4I1LPP6G)V[=5%7)2:7##1.4JINJOS&gt;N#MYE+18#V[V#FF_'\ M&lt;4B;ODNLI2C#SIRN&lt;(^8G&amp;O.+;I%I60DYC(FTG=SMMQA;^</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MZO(N&gt;;&gt;S'LU:;+M3!145*G5.U%3(0JJ]^6=&gt;HTI;I#4N,= M29NH&lt;&lt;).[M6=/W7M3&lt;6I9C;&amp;7R.8REM3M7;$';C&amp;SHZS&amp;=&amp;JHQ$GJG\5'ZM4HEUU3?</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ENTS*OL2'M MV-K=KW4W4GHV4ID\M!R\Q?\ O%5&gt;=+_TTL-$GUL\V]-&amp;N&gt;\^V9/5LU7-YF:7 MG_[BCM*MGZ#=4WVQ1?'&lt;*O(.#]I&gt;?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O&gt;;=JZ^6MBV5%=&amp; M3:VF;T1!VZFBH7GFS&lt;0ZMHS6E#1*1.V\KH5O8.J:SJVEPS$[&amp; MH&lt;."4Y^994;;N87.-O%.LDN%*\.+*</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[AS.MSWSINDZ5J,K$+^1X\7*$//NN5Q M6ZJ#GAAABVJUIQX'&amp;J^ESQLXW;[:K6D-QV3,XXUW%SD]:TU!9/DJB:?C).B?</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MB*%VJBSK9&amp;L:BFJ:KNRAJ&amp;?,RIB(F7&amp;EI&lt;;,DCTVY:%N_:FX\S#;N6R.HZ?" M,XRLQ2Q1:;I*B3=&gt;[DGBK2J:H&gt;&gt;4=:VKN;;^6N:]F,YD,]*4)1O-</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RI).*K&amp;K M&gt;%?M(M8:. MAX.1IGJ2MI$H5YLDULOLDMZ1)3AK*G[)S6;;R6DZ/M?.[OU;3K&gt;;ON^K-BU. MCA7IE)4:;Y\T^$.%'*JV6XY9FF:D8&amp;</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(NVP&lt;@/1 MTBMJ_(FA)^BJZ9RO4ZI)2#K9HTX3WNG^[&gt;X-M;MU&gt;QH.7RVIV8S&amp;FW*1:'Q\W\4?%DJ*G0?7SJHPG_M8=Y'[D6-O]4&lt;,CZAK'_"[:</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M7^;N_KY@^;Z3_P 2MT_Y6U^I8-/6[_L#8:_[3^//]3,EA\)_];U7_P MN_O+ M)'Q0_P!&amp;TK_S&amp;W^[O%;U@]_YGM+..R2V\,7G)6O,Y!NW)5M/41S$K26A*5U:</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MYC&amp;&amp;A)*](&amp;AKJ6ANF.M5V&gt;&gt;K6Z6J0\DS):$I/M%$JNPM/T?-:-O+,:QDX7;- MBU9G7"G&lt;27?2DK%14M//Q</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MU",8W'"+G&amp;-,OYJG3$H\6Z)I&lt;7ULWV=SF;A\1M'R4,U&lt;62GD92E;4I*#E6_Y MSA7"WP7%IO@N/!&amp;%F3]M$T[ZRG'.-"W%[@6JV]&lt;07#?5-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D1J^ZI%_P!G4STK ME1TK*M*=ZINQ=G,E$*0BD3P)15OEK]&gt;.RTW&lt;=E?#K4=1]WLA@LYN%MVG:3M7 M&amp;HV5WDX\_:03E&gt;_9PE3S8+#P7</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M;+K.^&gt;VX=RWK=@(%V6E)YV#A8J'2T_+2NYF6I+#&amp;*JW2.7; M_$FSYEKN&gt;RFG?$?1\WGLQ&amp;UEEIS3DWP597TOQM%N]^.:L?;T*W!NV#;K,_A*</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MN&gt;5RE%7G/W);%+5JB;1A8^)F8%Y^JEZBG8923%/&lt;;U;4*;):*=NC1VBB6MM" MMAL;1L_LZWK6Y=P6?</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N^7AE7;C";6*Y)RC+A%/K@HQ7!MR=."=/#O35LCNJ&gt;B M[&gt;T*\K^8EF5.+1?#UC&amp;1\U6-F79-$X3N*;HI^\;U MO^+3:E-&lt;\U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6E&gt;4NF0Q51VY27Y1Q573TTS;L?62[BGD5*7$(IG7B3U"6I0TO MP]T_1L[H^\[FLY&gt;#L6;-IXW",KEN-+[D[3DFXS:2HXM5:CSH;;?&gt;?U;)ZKM&amp;</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MWI.8FKUV[&lt;6!3E&amp;%R5;*AWBBTI03DZUK1-]9%RA79SV&amp;;&gt;LP95O#&lt;#=&amp;?,I9 M/J[$M&gt;S&amp;+ECZEFU&lt;&gt;7E5'BJ7H:7:9IPN(A</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MDV._X!OB]MFYD,O=N=_=4;\H5NP4+5UKNY?FXXI8E3DVBF\ZZWLVWN&amp;&amp;=OVX</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M=Q;;LQDU:FYW;:&gt;./YS@V\+Z&amp;DROD&amp;R[YV[^K1ON_;8S[G";N*ZK&amp;VZW!!5\ M[?TQYYC9FNNNP:&gt;L@&lt;&gt;R$?</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44==;D'51\ZY2.,LN$3E*A+:M4ZDS++9&gt;RM)NWG7[?[6K; M&amp;D+KK:RRJ*9D,67')UF0Z.,J%N+*_JA^D&lt;)R06M3JRJ7==369C;[!U&amp;Q9U_&lt;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MVDVM)RL8V8YJ:N*"5QQ5^"5IOEW23]"E."Z$:K&gt;^0OWM"V]JUW5,S)W7EHNV MYMVU)V9-W4O^LJO2[6=U6#\3U^&amp;K,*B_.=</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M:-]21]:TC39Z5E7EIZCF,U+&amp;Y8[T\&lt;^*2I7J5*I=;9&gt;(:DVA_];W\ M ZH_6])0[@3#K2TI6A&gt;YW'R%H6DEH6E5EY+2I"TGJE2 M5$&gt;AD?</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9#ZA\)JK7=5HZ-:;=_&gt;6&gt;)\V^*"4M%TI-1A#%&lt; M_M:SR3F/K.IJR!Q9&gt;]WP=N&gt;:M6Y)SDTXW)J$DTW1^EXFDUQ29O=U:1 MIM_;FLN62M*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&lt;,M_F+N;^$2NW9N5W!"-:UX0S&lt;81K7JC%(Y%NS&lt;:M; M&amp;'JN,LRYFQ:.-[\PA5W-7+T2Q0TST#8=P]M4OJ5U6$%06?5'JHC3P&lt;)EP$KS</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M[63S6I_$W2K*3SF9L9E076U.["BZ7QN1_(9]RM9;3_AUJ=UM97+WLNYOJ\VU</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strike w:val="1"/>
        </w:rPr>
        <w:t>M*KZN$)&gt;4RJ]:%&gt;5O6_LKR;22%7'N55ZNV;;ULTCSS*O2T@[&gt;,!,N.4)&amp;2R?7 M'P\94UI*01Z$P1ZEJ1CF/AGD\QF-</w:t>
      </w:r>
    </w:p>
    <w:p>
      <w:pPr>
        <w:sectPr>
          <w:pgSz w:w="11900" w:h="16920" w:orient="portrait"/>
          <w:cols w:equalWidth="0" w:num="1">
            <w:col w:w="11460"/>
          </w:cols>
          <w:pgMar w:left="220" w:top="120" w:right="219" w:bottom="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u w:val="single" w:color="auto"/>
          <w:color w:val="auto"/>
          <w:strike w:val="1"/>
        </w:rPr>
        <w:t>Y:=*W!X+*N3FZ/S5WP1@FTL3QQEPZZ13EPZC%C?L&gt;NP_9=KKK^$+;IP\/'^!N\B\/ M!WQU&amp;Q:^_6\&gt;-%W&amp;;_[Q;_#GXZLYO&gt;?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\F;273W^5_&lt;7#+CUH)D6Q?./'_P"S M/A/]V#'Y]TM"')?#+^=M%IRK=_&lt;73I_B)_)VL=O=?OK1B-OW42=AVR]2CZJ4 M9"VZJ49F1$1)PU&gt;.JC,]. BUYB'6;&amp;\</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[?.\5UV,U3_\ Z+?X4\IS&amp;]/Y+VHW M_P!?EO\ N]P[MM?9P#XS4^N'5-ZW?AP/AHO_ ,4&amp;/.Y^LW)964?-OB?7^#:53VC;_=W2TN_&gt;^*S:ONML_LNG_</w:t>
      </w:r>
    </w:p>
    <w:p>
      <w:pPr>
        <w:spacing w:after="0"/>
        <w:rPr>
          <w:sz w:val="20"/>
          <w:szCs w:val="20"/>
          <w:color w:val="auto"/>
        </w:rPr>
      </w:pPr>
      <w:r>
        <w:rPr>
          <w:rFonts w:ascii="Arial" w:cs="Arial" w:eastAsia="Arial" w:hAnsi="Arial"/>
          <w:sz w:val="16"/>
          <w:szCs w:val="16"/>
          <w:b w:val="1"/>
          <w:bCs w:val="1"/>
          <w:u w:val="single" w:color="auto"/>
          <w:color w:val="auto"/>
          <w:strike w:val="1"/>
        </w:rPr>
        <w:t>%D4W#CVSE:7111; MZ&amp;6&amp;S]C@L9&gt;J)P3$O,*8DKAONT+_ )4W4FAYVHOJCO2Y*,WD:_6.4L)(4E/I MP*(F2ZQ$K4;K0=06I_%?6[BE6W;L7+2Z5^S=N#\6)-</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UX\^%32ZWD'I_PQT6W M*-+ER];NRZ/]XKDU6O2HM*G!\.@SV]8??E]LW!M;P':-[SF-(C&lt;1E-ZUKUOF</w:t>
      </w:r>
    </w:p>
    <w:p>
      <w:pPr>
        <w:spacing w:after="0"/>
        <w:rPr>
          <w:sz w:val="20"/>
          <w:szCs w:val="20"/>
          <w:color w:val="auto"/>
        </w:rPr>
      </w:pPr>
      <w:r>
        <w:rPr>
          <w:rFonts w:ascii="Arial" w:cs="Arial" w:eastAsia="Arial" w:hAnsi="Arial"/>
          <w:sz w:val="16"/>
          <w:szCs w:val="16"/>
          <w:b w:val="1"/>
          <w:bCs w:val="1"/>
          <w:u w:val="single" w:color="auto"/>
          <w:color w:val="auto"/>
          <w:strike w:val="1"/>
        </w:rPr>
        <w:t>MV:UR*GZ&amp;!CZZT(TX2.E6G&amp;54;LVJ[342$J2=2JF2THS96ZVOA_A_D&amp;2BG!88OHQ=YRZ:4Y53P^]8/MGV];H7F].M9&amp;:4(14;4)2E#"E&amp;*2KAC+#B;E3%T'+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[XV_H&gt;@:7IBR%E1SMW/0 M;G.3E[;U:I\GX7+W+AY?SXPYIXASFQ_Y M6^(W'BLI;Z?T41\* M&amp;UK&gt;KUKPTR[^\L]1'Q/I_!=*_P#,;?ZETUW&lt;2UV9;WD[?</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=H3E^W9CS%=VV+- MY%O5ZRYE^W9J^7Z/XYJ8M)4JPM#CM,RQ9?66P7602*M3RD+&lt;;9-MM2WE=)VA MK^[/N-J_JEJ_&amp;U:[R..-</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NO=5G1\G^TX/KBE6DFG.YYYG4]UZ)M=YV[8TV[9E M=N=W)QE&lt;:[SS,2YK]GQ7Z5:-I-6#W 8.P5M_W8^KSL?#UM1%N23^4I&gt;;O!*)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M"ME[JE6*N=QS26_*W)*2M972U2Q55=!)^:DM94Z'$U!,H01K(;W0=;UO7MJ[ M_P ]J^8G=LK*J%O@E"+4;SG&amp;"BDE2L,357QC6O TNMZ1HVB;EV/E-</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+R\(77F M92GQ+K5/NIHDYBVTTE#9RZA2*=N M1K8^LM1UZDIEK7_13Q-8WD#ZI:+(TG];IH:M)=A+/?";+?=TW]SU)NY3C1-7 M$FZ?XT&gt;=?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$;FW*.2^*&amp;9[]T^]9!*W7I:&lt;*I?92Y=)&amp;WRW=!5.\;U&gt;UCTS]'4 M7%$Y4J[EE6$.(57145,S=EQ\/VK9$;C3,S41%6HM33UO,R/11&lt;)6V3E+\=H[</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M^SLHR67EE5"+HZ2&lt;8W'*C_14E7JQ&lt;&gt;HIO'-6);JV1DXR3OQS+FU55BI2MJ-&gt; ME8J.G@X5,?\ &amp;FU7!N&lt;=\V]ZQL]0=?</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*W'&amp;W1!WY8M#2W%,6X\JV[F&gt;E)2=K&gt; MRBI&amp;C&gt;KVC9N"#,EFEQ".TUU3U]%;W4=T:WHNRME9[0[T8Y:5J5NXW",UBAAC M!/$FEQC M.2V'L);.\%</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[THK%N)L;WHWEJ!QA)7Y67:B[9B;M:V8J9*K@'X&gt;SKNI:KJ5EZ5/,JTH=W&amp;,YN-)8HN,5Y MJ::?'G&amp;7"G/H-+T?:VC;MMZ?</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IF0O+5(9=W'-3E*$8RK%J2E)O$U)=%*2CQKR MH&gt;KOU_#QZQG7B^&lt;]/EQ_\\LGEIIR"^_ZO0OA[U?PV/[NS^,IL:G\9WYPX_Q&amp;</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M7[R\:X3/_P"+!O)U+_V1XU/O_P"2.&amp;N3P^SNQK/_ LVCPX?&gt;[WB\_,?AR&amp;D M-_W+W5U?=;7ZEC\.8QOK_"\</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[@._M@A&gt;_K^&gt;&amp;$M.#0B[HC4&gt;'PGT'CSU*7S9@ M9#C\4-:?_AT?GRYB9L&gt;V4[;LMJ3IJ2Z9^WW*&amp;VC;I M:&gt;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()Z,BI2E27;7!%S!$ZMOK*ZG5):NI];U6]=X[AT1Z!&gt;T;,1AI&gt;:R-N&lt;6X1 ME6?%NDI1=/,E;X5Z&gt;7'CS6S]HZ!JZUNUJV7&lt;]2R^=G!TG*-(4258IKG)3XT\</w:t>
      </w:r>
    </w:p>
    <w:p>
      <w:pPr>
        <w:spacing w:after="0"/>
        <w:rPr>
          <w:sz w:val="20"/>
          <w:szCs w:val="20"/>
          <w:color w:val="auto"/>
        </w:rPr>
      </w:pPr>
      <w:r>
        <w:rPr>
          <w:rFonts w:ascii="Arial" w:cs="Arial" w:eastAsia="Arial" w:hAnsi="Arial"/>
          <w:sz w:val="16"/>
          <w:szCs w:val="16"/>
          <w:b w:val="1"/>
          <w:bCs w:val="1"/>
          <w:u w:val="single" w:color="auto"/>
          <w:color w:val="auto"/>
          <w:strike w:val="1"/>
        </w:rPr>
        <w:t>M=5PS=VAX^VK8UW&amp;Y^Q_@"P+PA[HQA"6];-\7G(7+)7!: M]3RL;)1[C-1VC#*NUHWB2:DD9CC-V9_=&amp;H[&gt;T'/Z[G[4\KF9SG:MJ"C-8:QQ MR:BJQDFFJ-</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JDDW0Z_;&amp;2VWD-=UO(Z)DKLZ8]7QI_JP\1IZN_7\//K&amp;3/B^&lt;]/_4O+)_)R!O_ /T'X&gt;NGFK3(T^SL_AXQL7_6 MM]K_ ,1E^O&gt;-/5W*+\/7K&amp;R(R-</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7SGIY1I(RU))WGE$B,R[AJ09$?*9'W!/Q MX:%\/G_X;']W8&amp;Q?]:WYQ_\ N,OWEX[6=&gt;3Q#Y=T-GTGJ.HO:G4T6'_6&amp;[U&lt; M23SM-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%R&amp;8JZ$RQ9I5)FRFX&amp;O.YZZ*UF*&lt;&gt;615=6VWD&amp;I6XTCK*,Z*H,B(F5D MGZONB%S5]A;.U;+QA7AB593=.M_M'R^C)TX&lt;-/6E5-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%DNMVO;8HEVFD;NR/FZ!N*IAV5&amp;[5Q] MMT%')VL[*R*&amp;5DY11CR;JJ5DXOJI&lt;;HGU)/1E&gt;D?#*,M.AN7L?$62S]S;NWK33S5_.1DXKC2"3@Y270O/?</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%\U&amp;3Z#&lt; M/6#7C$6#NA]73=D_4T]%"1F2;[ MBC\E#9GH&gt;@IL+*7L]MKX@96PG*_++6L*7-N*ORHNUTP]M2V]\S:R6X=B9J^X</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MJS',7:M\DF["J_!6O90W7UL*&amp;+HPSB'%- ZI^Z"MR,I24[6U;?F,Y2 M5E=3,-MNKJ&amp;J2KEZ-E1)(S[2K;T(R,QC^%F+*ZQJ^J35,MEB:;JOQ$S</w:t>
      </w:r>
    </w:p>
    <w:p>
      <w:pPr>
        <w:spacing w:after="0"/>
        <w:rPr>
          <w:sz w:val="20"/>
          <w:szCs w:val="20"/>
          <w:color w:val="auto"/>
        </w:rPr>
      </w:pPr>
      <w:r>
        <w:rPr>
          <w:rFonts w:ascii="Arial" w:cs="Arial" w:eastAsia="Arial" w:hAnsi="Arial"/>
          <w:sz w:val="17"/>
          <w:szCs w:val="17"/>
          <w:b w:val="1"/>
          <w:bCs w:val="1"/>
          <w:u w:val="single" w:color="auto"/>
          <w:color w:val="auto"/>
          <w:strike w:val="1"/>
        </w:rPr>
        <w:t>M&amp;3UJVY6+^24K24G&amp;LHX8\&amp;FGZ,;G!=5&gt;BI="HVS[(=N6YS;C9=M8NOB0RQ&gt;\ MW)W-:%7%7M/RE#:!V85/(M3]SQ\E/DIV*J#:J3;ZC+Z#\R&gt;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[0B(B,]='56 /27"O&amp;+\Z/3RV$MO[0T'&lt;.@Y/+Z?&gt;&gt; MHWIN=NER34.[HU*2/PF;2*_P!RMU_Y:U^I8/K=S*W9EO&gt;3M]VA.7[=N.\67=8D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MWD6]';+F7[W_=CZO*Q\/6U$6W)OY2EYN\$ MHD*R7NF58JYW'-);\K)K&amp;\@?4+1&gt; MJ#T3H6IWO1EGOA1E5EU7[IJ+=SI&lt;4U&lt;2;ZE^VCUKCSXND6IQR?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Q/S'?.GWK3 MTH5Y-IP=%U_[J75R?#KC;Y;N@JK&gt;/ZO6QZ9^CJ+BB&gt;Y&gt;QZNWH)"R56UU+1 M0MSV_4U**=OKU'8-2UV4+1J)!EUGM./0CCX6QE8SFX-</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3N*F2L:=&lt;4Y=";E"2 M5&gt;7HPD^?0/B5*-_)Z#IUMUSEW4+&gt;&amp;/2THSC6G.F*&lt;5XROOR,CW;&gt;K5_=;O?Z MLSAO01L;CM7XC-</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=&amp;4M]GYN8+;S3]YM@OH^]7/UK'4:&gt;MVX&lt;#X&lt;_[3V/-&gt;#C+ MXFY+(^&lt;]&gt;43\)Z_QW5EQ_P!-N_O+/X?D'Q/I_!M*_P#,;?[N\:Y(/_XO6W_D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M_P#\8)G7P^D,V^+VA&amp;G-?VFU_C_]R75U989__B?H:Z?X?+Y\P?.2E)+UOFWW M4R(U;89I*2/0NL?GV;E:%J?"?529Z%KP%J)TVO\ :?7VEP_B4?FRY&amp;?_</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.*&amp; MB?\ ETOGOG:SKWOJCY?XCZ3X4=0F=+.M&amp;_?6OX(MF^;6MR\[GNL9Q4 MHMIYBG"2:X4JN#XJIVA69B[&amp;F-VJAG'F.[&amp;L-</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FJT*I9LRTH"UVJ@NOUR)]N$ MCZ%#Q$Y]=]&lt;1\/#QCYIG=2U'47&amp;6HY^_F)+EWER4Z&gt;#$W0^BY33M/T]-9'(V M;*?/NX1A7U4CK@WX_OM?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5JEP&lt;&amp;7+V,R\$QAS3CY1]"V-_*WQ%5./W2W^KF/R M'![S_F;8/'_YJY^M8_#\*FX&gt;MRC*U[;':URT].\_1X_SE8%X3"6D=8RC4QMU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M6VDS69]5@ER=R4S:5F1EUUDGE(4^%%VVMR9K+RG25_)7;&lt;&gt;/3BA/]6$NTO\ M$ZW*6W\M?</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4:QL9RU.7#HI.'SS2X]+,EMX&amp;0+5CMFN&lt;[N5+T3UOW5A2Z8NWY% M-0A%-*O9$MBI@+6.B6Z:&gt;W*2JY^G-M)%UEI5[7.;2R&amp;;N;OT3**RUF+6=@YQ</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MIQCW4U.=:?14'5\C?;ISV5M[4UG,NZNXN9.:B^5&gt;]@XPI7KC5#&gt;$9?P3SA?\ V1[:^'@X-+NQ+WQJMI?\4U1/_P",S?[N^;3='#X:_P#^ MME/U[!:/?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NHD[#=EYJ,DI1D+;H:E&amp;9$1$G#5XZF9GIP$6I\PVNQ&gt;.^-X1KSR M^:_[Q;-9O/ALO:E?^NRO[BX=VI'J/C*=&gt;@^N&amp;HD'_]?W\ M</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Q]W&amp;;;K'W.6E;5FW[*W7$1EJWY#9"CZBT*Z(H*]Z:@XR;BJ2EK M'9F#GZ9R+914G36330Z*)Z8AL[3H;=O;9^]9AY"6.JA*KK.VEAG6JE*D7^:F\54F</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M4W-_!M+VW#*ZOE+U_28]W:\Q)SC14A-O%"E'%&gt;V_;E%$T;%'5VQ#/,JJ2I: MATDNH82XGMB0KZ/M7&lt;&gt;Z-</w:t>
      </w:r>
    </w:p>
    <w:p>
      <w:pPr>
        <w:spacing w:after="0"/>
        <w:rPr>
          <w:sz w:val="20"/>
          <w:szCs w:val="20"/>
          <w:color w:val="auto"/>
        </w:rPr>
      </w:pPr>
      <w:r>
        <w:rPr>
          <w:rFonts w:ascii="Arial" w:cs="Arial" w:eastAsia="Arial" w:hAnsi="Arial"/>
          <w:sz w:val="16"/>
          <w:szCs w:val="16"/>
          <w:b w:val="1"/>
          <w:bCs w:val="1"/>
          <w:u w:val="single" w:color="auto"/>
          <w:color w:val="auto"/>
          <w:strike w:val="1"/>
        </w:rPr>
        <w:t>8W/8M9_3;64R%CO)YG!:=JM+NY/4;F:SM[NX9?'&lt;5S"G$L0Y.E;KB$8N+&amp;UPE46A6PL?7O7/9%F5=L%2UCDK#W+1+BG"EJ MA3C;24N&amp;M*#2\22,E?</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+\ENK-Z-K^LZMIUJU.69[Z/[12:4+EQ3JJ2@ZJBI7A MSK$^CYS;66U?1=(TO4+ER,JCJ*=8^+]R0]T4?F%5*QTIG&gt;LRI1 M)ZJC):=3H&gt;L9K0-</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5RFKY.$)9FSBHIJ3B\4)0=5&amp;47P4G2C7&amp;G50VFLZ3EM=547$\FH[;TW5='L:+G%-Y6VH*+32F MG".%2K2F*E4_-IQ?</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Y/@/!SH&gt;2^Y9?,W[L,3EBNR4I&lt;4E2J4514X*AM6XS;=8^YRTK:LV_ M96ZXF,M6^X;(4?46C71%!7O34'&amp;3D524M8[,P&lt;_3.1;E//O*&lt;;0TVZ:TH,G$</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MD2B5EV]N'.[:S&gt;9SF1M6IW+MB5IJXI-892C)M890::&lt;53BUSJF8M&gt;T#)[ARN M7RF=NW8VK=Z-Q8'%/%%223Q1DJ4DZ\*UIQ-</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DW1;3L:;M;5MVT\D2%VP]+:]P MG&lt;47)V77PT=,)J'(ZKC:BA&gt;&gt;G8"XZ-&lt;;5-U27'$$PEPW6&amp;S)PDDI*L^V=T:C MM3-</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9C-:=;M3G=MX)*XI.-,2DG2,X/$J43K2C?#E3%N+;6G[GRUC+9^=R,;&lt;\ M47!Q4N337G1DJ/IX="XDS=&amp;2I1]5&gt;TW?&lt;'M MOQAN9LVFLS)E#</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(JIXR49FH"=@*\HFY+;EFD+9\^AI)3%4TTMZG&lt;4VXV\R\PL MM%&amp;CKH0I.'0-PZEMO.2SFG7(XI1&lt;91DL4)1;K22X@Z?N#*Q MRF?</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C+#&amp;:E&amp;47AG&amp;2Z4Z/H;3337C2:QLD/5F[&gt;YRRIFU;GGLNW?&lt;$P_#N_A6N MV^VKARA$4\'4JJJ",@9F2A'X2(B^NXHG66HTB&gt;(TFLU*;:4CH[?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Q&amp;UZSG;.: MRUC*6LO!27&lt;0M8+,G-4;E%24I2X)IN?!UIS=&gt;?G\/M$O9.[ELQ?S5V_)Q_;3 MN*5Y*+JHQDXN,8]:4./2^"I&gt;.Y=HUBWA+[;9^Y;TRC-SNV&amp;K?</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D;/FI6XXF3E M;PD:MRUWJR0R1(R-N559&lt;%=5OVFPXX[2KCUK6ZZ9G]:3HU3D^*='Q5.-;*S'JUNIB\F\TQM_IHM;AKW-KXC:</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[:OYB;L92&gt;2N6N[^[NU_[O&amp;+YI6XRCSJU)RDZK@^"5 M-1=V!HMRQ9C',9N&amp;4J43=R49</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MELGQG@^!NN[,F9DN^=N9-]W741,13VG6VX[=TXPY3T$&lt;3%':56I:U8A8R&lt;[4+.7MQAW&lt;%*7&gt;*?=Q?&amp;57.#</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M+\UTYK,Z)I&gt;3W9M+3]'OSO9R%V=V_.4^\G2.!QQR7!44))*D4JITJ^ M/9?GK9=A_Y&amp;)4HT4%96.1\K0UC;3;B MVT..4RGT-.*0EPDZ$7S?</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0]X:OH.7NY"U"S?TZEZUF;6=NRO6-0A'"KMF&gt;"&gt;'CP;I)/II55HZ5.58!VL8JVY-W#4V0S&lt; M$U=5WN4[MVW_ 'U-NW/?</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%Q^:),J9J1FG6:9M%,TI1K[*G98;6X?662E$DT^? M7MSZIN)Y&gt;.==N&amp;5M5[NU;C@MPKSI&amp;K=&gt;UMM+@N!Z-%VWIN@J_+)J&lt;\S=:QW;</w:t>
      </w:r>
    </w:p>
    <w:p>
      <w:pPr>
        <w:spacing w:after="0"/>
        <w:rPr>
          <w:sz w:val="20"/>
          <w:szCs w:val="20"/>
          <w:color w:val="auto"/>
        </w:rPr>
      </w:pPr>
      <w:r>
        <w:rPr>
          <w:rFonts w:ascii="Arial" w:cs="Arial" w:eastAsia="Arial" w:hAnsi="Arial"/>
          <w:sz w:val="16"/>
          <w:szCs w:val="16"/>
          <w:b w:val="1"/>
          <w:bCs w:val="1"/>
          <w:u w:val="single" w:color="auto"/>
          <w:color w:val="auto"/>
          <w:strike w:val="1"/>
        </w:rPr>
        <w:t>MDL=R5%PJZ)4[$E7Y"9AG;=8^#;MS3&gt;5IRMUR$IG:^ZO(5W,7#6P]501TU6R4 M]*.TUMM1D'$U%'%IJ+A&gt;2E%4[6.DVALC&lt;,R4:L&gt;L;ASNMY71LIFK5J-</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O(V%: M@X*2;BE%5G64DY4BN*45Q?"G R:5H.3T?,ZMFLKTMPF2]RD;*W6]?65+6US4-?A&amp;YZCE;KRL14UT0NT&amp;(6D&gt;M9YJJCZ!J"9FFI0U6E</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M3$:W)!UDR&lt;=_&amp;BU1U(O;ASM[;N3VS*U:60LWW=C)*7&gt;.3Q\&amp;\6'#Y\J)13Y&lt; M&gt;!-G0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MY;FF:@NJ[*3\U5&amp;=17574^M2DB0RT1GU$)ZRM=+K&gt;O:EN#-1S6I7E*48X8QB ML,(171"*X)?*WTLW&amp;CZ)I^AY5Y73[3C&amp;4G*4F\4YR?3*3YNG#JZDC:-</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M&gt;VZQ M]K6.WL9X_E;JF(%^XI.YEU=XUL1(2Y5\K31]+4,I?A(.WJ(J-MN-0:$^;]2L*U!P4DW%**K-N4DY4BN*45Q?"E$ITK0=V</w:t>
      </w:r>
    </w:p>
    <w:p>
      <w:pPr>
        <w:spacing w:after="0"/>
        <w:rPr>
          <w:sz w:val="20"/>
          <w:szCs w:val="20"/>
          <w:color w:val="auto"/>
        </w:rPr>
      </w:pPr>
      <w:r>
        <w:rPr>
          <w:rFonts w:ascii="Arial" w:cs="Arial" w:eastAsia="Arial" w:hAnsi="Arial"/>
          <w:sz w:val="16"/>
          <w:szCs w:val="16"/>
          <w:b w:val="1"/>
          <w:bCs w:val="1"/>
          <w:u w:val="single" w:color="auto"/>
          <w:color w:val="auto"/>
          <w:strike w:val="1"/>
        </w:rPr>
        <w:t>M:DXM*3&lt;_2Q.B7'KM*&gt;P?#E+N &gt;W%P%R92M*[)"[:2]Y^V;:NR@HK M#N&gt;X*:L5(O5%P0U1 5DE64\C(.N/OLHKFVS&lt;&lt;6:"1UCUVWOSJ\M!CM^_E\K=</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MRL;3MQG.VW=A!JB498DDTN";BW2E6Z(U?N7I4=;&gt;NV,QF;&gt;9E=5R4(S2MSE7 M$W*+BW1OBTI)5Z#-O3O]'2.+\',Z_D8P;A]H6'-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S"X&amp;2ORBG8&gt;\;62IJVK[;5^W MD)VYY2[Z=JY'';D^56JIUIP;C)8E3%6BISVN;8TO&lt;'&lt;3SD;D,W;]"[;E@N1Z M&gt;#HTU7BL2='5JE77C.!-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C6$MOUUU&gt;0H1R];^R/44;L-H3&gt;HS[!3Z*;SHZ?K,]KV:W$K].N[UUK7LJLA&gt;5FQI^*KM6(=W! MNM4W64FZ/SJ5I7C1M*GFT79^DZ'F)9VR[M_/M4[R]+'-</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+EPI&amp;*7#A5*N'A6C M=&lt;4O6*V]!W?N5]7C:MS1E-,V[@ZCX&gt;YB_E-N[^S66NN&amp;8M9&gt;U*,ES4HJ^T_"FD_G.;WW8LYK</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M&lt;&amp;QLMF+:GE[E^[&amp;47R:D[*:\#5?E,C&lt;1&gt;KYP1A_(T7DZ/KLD7K&lt;-LMOLV-3Y M'O'XT0U@L/TSM&amp;35K4"8R/-M-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-2NFA@ZQRL6P&gt;BT&amp;EQ*5ESVK;^US5]/NZ9= MAEK67NO]H[4,$KM'7SWB?-\7A4:\GPJGO=,V1HVEY^&amp;H0N9B]F+:_9][/'&amp;W M6JI!85R7+$Y4HFN-</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&amp;74W";4L2[E:&gt; H;;=3UT)2HU&amp;&gt;LT#&lt;^K;=&gt;861G"66O*ERU2OV)K[[R%D&gt;3CO0SV1H:S09I/T:YN_5M=RUK(W86,OI\98NZL0[NVY?2:K*3?</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56379RIAT?:NF:-F M;N&gt;M3O7]0G'"[MZ&gt;.&gt;'J3HDEX%7HJI6KDS%$7Q;UU,7DWFF-OY+N99&amp; MQ;YM?$77;5_,3&gt;7RD\G;&lt;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M5M&amp;Q;N$=76!6JKK2N^TINFB[NB'WV:%FN-J1D(R8HG?2)Q=,XZ MIRF4OMJ="T*0HAI]O[JU/;&gt;8SE_(1M2A?C2=N&lt;6[;XMK@G%\,32H^3:=3;:[</w:t>
      </w:r>
    </w:p>
    <w:p>
      <w:pPr>
        <w:spacing w:after="0"/>
        <w:rPr>
          <w:sz w:val="20"/>
          <w:szCs w:val="20"/>
          <w:color w:val="auto"/>
        </w:rPr>
      </w:pPr>
      <w:r>
        <w:rPr>
          <w:rFonts w:ascii="Arial" w:cs="Arial" w:eastAsia="Arial" w:hAnsi="Arial"/>
          <w:sz w:val="16"/>
          <w:szCs w:val="16"/>
          <w:b w:val="1"/>
          <w:bCs w:val="1"/>
          <w:u w:val="single" w:color="auto"/>
          <w:color w:val="auto"/>
          <w:strike w:val="1"/>
        </w:rPr>
        <w:t>MMC3=PY?*6,[*[&amp;=AUA5&gt;+4EQPIOA6J35#CCFR?&amp;M0K;4](7EE.5K-K MF&amp;T5&lt;$RAOS,XY26C4DS4?5-/H6\ MM2C[QJWE,M"&amp;IPC&amp;ZHPDE!0C**[I8_-</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X2;&gt;+'5GG&gt;T=/E[ONYF\S.6G2E*VY M2BW-RE&amp;3[QX./&amp;*IAP&lt;*EPYO;=8\]N-L_&lt;]62UUMW]9-B5./8J(IJZ(1:%1"</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MU;MTO.5,A0.P;TT[)I7=U3U5MR#36C;6K9F2C7K[.X,[8V]G-M0MV_N%Z^KL MI-2QJ2P*B:DHTI;CSBWSX\J&gt;^]H&amp;3O:]E-PRN75G;-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EVHQ36!Q&gt;/BUAJY[2-1S%RXK^2N2G!1&lt;5&amp;3DX.DZQDVO,5,+B^+X\3% M+&gt;E$;6LFYCPIA3/%'D*RKZN.@EIG%V;[5DK?M2)@GZ9VI=K[6J+LE9&amp;I-,I4</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MUD33&amp;PP_$5;;=164Y,.MN/N#J-FW=SZ9H^LZSHR5MJ-[+34IRE6E)J"2 M\VDI5:G%M1EB344&amp;[)WI;)\9X/G)B^KW@;KNS)F9+OG;F3?</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=UU$3$,6G76X[=TX MPNGH(XF*.TJYJGIFV:1MDJE"TM*74H[3K,KKVKYW9V\M2UJQ"QDYVH6SD+L[M^FC7 ^SF,.X?:%AG2)BLI:FF9K#</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[=E%33OIIWC4MKJ&amp;XYU^EV_NO6-M]_ M#(7(2RUWT[=R.*W)\JTJFG3@\,E5&lt;)5HJ&lt;]KNV-*W"K$L];G',VO0N0&gt;&amp;Y'I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MI6C35&gt;*33H^*HVZ\!PKL!P5A:]Z;);57D')^0HQA5- W=EVZF[MD[=96E]"B MA6*2+A(JG&gt;2BH63;SE.Z^P2U=DM'65UO?K.^M6]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MMUCYER)@_)ESRMUT$]@*XY2Y[.I(&amp;MB*6(DJ^6J;:JJEFY6)"#E*RLHT.6M3 MDVFE?HUD2W-</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5J,TFC5:5N'.Z/I^M:;E;5J5C/6XPN.2DY)14TL%)12=)OFI&lt; MEPYI[/4] R&gt;K9[2-0S%R[&amp;_DKDIP47%1;DX-</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XDXR;7F+DX]/31IN,VW6/N9SF0MVI7;MB5IXU)K#)Q;:PR@ZUBJ&lt;6N? :]H.3W#E MLOE&lt;[7$3&gt;V^QY[&lt;;9^YZLE;K;OZRK$JL&gt;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MQ413UT0BT'X6K=NAYRJD*!V#&gt;FG90E7;4D3C&lt;@TUHAK5L^JKKQ8W#G;&amp;WLWM MJ%JT\A&gt;OJ[*34N\4E@X)XE&amp;G[-^4DN"X]GQSL-$W?</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C6XZ*W9U40NH MJJIN-J7Y&amp;$GJFJ9"I6VIIIIU/G#A=@YQQ42Q&gt;;*#JTES;7!&lt;.!XM&gt;VCIFX,QE\WF;M^SG+2PQG:FHRP\?-&gt;*,E M1-NE$GQ?</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$RBMBWZ:U;:MZUZ.KD*ZDMN#B8&amp;EKI:H362M93P]!3Q[%7)526F4 M54A4-TY+&gt;&lt;)""6X9JZI:Z%S.9O2S68OYF48QE$5B;;457@E7@JNBX'</w:t>
      </w:r>
    </w:p>
    <w:p>
      <w:pPr>
        <w:spacing w:after="0"/>
        <w:rPr>
          <w:sz w:val="20"/>
          <w:szCs w:val="20"/>
          <w:color w:val="auto"/>
        </w:rPr>
      </w:pPr>
      <w:r>
        <w:rPr>
          <w:rFonts w:ascii="Arial" w:cs="Arial" w:eastAsia="Arial" w:hAnsi="Arial"/>
          <w:sz w:val="17"/>
          <w:szCs w:val="17"/>
          <w:b w:val="1"/>
          <w:bCs w:val="1"/>
          <w:u w:val="single" w:color="auto"/>
          <w:color w:val="auto"/>
          <w:strike w:val="1"/>
        </w:rPr>
        <w:t>M19&gt;Q'+9&gt;QEX3DXVX1BG)UDU%)5;Z6^ETXLLY-[;['GMQUG[GJN5NMJ_K*L2J MQ[%1%-71"+/J(6K&gt;NAYRJD(]V#&gt;F791*[MJ&gt;JMN0:9(D-ZM&amp;9+-</w:t>
      </w:r>
    </w:p>
    <w:p>
      <w:pPr>
        <w:sectPr>
          <w:pgSz w:w="11900" w:h="16838" w:orient="portrait"/>
          <w:cols w:equalWidth="0" w:num="1">
            <w:col w:w="11540"/>
          </w:cols>
          <w:pgMar w:left="220" w:top="118" w:right="139" w:bottom="0" w:gutter="0" w:footer="0" w:header="0"/>
        </w:sectPr>
      </w:pPr>
    </w:p>
    <w:bookmarkStart w:id="135" w:name="page136"/>
    <w:bookmarkEnd w:id="135"/>
    <w:p>
      <w:pPr>
        <w:spacing w:after="0" w:line="81" w:lineRule="exact"/>
        <w:rPr>
          <w:sz w:val="20"/>
          <w:szCs w:val="20"/>
          <w:color w:val="auto"/>
        </w:rPr>
      </w:pPr>
    </w:p>
    <w:p>
      <w:pPr>
        <w:ind w:right="320"/>
        <w:spacing w:after="0" w:line="246" w:lineRule="auto"/>
        <w:rPr>
          <w:sz w:val="20"/>
          <w:szCs w:val="20"/>
          <w:color w:val="auto"/>
        </w:rPr>
      </w:pPr>
      <w:r>
        <w:rPr>
          <w:rFonts w:ascii="Arial" w:cs="Arial" w:eastAsia="Arial" w:hAnsi="Arial"/>
          <w:sz w:val="16"/>
          <w:szCs w:val="16"/>
          <w:b w:val="1"/>
          <w:bCs w:val="1"/>
          <w:u w:val="single" w:color="auto"/>
          <w:color w:val="auto"/>
          <w:strike w:val="1"/>
        </w:rPr>
        <w:t>&gt;WL;ASMC; MV2O7U=E)J7&gt;*24%1/%AP^9'@X-UKQX\-5=T#)WM&gt;RNX97+BSMFR[4 M8IQP87C=6L.*OGRXJ27+AUY C1&amp;[,?&gt;03+:TJI7"[ U)1U%&amp;E2&gt;3T76U;;+@E;KI+&amp;5;ECVP.Q:M/.][=6M*M].#/Z!D]1T-Z!?N7%DW;MPQ1&lt;5.EMQ&lt;75Q&lt;:^8D_-Y=!MN4 M]JF*\QX-M_ % [IN"KL^U:"UJ2WI:CD:2CNJ+J[0B/043-,5Y1KD6J5.,&lt;=:&gt; M-=$JG&lt;2^X79$1D19M+W1JFCZWF-&gt;R7=K-W7-RBTW;:N2Q2CAQ5PXDFO.JJ+B M4U';&gt;FZKH]C1KJ:AI3HD5]%$PU.B-I68]!,M$P1HU5]&lt;&gt;O!Y-!1PVHN$**KK1N3KQXNO$]&amp;BZ/9T/)?-RQ79*4N*2 MI5**HJ&lt;%0O:-.;&lt;__]#W\ C5=921])55]?54 M]#0T-,_65M;6/MTU)1TE,TIZIJJJI&gt;4AFGIZ=E!K6M9I2A)&amp;9F1$8 M#D;&lt;5 M@G$F-V\O9&amp;RU8=K8VJ[&gt;IW[*3'O5E7?-5*1*DNT% M+#MUU7(]HVFE:&gt;6XA*I2;X)&lt;0.O7&amp;EYVS?MHRS2'8^XK3F:"= MB:DELLOFT59'OOM-U+;3Z#&lt;96:76C5HM*3X!#JI4:!]9#I;"JK%NY&amp;4TVL&gt;-MV+&gt;E*Z^'+W7&amp;,VA1VQ&amp;T;LA,2-R54RIN*HH&gt;+HJ5=0_45"D-4R&amp;C=4I)(ZQ9 MLMF,QE,Q:S.4O3MYF#K&amp;46U)/K37$PYC+V,W9N9?,V8W+$U249)-- =33,9L3 M[*-F5IS-OY&gt;Q5BNS:RLK:&gt;/NBT;MI+DG[W@'::1IT2,/&lt;=IMS-QS]LMLO4U2 MBHH:RA:21)4AQE9:</w:t>
      </w:r>
    </w:p>
    <w:p>
      <w:pPr>
        <w:spacing w:after="0"/>
        <w:rPr>
          <w:sz w:val="20"/>
          <w:szCs w:val="20"/>
          <w:color w:val="auto"/>
        </w:rPr>
      </w:pPr>
      <w:r>
        <w:rPr>
          <w:rFonts w:ascii="Arial" w:cs="Arial" w:eastAsia="Arial" w:hAnsi="Arial"/>
          <w:sz w:val="16"/>
          <w:szCs w:val="16"/>
          <w:b w:val="1"/>
          <w:bCs w:val="1"/>
          <w:u w:val="single" w:color="auto"/>
          <w:color w:val="auto"/>
          <w:strike w:val="1"/>
        </w:rPr>
        <w:t>(4.DS^]]U:EE9Y#.:S&lt;&gt;6DJ.*C"#:Z5*4(QE)/I3;3Z4 MSGLCLS;.G9I9W*:3".93JG*4YT?0TIRE%-=#23710S+(N^.4IR\!TYJ) M&lt;%N:.DL@TRI GK,H*^VZ=</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MR09&gt;DDTS;M"A3Z#-HC64T?!TY@^&amp;,J8PJJC'=)2Y'L.IJLO1M7,XFIJ&gt;[[?&gt;</w:t>
      </w:r>
    </w:p>
    <w:p>
      <w:pPr>
        <w:spacing w:after="0"/>
        <w:rPr>
          <w:sz w:val="20"/>
          <w:szCs w:val="20"/>
          <w:color w:val="auto"/>
        </w:rPr>
      </w:pPr>
      <w:r>
        <w:rPr>
          <w:rFonts w:ascii="Arial" w:cs="Arial" w:eastAsia="Arial" w:hAnsi="Arial"/>
          <w:sz w:val="16"/>
          <w:szCs w:val="16"/>
          <w:b w:val="1"/>
          <w:bCs w:val="1"/>
          <w:u w:val="single" w:color="auto"/>
          <w:color w:val="auto"/>
          <w:strike w:val="1"/>
        </w:rPr>
        <w:t>MJ,H1%!!,W372N.V6Y%3E[1M%;-0W(NOQA5+3="M+ZE$THE&amp;H^/#D#=8F][,G MKDNNSH.[K8F;NL-&lt;(W?-K14_%2-QV8YP!:G+&gt;#\3YVM] MFU\MV-</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"WO#4KZZJA:DT5#-;&amp;53J":=J(B8CJBBF8A]YHB2M=-4-*6DB)1F1$ M0V&gt;DZSJNAWWF=)ST[-YJCI1J2Z,49)QE3M3-;J&gt;D:9K-A9?5,G"]:3JJU33Z</w:t>
      </w:r>
    </w:p>
    <w:p>
      <w:pPr>
        <w:spacing w:after="0"/>
        <w:rPr>
          <w:sz w:val="20"/>
          <w:szCs w:val="20"/>
          <w:color w:val="auto"/>
        </w:rPr>
      </w:pPr>
      <w:r>
        <w:rPr>
          <w:rFonts w:ascii="Arial" w:cs="Arial" w:eastAsia="Arial" w:hAnsi="Arial"/>
          <w:sz w:val="16"/>
          <w:szCs w:val="16"/>
          <w:b w:val="1"/>
          <w:bCs w:val="1"/>
          <w:u w:val="single" w:color="auto"/>
          <w:color w:val="auto"/>
          <w:strike w:val="1"/>
        </w:rPr>
        <w:t>MXR34HOM31Q3"^U? &amp;WEV2J]L^F[JQ!+UT[CJ4]-7#&amp;_%Z5D7H9^LJO, M8B6H(Z6[9V I#[.N9JFD]EHE)$I9*V&gt;0UG4M,RFHY+)9G!ELW!1NK#!XHI22</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M591;C13EQBXOCSJD:S.Z/IVHYK3\[G,OCS.5DY6I8I+!)X6W2,DI5PQ])-&lt;. M'276(M.77@T&amp;KHE0V9J) 6IRW@_$^=K?9M?+=C0M[PU*^NJ MH6I-</w:t>
      </w:r>
    </w:p>
    <w:p>
      <w:pPr>
        <w:spacing w:after="0"/>
        <w:rPr>
          <w:sz w:val="20"/>
          <w:szCs w:val="20"/>
          <w:color w:val="auto"/>
        </w:rPr>
      </w:pPr>
      <w:r>
        <w:rPr>
          <w:rFonts w:ascii="Arial" w:cs="Arial" w:eastAsia="Arial" w:hAnsi="Arial"/>
          <w:sz w:val="16"/>
          <w:szCs w:val="16"/>
          <w:b w:val="1"/>
          <w:bCs w:val="1"/>
          <w:u w:val="single" w:color="auto"/>
          <w:color w:val="auto"/>
          <w:strike w:val="1"/>
        </w:rPr>
        <w:t>%0S6QE4Z@FG:B(F(ZHHIF(?&gt;:(DK735#2EI(B49D1$-GI.LZKH=]YG2&lt; M].S&gt;:HZ4:DNC%&amp;2&lt;94[4S6ZGI&amp;F:S867U3)PO6DZJM4T^N,DU*+[4T&lt;4POM7</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MP!MY=DJG#V-(:T)"79*FD9CSN9GYZHHR=)XZ#T_&lt;\G-33,&gt;MY"%JIT/I96MM M"C29H29&gt;K6-SZ]K\;&lt;-6U*=Z$751I&amp;,4^O!!1C5G MPM7)</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&lt;'*LI2:ZL4W*5.RM/D1D 1&lt;_LX?;&amp;B-V:@ M /_1]_ ,"?6 W%65V/\ %&gt;WN'E'XN5W: M9OL?!4K54*G4R=+C*N.NNS,=31FVZRE)56.+8KXUPU*TTDM-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-3(RO!&lt;92?)( M'4)OGL' %S[D?6$4&amp;Z!5%07)C+9%1RWJ_+3N6?K+5L4HV.PG=%7=-7CZ&amp;;J( MJ&amp;F[WM_*\9U*:/0IXE,F9HI'%4YK8SP&lt;\-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MP7YW'Y0=F.RC94K:YF*[;]Q Y M;]M;:\VX*Q?*RN,VK@NJLEX7/D0\\$P[BS)67+FI96NMO%E@7ED&gt;X**"8HZF;K(.R+=D;FEJ6&amp;II"NB</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MZ"HE:B@C'$4Z'ZFG96\:26ZVDS64)-M),\&gt;7!C3/./HK-J7&lt;53&gt;4)(7#'4JJB.;FX6*.K:4DT&gt;41'#@Z2::= 63S'=6")6(];Y;&amp;/ M;&amp;GX#-5I;?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J%6X2\Y$D^A;^JI[:S77V-L60UYE5)..B4E4F9D MFI-2GSF.+%9KZ-&gt;'R@QKL$M;\_[N]_V;Y&gt;GXFV&lt;59KR M/CEFV&lt;47Y-</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7*T^_9])'2WI^MN.#3&gt;K3)'$.S45%LUYNMDTHS61"SMM*M4^SI M!S?)^\O&amp;^+LVHV\5=HY3O++%=C*W\IVY;./K4H;DJ+JA;@NF[[5*.B-</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9ZBLJLJY&amp;JDTQ\+1T:V#57]L\AD1&amp;W*2)I&gt;HO*L;H+/D MWWOC;57W;]NW/4U-.5'(RD#0T:TU+2U.)29FF&lt;#XK$L2Z.D&amp;FVV1/&amp;&amp;[+=QM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MF_HBFMFO&gt;L[=;BN.=IV6Z6@@\T.3,/E&gt;/BU,-L-(BV\R6M(2*$$C0GY=XC4I M1*4U4M$X3EU3&amp;W.X6;*6C6F=ZKR:A MBK0V?:</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(ZKKB5=575ZS&gt;2/H7&gt;NB^= X!O&gt;O'"FXG$?K'\'WEBB+F[SV&gt;;&gt;):_ M(&amp;YKRB+KC1F1S;4 MXNU+%12?S/I!2V&lt;2.2\*;H5[2I+*5^9&gt;Q#</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&lt;.SVQ]S%A563:UFX[NQ9)O7K3X MZE,?-7HIMF6G;7E$F=5&amp;M5W:JHVJ-3+2BZCBWDJ2ACPI.M. ,PM]7[R/&gt;-_V M5MPO_5)=_,9&gt;#CF:/I7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MSL&amp;2+W^V:C?_ /F+-\'AW56^*_\ 0_\ ._(#)/?5^\CWC?\ 97W"?]4EW"D/ M3AX4#K7WC-M_P$EHLFV@V?P [%F^RZB2;[/X^[&gt;T]GU-.H2-.#330BX!EA_O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MWX7^4&amp;2OK+_Z=]7;Q_[3G;'WN."RI[@I:_Z3_98,;9W7\+?_ '@?7]H3#&amp;O/ MLCNSB[VHO^;E_"_G0-IL$_U&gt;_P#=W2[NVW*OM?,6LWA!T:S/'I_*"S.[3XR]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MO_W@;XI]MZ4^*6Q[SOL.OVGQ:_ Y!?'37L^'L/B=Y_VG)V?6UX-1:/*Q7]+F M#/OUJ7H;^#6R)^#_ ,VZW4P#^!_T9VY5GI?\,&amp;,?B-\5#3^&gt;92G8=3S;L?Z(</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M[/K/G,Q.8/WO^KD.FPK;E+/3EB,P6 M5;2QE&lt;,G9L1B2XIVT9"FF\4Y1MVU))R&amp;=:?-B)E''S:J=$K2DFK4C.4DJJ[Q M\</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,DB:K5^N!4\TI"HZD]6RAFO031K&lt;;K:_&lt;^XN'6M\F%%3I=IXZN)*5.([8T M*-*5]FHVZ_\ 0_\ ._(#LG&amp;( M ?_3]_ M ,)=^5C3\UB&amp;V\JV5%'-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WYM@RG8^X^VH9EKKUL_&amp;X]JZA.0[7H ME-N-5)U-PXQEIEAAEOK+J:HV6TI-2DZ7MM)M/DU0%L-WNTJRMV&gt;(;^S1A*X; MTBM&lt;-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NKIM$K;F$W!I=":?R R"VS[7;/P#'R%QE67=&gt;&amp;6[Z@K1HLC9&amp;R+&lt;:; MJN^1:MB)31P]J4=92TT?!P=HVRI]Y%%'1=)24:&gt;L;BDN.'UQ64FZ+AA78"]&amp; M6,</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&lt;0F8L69*Q'F/;8QK*55_MHME#\K*T\%:=,[3KCG(IE%6MQ2VG&amp;U):1..7GKHDP M1W)-4&gt;&lt;*4[ O+'-P5T$]1TT</w:t>
      </w:r>
    </w:p>
    <w:p>
      <w:pPr>
        <w:spacing w:after="0"/>
        <w:rPr>
          <w:sz w:val="20"/>
          <w:szCs w:val="20"/>
          <w:color w:val="auto"/>
        </w:rPr>
      </w:pPr>
      <w:r>
        <w:rPr>
          <w:rFonts w:ascii="Arial" w:cs="Arial" w:eastAsia="Arial" w:hAnsi="Arial"/>
          <w:sz w:val="16"/>
          <w:szCs w:val="16"/>
          <w:b w:val="1"/>
          <w:bCs w:val="1"/>
          <w:u w:val="single" w:color="auto"/>
          <w:color w:val="auto"/>
          <w:strike w:val="1"/>
        </w:rPr>
        <w:t>MW1PE[V[(VS+54/42%#)T%/*T]!)N+IUOTU0RAXDFMIQ)&amp;DX3:::YI@LEDK9] MC/*&gt;TZ.V=7!.7S1XRC+1Q/9=/.0TG 4]]KB\.R]FS5L/O2==;,C;ZJ^NJK(I</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M$URBBTMNMN/$TVRI2%-V4VIXUS!S?..WNR\_.X9&gt;O&amp;3N&gt;-5@W.MB[@[2*V:V M*HTR%YX^HY^BA8RXBE(69.KMBI:N-</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XZIBF.DJEJ0V;=2V1*)55)QK3DU0'"* MK9]C2LN+&gt;%_;8^J,9T$3"1+4)1US&lt;=.VU5 M.%)M5U77E4.K/L^R;,VPQ/#%/H!9VU?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5\XGMV4QXF7R+GG(F/&lt;0ST3.1.D.E(DE3$YJZ=,3PX.BM?Q4!M,%M&gt;QK"Y3W+Y6?7/7!([KH#&amp;]L93M&gt;?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MJHJJL\H3&amp;=G3UC1=#;]!1PU!*TC,W!7'4%)%5UM;VSG5-GL$DI"F*6&amp;*Z@6&amp;</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MM/U&lt;6)K:I+&amp;M64RIN&amp;R#A_&amp;4Y!7!8&amp;!,@9&amp;C)K$MN5MJ515UHTRJ&amp;BM.)NZY M(6U*UIEV@CYJ8DJ%E5,U^-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*).AW=QU;44I=8)&gt;TZ)_"5FW=)NX^LJR,[64JFT&amp;W445-2O(6ZVM#BTVL M%N*Z.+\8,^QC M '__U/?P M --/#[8 :;D:2*C*-HN$W*JOKW6*1A!=U:R(9+-</w:t>
      </w:r>
    </w:p>
    <w:p>
      <w:pPr>
        <w:spacing w:after="0"/>
        <w:rPr>
          <w:sz w:val="20"/>
          <w:szCs w:val="20"/>
          <w:color w:val="auto"/>
        </w:rPr>
      </w:pPr>
      <w:r>
        <w:rPr>
          <w:rFonts w:ascii="Arial" w:cs="Arial" w:eastAsia="Arial" w:hAnsi="Arial"/>
          <w:sz w:val="16"/>
          <w:szCs w:val="16"/>
          <w:b w:val="1"/>
          <w:bCs w:val="1"/>
          <w:u w:val="single" w:color="auto"/>
          <w:color w:val="auto"/>
          <w:strike w:val="1"/>
        </w:rPr>
        <w:t>F]F+L;.7LSN7I MHZC&lt;+C5QUA756 MN@G"E:0S_(:Z+9K*&amp;H3WVW%%WQTMO9&amp;[;L&lt;4= S*7;'"_&amp;I--&gt;-'.SWEM:$G M"6NY=M=4L2^557XR%\_K9Q]</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(.P?NJO\ @\9/&lt;3=_L"_\B\I7WUVK[XF[ M_8%_Y%Y1[Z[5]N6/E?D'S^MG'T@[!^ZJ_P"#P]Q-W^P+_P B\H]]=J^W+'RO MR#Y_6SCZ0=@_=5?\'A[B;O\</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8%_Y%Y1[Z[5]N6/E?D'S^MG'T@[!^ZJ_X/#W M$W?[ O\ R+RCWUVK[XF[_8%_Y%Y1[Z[5]N6/E?D'S^MG'T@[!^ZJ_P"# MP]Q-W^P+_P</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B\H]]=J^W+'ROR#Y_6SCZ0=@_=5?\'A[B;O\ 8%_Y%Y1[Z[5] MN6/E?D'S^MG'T@[!^ZJ_X/#W$W?[ O\ R+RCWUVK[XF[_8%_Y%Y1[Z[5 M]N6/E?</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D'S^MG'T@[!^ZJ_P"#P]Q-W^P+_P B\H]]=J^W+'ROR#Y_6SCZ0=@_ M=5?\'A[B;O\ 8%_Y%Y1[Z[5]N6/E?D'S^MG'T@[!^ZJ_X/#W$W?[ O\ R+RC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MWUVK[XF[_8%_Y%Y1[Z[5]N6/E?D'S^MG'T@[!^ZJ_P"#P]Q-W^P+_P B M\H]]=J^W+'ROR#Y_6SCZ0=@_=5?\'A[B;O\ 8%_Y%Y1[Z[5]N6/E?D'S^MG'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MT@[!^ZJ_X/#W$W?[ O\ R+RCWUVK[XF[_8%_Y%Y1[Z[5]N6/E?D'S^MG M'T@[!^ZJ_P"#P]Q-W^P+_P B\H]]=J^W+'ROR#Y_6SCZ0=@_=5?\'A[B;O\</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M8%_Y%Y1[Z[5]N6/E?D'S^MG'T@[!^ZJ_X/#W$W?[ O\ R+RCWUVK[K=.,L*^5T2\;,GXV4C9F@I92'D*&amp;5C*]E-10R,;5T]=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M05E.OR'Z6LI7':&gt;H97R*0I23[HYFY;N69RM7KL(V_0S4G(-Q%;@G*U75Q3=94-QM554\E1IIZFHH</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M4.%2OU#*3T0M234GD,AV^0M6GL'7[SMQ=U9VPDZ*J5'5)\TF&lt;;G;EQ;WT2TK MDE:&gt;3O-JKHVFJ-JM&amp;^/49VGQ'[/&amp;.</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(.R/&amp;QOS'[Y=LQE=G^=*4DFU7Z,6Z1CR23?-L_*N[=&gt;SVMZQFG?O2^Z6[DHVX? MFQ46TG3Z4DFY2?%UIR22PY]G=\9\ ZW%7FCF*</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&lt;6TQP]WZ@BJ^C\Y/'L_#QCA M[OU JOH_../9^'C'#W?J!5?1^&lt;&lt;&gt;S\/&amp;.'N_4"J^C\XX]GX&gt;,[]0*KZ/SCCV?AXQP]WZ@57T?G''L_#QCA[OU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JOH_../9^'C'#W? MJ!5?1^&lt;&lt;&gt;S\/&amp;.'N_4"J^C\XX]GX&gt;,[]0*KZ/SCCV M?AXQP]WZ@57T?G''L_#QCA[OU JOH_../9^'C'#W?J!5?1^&lt;&lt;&gt;S\/&amp;.'N_4"</w:t>
      </w:r>
    </w:p>
    <w:p>
      <w:pPr>
        <w:spacing w:after="0"/>
        <w:rPr>
          <w:sz w:val="20"/>
          <w:szCs w:val="20"/>
          <w:color w:val="auto"/>
        </w:rPr>
      </w:pPr>
      <w:r>
        <w:rPr>
          <w:rFonts w:ascii="Arial" w:cs="Arial" w:eastAsia="Arial" w:hAnsi="Arial"/>
          <w:sz w:val="16"/>
          <w:szCs w:val="16"/>
          <w:b w:val="1"/>
          <w:bCs w:val="1"/>
          <w:u w:val="single" w:color="auto"/>
          <w:color w:val="auto"/>
          <w:strike w:val="1"/>
        </w:rPr>
        <w:t>MJ^C\XX]GX&gt;,[]0*KZ/SCCV?AXQP]WZ@57T?G''L_# MQCA[OU JOH_../9^'C'#W?J!5?1^&lt;&lt;&gt;S\/&amp;.'N_4"J^C\XX]GX&gt;,[]0*KZ/SCCV?AXQP]WZ@57T?</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G''L_#QCA[OU JOH_../9^'C' M#W?J!5?1^&lt;&lt;&gt;S\/&amp;.'N_4"J^C\XX]GX&gt;,[]0*KZ/S MCCV?AXQP]WZ@57T?G''L_#QCA[OU JOH_../9^'C'#W?J!5?</w:t>
      </w:r>
    </w:p>
    <w:p>
      <w:pPr>
        <w:spacing w:after="0"/>
        <w:rPr>
          <w:sz w:val="20"/>
          <w:szCs w:val="20"/>
          <w:color w:val="auto"/>
        </w:rPr>
      </w:pPr>
      <w:r>
        <w:rPr>
          <w:rFonts w:ascii="Arial" w:cs="Arial" w:eastAsia="Arial" w:hAnsi="Arial"/>
          <w:sz w:val="16"/>
          <w:szCs w:val="16"/>
          <w:b w:val="1"/>
          <w:bCs w:val="1"/>
          <w:u w:val="single" w:color="auto"/>
          <w:color w:val="auto"/>
          <w:strike w:val="1"/>
        </w:rPr>
        <w:t>1^&lt;&lt;&gt;S\/&amp;.'N M_4"J^C\XX]GX&gt;,[]0*KZ/SCCV?AXQP]WZ@57T?G'' ML_#QCA[OU JOH_../9^'C'#W?J!5?1^&lt;&lt;&gt;S\/&amp;.'N_4"J^C\XX]GX&gt;,[]0*KZ/SCCV?</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AXQP]WZ@57T?G''L_#QCA[OU JOH_../9^ M'C&amp;G=/7ZGU2,*KHB0TWP=*?AV@BTXOJ?</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4Y&gt;03BKS1"C1.CXG:/ZK'5JZLA:ZUWZEQZ@A;D=H'ZN(NF%IG%&amp;W0R"JFA12UAMFA-32.F M;B7%L,&amp;CYG\3-</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O9+4M"S6K*S&amp;.I96*DII*LH)TE"3Z51N4:U::HJ)NOT7XG_\ #W&lt;'^&gt;L?,&lt;5GOY[T+_)7_P!9&amp;?ICA#M3 MPG96_92R0?=OZ\&gt;3_G#</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(\O+Q#]M:;PTO3UT*Q;_'!'XZU'_4&lt;^Z_]/&lt;_6EY# M@8]9Y0 M "XD%V[EP#G&gt;S+?J[LO#"F6[4M6@11N5]SW)C&gt;\8*WJ)$A54U!0+JIJ M4AJ6-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ITUM=6,LLFMU).NNH2C4U)UUF7US0\W?CE M55S/?E-*U7/0E=R6F9B]:BZ.5NW.&lt;4^=&amp;XQ?&amp;E'3GQY4XG Y:)E8&amp;4DH.M2A&gt;@VI1DFI M1:;333Y--</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&lt;4^*ZB&amp;TTX^ZVRRVX\\\XAIIEI"G'777%$AMMIM!&amp;MQQ:S(DI(C M,S/0A+:2;;HD0DY-1BFY-T27%M]"7:R_7S4=T?T;,^\A?L.Y#^I^IW0]#&amp;E] MY]L-</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I+8M?7-Q[N;C_I_._87?JCYJ.Z3Z-F??_N=R'][NA:@MS[8:K[R M9#[&gt;U]X-XXTZ32UJU1P_5 M)J __1]_ +6YCS)8.!\?S.2\DRRXF MV88Z9A:J:E?</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D)*1D:]]%+&amp;Q$3'4R5/UTE(5*R2A!=5"$DIQQ2&amp;D..)V6D:1G M]G@DFVD]=JNJY+1U#4+N#+PIT5;;=%&amp; M*7-M_)Q;HDVK/XCWAX^RM?</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R&lt;6U=EY9Q+D*MMP[NM^U,QV:S:$G==LI-1.S-N M'1S,Y2UM.QV:^NVXXR^1-.&amp;39DVLT[;5=I9_2\@]4AF\KFM/C&lt;[N4[%S&amp;H3^</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MC*L8NKZ&amp;DUQ7'BC5:9NG(ZEGOX=+*9G+9UV\&lt;87[&gt;!SA]*%)23\#:?/AP=." M2GK#,(14W*MN6[ENJQU WH6/Y_/%#8BJG"4+=)5J(Y^@KKO]*</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(KNPI:UUMM= M2W0.4Q]JV:7%)&lt;29^^UL'6KMJW3,Y1:C.SWL[EF5;KEU.M*.&gt;*O-KBHM&lt;51NJ,K,G9.M+$&gt;.[KR?&gt; M-&lt;5-:]HP-=/UKE.[1G52#=)3+?</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IHR&amp;365='2ULQ,O$BGHF3&gt;;*HJ74()1=;4 MAJZ"+?DT.SE0=:)J%S6[FW\O;5W4(WYV MO-?FN4)24FG)+S?-=Y MR5$W67!5+-8SWPXQR-</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D.UL95UDYCQ=LIYF74ZFHCZ9=0RFJ12J&lt;;(B(NNMM"MUJ.RM3T_3\SJ4,YD\SE[$U&amp;[W%WO</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M)6FZ+SUACR;H\+E3IX)LU.G[PT[/Y[+:?/*9K+7[\7*UW]M05U+C6#Q/FN*Q M*/#M:3S+UY!QR?(ZOM, LB'_ /$9VZ\'%@++?!X9.C'&gt;:?\ \/=P?YZQ\S.*</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MSW\]Z%_DK_SHS](]1PAVIX3\K?LHY(_T^O+_ %ADA^VM-_TS(?X%K]1'X[U' M_4&lt;]_F+GZTC@8]9Y M N+H0^".PGU:^VQS&lt;#N(AI&amp;;CE56.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&lt;4JHKXO%QYOK4-?7 M4U2I5I6R\:M6W#FYFF[9UI1&amp;EV@HZE)Z&amp;9#A?B)N!:#H%ZW9NTU#,IV[:Z4F</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MO/FO]F+X/HE*)W&amp;P-!_C&gt;MV[M^W7(9:ER=&gt;3E^9!^&amp;2JUQ3C%I\SO1]9).1% MS&gt;K\RQV5JEZU)2M2C9DFGP: M=ZTT_&amp;CR=04'+W1-</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P]M6_'5,M.W!*4$+#1=&amp;CM*N1E9.J:HH^AIF]2);U75/ MH0DCT(S5PC]2WKUG*V;N9OW5"S;@Y2;X)**JWX$N9^:K-B]F[UK+6+3G&gt;N24</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M8I=+DZ*G:V&gt;SO:EB2UMO&amp;)[5P+%UU%4W;:5KPMU7[YL2NWK9R]ZN&lt;*JGW5F@ MCL_5^W=,RVA:;E=&amp;LRB[]JVI7*=,IN59^!RC)1KR4:2O=;^^D</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MW*%_]OV9/^L2XOJ#]3;8X;8VYU_&lt;,O\ NH'YEW&amp;O_P"QZ_VYV_\ O9%D(VM. M.D8^12@G54%;25J6C5U"</w:t>
      </w:r>
    </w:p>
    <w:p>
      <w:pPr>
        <w:spacing w:after="0"/>
        <w:rPr>
          <w:sz w:val="20"/>
          <w:szCs w:val="20"/>
          <w:color w:val="auto"/>
        </w:rPr>
      </w:pPr>
      <w:r>
        <w:rPr>
          <w:rFonts w:ascii="Arial" w:cs="Arial" w:eastAsia="Arial" w:hAnsi="Arial"/>
          <w:sz w:val="16"/>
          <w:szCs w:val="16"/>
          <w:b w:val="1"/>
          <w:bCs w:val="1"/>
          <w:u w:val="single" w:color="auto"/>
          <w:color w:val="auto"/>
          <w:strike w:val="1"/>
        </w:rPr>
        <w:t>&lt;.E?;?)LUD2C22S;TUT/34;B&lt;&lt;&lt;)PK2J:^4U=J?= M7;5VE&lt;,DZ&gt;!U.[\_7=WK]'^UN3_/N6(O]71\:7P9R3=%KMZO^''ZQ]=?QU[&amp;?W:MN:/G)7LO&amp;XXSNN*BD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MH?[V22;5(T:BZTE*BY-'T2YN.YD=L/&lt;&amp;K916+CMJ4;2DY.LO]W%MJ+K*JJJ5 MBJ]*9X\.#7OER=SC\)\G@'ZU?%/AV^#G^(_*\&gt;+KU?\ )3\/Q5-14R&amp;7FP?]</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M^-M]_P!/Z/\ L&amp;O'*[W_ )2U[_+OYT=/LS^:=$_QE\S/9@7$7@'Y$/U0^9J M __TO?P T/B]KQ@"S^:,.8TS1;TN:C?</w:t>
      </w:r>
    </w:p>
    <w:p>
      <w:pPr>
        <w:spacing w:after="0"/>
        <w:rPr>
          <w:sz w:val="20"/>
          <w:szCs w:val="20"/>
          <w:color w:val="auto"/>
        </w:rPr>
      </w:pPr>
      <w:r>
        <w:rPr>
          <w:rFonts w:ascii="Arial" w:cs="Arial" w:eastAsia="Arial" w:hAnsi="Arial"/>
          <w:sz w:val="16"/>
          <w:szCs w:val="16"/>
          <w:b w:val="1"/>
          <w:bCs w:val="1"/>
          <w:u w:val="single" w:color="auto"/>
          <w:color w:val="auto"/>
          <w:strike w:val="1"/>
        </w:rPr>
        <w:t>NVI6GYJDW&amp;;3:BG5J3&lt;51KCU&amp;KU72\AJEBU:U&amp;#&gt;7M7 M%&lt;7G.*4H)TMBYX]YJV5-FS55\/04TOVJ7D*02?-2&gt;):2J6"5]&amp;&gt;3CMG:EK0-3:_B^JYNS M-</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VE1RMVHS@UBYTE)QI1\\5*&gt;;*G +-O&lt;.YYZYIR?\)TW*WH*YQI:;@..KG#Z^O:TQPE M+IIHD^Q+4CX=?=J-Z['XR64I\</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(W;,%_LO+QQ+ETXI+Q\SQ9"S"7PFOXX5BEF1%IX-O:QJ6F;_ ,YHN2S*AIU[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M5;RG'!;&gt;)*Y)&gt;DXXDJ17"+BNP]VO:3IVI;'RNL9S+N6HVM,M.$L4UA&gt;"+]%2 MPMUD_23?$X+NZN/XO&gt;K1V6MO1[TS$3C^U6-GX.G,R&gt;FX:AQ-</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670]$H)!&amp;I;E M?56ZRA))1@_1BE*2QN33=,*S&amp;BK4KO=9F[;NN6&amp;.).*Y+HIQZ3\[9OXA9V6OY;5? MX?:[VQ;G:4&lt;4J-2ES?:J'I-</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PY&gt;U5DO$&gt;+,D5U%3QE;D''-D7O6QM(XX]2Q]5 M==LQ&lt;]44-,Z]HZZQ2/5YMH4OZY24D9\(_.^K9*.G:KJ6GVYN4+&amp;8N6TWP;4) MN*;2X5=$?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&gt;]+SWJXV[95^W%CY&lt;;&lt;:.M*GVZ^O&lt;;8D;"\W6LZZ/K4IKSO!W=OS4^B;3Z2^FY M3_8YVYQ&lt;. =J/=T_1S#A\&amp;IF-)MU?_ES,4K7[]GOUJ9P''S=\W5N=R</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TU0X]PE'2#D-)R;:D13EXG&amp;.UDE+&amp;ZZRXP\S9%M+BV]OZ'LK2 M[:6.$,PYMX7I*.JD&lt; M"2I+@FWZ*-&lt;,U)ZK=8:BU,B2?);YUM[?VWG&lt;*Y6W6[&lt;_V8-</w:t>
      </w:r>
    </w:p>
    <w:p>
      <w:pPr>
        <w:spacing w:after="0"/>
        <w:rPr>
          <w:sz w:val="20"/>
          <w:szCs w:val="20"/>
          <w:color w:val="auto"/>
        </w:rPr>
      </w:pPr>
      <w:r>
        <w:rPr>
          <w:rFonts w:ascii="Arial" w:cs="Arial" w:eastAsia="Arial" w:hAnsi="Arial"/>
          <w:sz w:val="17"/>
          <w:szCs w:val="17"/>
          <w:b w:val="1"/>
          <w:bCs w:val="1"/>
          <w:u w:val="single" w:color="auto"/>
          <w:color w:val="auto"/>
          <w:strike w:val="1"/>
        </w:rPr>
        <w:t>43[)2&lt;8OL;ZC/+US^:7I6^L&gt;8#B:OJQ%G1 M";YN&gt;D8-:&amp;G+DN!-10P--5([3LE.PUOT[CK6B"ZJ)-6IGJ1)XCX/Z-&amp;UD-0U MV]!][&gt;GW&lt;&amp;Z&gt;A'TJ?</w:t>
      </w:r>
    </w:p>
    <w:p>
      <w:pPr>
        <w:sectPr>
          <w:pgSz w:w="11900" w:h="16920" w:orient="portrait"/>
          <w:cols w:equalWidth="0" w:num="1">
            <w:col w:w="11440"/>
          </w:cols>
          <w:pgMar w:left="220" w:top="118" w:right="239" w:bottom="0" w:gutter="0" w:footer="0" w:header="0"/>
        </w:sectPr>
      </w:pPr>
    </w:p>
    <w:bookmarkStart w:id="136" w:name="page137"/>
    <w:bookmarkEnd w:id="136"/>
    <w:p>
      <w:pPr>
        <w:spacing w:after="0" w:line="81"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b w:val="1"/>
          <w:bCs w:val="1"/>
          <w:u w:val="single" w:color="auto"/>
          <w:color w:val="auto"/>
          <w:strike w:val="1"/>
        </w:rPr>
        <w:t>[4Z)_[!V7Q7U5SS&gt;0T2U.D+&lt;&gt;]G3Z4JJ-&gt;V,4WX)UZ3 MI#TXO9R:#[,Y57%'R*G&amp;O2:BI)EYL'_?C;??]/Z/^P:\_P N_G1T M^S/YIT3_ !E\S/9@7$7@'Y$/U0^9J _]/W\ M -#XC!UHZL&amp;LK.^2]N4QCK;];[UQ7/&gt;MPPT)=-)3W#;EM/LV%YO M)2,XM,C&lt;\O"T;C-=7T%'0OL-/=L]3U;B&gt;JIKM2'9;"SFB:=N&amp;UJ.O7U;RUFW M*5MN$YKO:I1\V$9/@I2DG2B&lt;5Q3HW+_P!^UK*[PGG-:E&lt;4 MU!Y:[!2;FJI2DL,5"-7%D9K:&lt;,IH\8.+FLQ;FXI1='A MB\3B+ MMKZ&gt;1QVE+5WOW K\?;? 9IF_-%^&gt;K2E1DGKN=&amp;]P[3S&amp;X,KO?,:A..HPM1!.-W_=X.33;JL*;7&amp;BT"T'&lt;^7T/,;.L9"V\C*ZU'-.[!*-EW,;K: M]/$^E)8?.?'A5Y\[B&lt;03:=RY*C=,3DV\,4Y/G MR2;[#M=VQG-(TZWCO?=U;A&amp;J5&lt;*22K)I+@NET+(Y:VK7UEG8;B+"C'H MZW,NXSL/"\E&amp;44O5TE7&amp;4E_XZM&amp;-B9.#K)*-=D(]27B76TB*EE;U-VJDKZRF M=5#=Z5NC):7OG5M9EBN:5F;^83&lt;4TW:NS#U&amp;I[;SNI[,T MO28X;&gt;J9&gt;S8:4J-*Y:@E*-55?2BFJKCSIQ-EK\&gt;[FMSN6]NT]F?#&lt;#@BR, W M6C)? 9IQ&gt;S377NCYQRZ#Z#\YY@[V]5[ M.TNYFTL*GF*)759-M6]\B,7 5F5B6(=F!DBZT4['?&amp;,W*QVJ*I+1TGFR3IY! MC])Y+XDV);M?PF&gt;'+7;=K!WB\ [$O24L'"E.5'X3\\YOX&gt;7X[ARNE?Q2#E MF+4[JE@?FX9=?$&gt;CG$5D.XRQ1C#&amp;S\BW+OX]QY9=CO2S-.JC:E'+3 MMN-@7)%JC6[4+I6ZY&lt;&gt;;J6S&lt;&lt;-!*TZRM-3_/&gt;JYU:EJFHZC&amp;W@5_,7+F&amp;M&lt;. M.;E2M%6E:5HJ]1]XTS)O3]-T_(2GB=BQ"WBI2N"*C6G16E:5=.53Q)96_91R M1_I]&gt;7^L,D/V7IO^F9#_ +7ZB/R3J/^HY[_ #%S]:1P,&gt;L\@ M 3HNL*.DXZ04V; MJ:"OHZQ31*)!NII:AM\VR69&amp;2# &lt;)&amp;A'R&amp;&gt;HIW';R.V8;EEE)2M.S:N8*I.EUP5*TIYN/BZ&lt;:&lt;.9T= M[4O6=0FVVQ+LLVKP]*7:NY&gt;[8Z3M M%JZI=7M=3U'V'9.F/:6S\YK%V_W\+N56;PI8&lt;*5G'@;JTWPIBHE^CP/E.\=2 MANC=.1TFW:=EVLR\JY-</w:t>
      </w:r>
    </w:p>
    <w:p>
      <w:pPr>
        <w:spacing w:after="0" w:line="235" w:lineRule="auto"/>
        <w:rPr>
          <w:sz w:val="20"/>
          <w:szCs w:val="20"/>
          <w:color w:val="auto"/>
        </w:rPr>
      </w:pPr>
      <w:r>
        <w:rPr>
          <w:rFonts w:ascii="Arial" w:cs="Arial" w:eastAsia="Arial" w:hAnsi="Arial"/>
          <w:sz w:val="17"/>
          <w:szCs w:val="17"/>
          <w:b w:val="1"/>
          <w:bCs w:val="1"/>
          <w:u w:val="single" w:color="auto"/>
          <w:color w:val="auto"/>
          <w:strike w:val="1"/>
        </w:rPr>
        <w:t>J59.]@QI*G#A6E&gt;*IQ+'[T=D4WLV_!KZ8O^+OK\(_ MQQ\W*-@:N$]%_% [5[7M_.I&amp;O\Z\^^-"&gt;KU&gt;IU.Q/77K%INMG;RL;O\ XCW.</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M2E9^[]W6LE+%WBN@K4?*U(%;1'Y+1P\ M(QU2Y$Z%QCZMM+(?PW;&amp;BY3 XSC8C*2ZIW%CE_ZTG^0^8[LSW\0W+K69Q5C]</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MXE!/GPAYB_%!&amp;,XZ T &amp;7FP?]^-M]_T_H_[!KQRN]_Y2U[_ "[^='3[,_FG M1/\ &amp;7S,]F!&lt;1&gt; ?D0_5#YFH #_U/?P MT,M2</w:t>
      </w:r>
    </w:p>
    <w:p>
      <w:pPr>
        <w:spacing w:after="0"/>
        <w:rPr>
          <w:sz w:val="20"/>
          <w:szCs w:val="20"/>
          <w:color w:val="auto"/>
        </w:rPr>
      </w:pPr>
      <w:r>
        <w:rPr>
          <w:rFonts w:ascii="Arial" w:cs="Arial" w:eastAsia="Arial" w:hAnsi="Arial"/>
          <w:sz w:val="16"/>
          <w:szCs w:val="16"/>
          <w:b w:val="1"/>
          <w:bCs w:val="1"/>
          <w:u w:val="single" w:color="auto"/>
          <w:color w:val="auto"/>
          <w:strike w:val="1"/>
        </w:rPr>
        <w:t>#3V:=T13D#7Z@D'SIQ$_*W[*.2/]/KR_UADA^VM-_TS(?X%K]1'X[U'_4&lt;]_F+GZTC M@8]9Y M 0::=.O.6G,+8J5HN#(P]?X?C,G;EWD;D;OPY38 N+(_I'$=)</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6I:]/: M1VA8=+U(*QWX:IM&gt;A.&gt;H;8I;F7Z,&gt;M^D/M3K3&gt;?['1U;A*62N:R^TMNY75YZ M]E].PZK*YS6E1T6_G\6FJ$(*'</w:t>
      </w:r>
    </w:p>
    <w:p>
      <w:pPr>
        <w:spacing w:after="0"/>
        <w:rPr>
          <w:sz w:val="20"/>
          <w:szCs w:val="20"/>
          <w:color w:val="auto"/>
        </w:rPr>
      </w:pPr>
      <w:r>
        <w:rPr>
          <w:rFonts w:ascii="Arial" w:cs="Arial" w:eastAsia="Arial" w:hAnsi="Arial"/>
          <w:sz w:val="16"/>
          <w:szCs w:val="16"/>
          <w:b w:val="1"/>
          <w:bCs w:val="1"/>
          <w:u w:val="single" w:color="auto"/>
          <w:color w:val="auto"/>
          <w:strike w:val="1"/>
        </w:rPr>
        <w:t>M=VUYMMQ&lt;%B4%+AACQQ5=.+:;1C%X^#AY?;XQTJE1)4.?IQ;+_8-W09TVV_&amp;C M\"U\?$OXY^A/C)^IFS[B])?%TI?T,7ZJ[?G?,_,_3M7_ $OV7:=K]?</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UNHCJZ M+6MN:)N)Y9ZQD&gt;^[G%@\^Y"F+#B]"&lt;:UPKG6G13B;K1]P:SH'WG^$9WN&gt;]PX MO,A.N&amp;N'TXRI3$^5.?&amp;IP#\*%]?</w:t>
      </w:r>
    </w:p>
    <w:p>
      <w:pPr>
        <w:spacing w:after="0"/>
        <w:rPr>
          <w:sz w:val="20"/>
          <w:szCs w:val="20"/>
          <w:color w:val="auto"/>
        </w:rPr>
      </w:pPr>
      <w:r>
        <w:rPr>
          <w:rFonts w:ascii="Arial" w:cs="Arial" w:eastAsia="Arial" w:hAnsi="Arial"/>
          <w:sz w:val="16"/>
          <w:szCs w:val="16"/>
          <w:b w:val="1"/>
          <w:bCs w:val="1"/>
          <w:u w:val="single" w:color="auto"/>
          <w:color w:val="auto"/>
          <w:strike w:val="1"/>
        </w:rPr>
        <w:t>A2_#3Z'6&gt;@J3^F.U[/LOK.KUE];PZ M+MS1-N_&gt;?X-D&gt;Y[[#C\^Y*N#%A].S6-?UC7UEUJ^&lt;[Y6L6' MS(1ICIB]",:UPQYUI3AS9R7#&gt;]#M MK*J2K:R1KGUU-</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=7U5175E2YU&gt;TJ*NJ=6_4ON:)(C6\\X:CY-3'1P4+=N%J$4 MH15%V);!_P!^-M]_T_H_[!KQ MRN]_Y2U[_+OYT=/LS^:=$_QE\S/9@7$7@'Y$/U0^9J M __5]_ -</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#XC\ ! MG_\ #W&lt;'^&gt;L?,&lt;5GOY[T+_)7_P!9&amp;?HX0[4\)V5OV4LD=Z_KRY.3XQ21:][W M1^VM-?\ ]+TY]#L6_P!1'X[U+_4L^O\ V]S]:1P,&gt;L\@ M</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M&amp;7FPC@WC;?&gt;#7]7]'_8-&gt;.5WO_*6O?Y=_.CI]F?S3HG^,OF9[,"/D[G /R'7 MB?J@U$@ #__6]_ !\0_GO0O\E&gt;^=&gt;0S],&lt;(= MJ&gt;/??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CM8OW;UFN\Y.NAI&amp;IQI&gt;UU3=PV-&gt;33#M1%/TDY7/RI6](UZ$FW37%"J MJ54[K3O474$UV[:3;66GZRV1N;([@T;*6X7HK4;-J,;MM\TXI1QI?1G2J?1Z</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M+XH_+N\MN9W0]7S4Y69/(7;DI6YI.C4FWA;^E'E3IIBX(P9UYO9[7!]0=IAX M5.03Y]0U+ND()JNL:EW2 576-2[I *KK&amp;I=T@%5UC4NZ0"JZQJ7=(!5=8U+N</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MD JNL:EW2 576-2[I *KK&amp;I=T@%5UC4NZ0"JZQJ7=(!5=8U+ND JNL:EW2 5 M76-2[I *KK&amp;I=T@%5UC4NZ0"JZQJ7=(!5=8U+ND JNL:EW2 576-2[I</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*KK&amp; MI=T@%5UC4NZ0"JZQJ7=(!5=8U+ND JNL:EW2 576-2[I *KK&amp;I=T@%5UC4NZ M0"JZQJ7=(!5=8U+ND JNL:EW2 576-2[I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*KK&amp;I=T@%5UC4NZ0"JZQJ7=(!5 M=8U+ND JNL:EW2 576-2[I *KK&amp;I=T@%5UC4NZ0"JZQJ7=(!5=8U+ND JNL: MEW2 576-2_B"4JD.272-?!</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[?!SF)P_+V\!7JI^'B.U;U7.UO)&amp;0,ZV7FRJA9 M&amp;#Q;C60JIU=SU],Y24US3;5#6T&lt;9!6TNI9ZLLIN1&gt;2Y6NM$IFGIVE(4XAYQD MC^8?$O;&gt;S^&gt;UG*</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M:K.Q*&amp;G9&gt;6)S::4I4&gt;&amp;,'^IT\(_,R5%1&gt;WIR08F+$LBZ+(I(!JGIU1M?2W14,U%175%0H_.6JBE4SHA*?K3(^$;FQK- MVQH6&gt;T-68NU?</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OPN.575."HDEU,U%[2+=[6LGK3O25RS9G;4&gt;%&amp;INK;?.J+WF M6HTQMS;Y.)BYN/JHJ9CJ"7BZYHV*V-DZ.GKZ"L8,TF;-51U3;M/4-&amp;:2^M6D</w:t>
      </w:r>
    </w:p>
    <w:p>
      <w:pPr>
        <w:spacing w:after="0"/>
        <w:rPr>
          <w:sz w:val="20"/>
          <w:szCs w:val="20"/>
          <w:color w:val="auto"/>
        </w:rPr>
      </w:pPr>
      <w:r>
        <w:rPr>
          <w:rFonts w:ascii="Arial" w:cs="Arial" w:eastAsia="Arial" w:hAnsi="Arial"/>
          <w:sz w:val="16"/>
          <w:szCs w:val="16"/>
          <w:b w:val="1"/>
          <w:bCs w:val="1"/>
          <w:u w:val="single" w:color="auto"/>
          <w:color w:val="auto"/>
          <w:strike w:val="1"/>
        </w:rPr>
        <w:t>MRX!&gt;UJO9MM0K:EZK MJ-NN'#?J%]HZ;%@6Y2-*69$1J*GI:!FG0:C+4^JDM5&amp;9GPF9C?QW=NB,5%;@ MSE%UW9O\;;9HI;4VU.4IRT+*U?\ [.*^9$?</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YEFTKZ.F(/D/!^]1/OANG^H,W M]I+RD&gt;Z&gt;V?8&gt;6]2(^99M*^CIB#Y#P?O4/?#=/]09O[27E'NGMGV'EO4B/F6;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M2OHZ8@^0\'[U#WPW3_4&amp;;^TEY1[I[9]AY;U(CYEFTKZ.F(/D/!^]0]\-T_U! MF_M)&gt;4&gt;Z&gt;V?8&gt;6]2(^99M*^CIB#Y#P?O4/?#=/\ 4&amp;;^TEY1[I[9]AY;U(CY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MEFTKZ.F(/D/!^]0]\-T_U!F_M)&gt;4&gt;Z&gt;V?8&gt;6]2(^99M*^CIB#Y#P?O4/?#=/ M]09O[27E'NGMGV'EO4B/F6;2OHZ8@^0\'[U#WPW3_4&amp;;^TEY1[I[9]AY;U(C</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MYEFTKZ.F(/D/!^]0]\-T_P!09O[27E'NGMGV'EO4B/F6;2OHZ8@^0\'[U#WP MW3_4&amp;;^TEY1[I[9]AY;U(CYEFTKZ.F(/D/!^]0]\-T_U!F_M)&gt;4&gt;Z&gt;V?8&gt;6]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M2(^99M*^CIB#Y#P?O4/?#=/]09O[27E'NGMGV'EO4B/F6;2OHZ8@^0\'[U#W MPW3_ %!F_M)&gt;4&gt;Z&gt;V?8&gt;6]2(^99M*^CIB#Y#P?O4/?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#=/]09O[27E'NGMGV' MEO4B/F6;2OHZ8@^0\'[U#WPW3_4&amp;;^TEY1[I[9]AY;U(CYEFTKZ.F(/D/!^] M0]\-T_U!F_M)&gt;4&gt;Z&gt;V?8&gt;6]2(^99M*^CIB#Y#P?O4/?</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 4&amp;;^TEY1[I[9 M]AY;U(CYEFTKZ.F(/D/!^]0]\-T_U!F_M)&gt;4&gt;Z&gt;V?8&gt;6]2(^99M*^CIB#Y#P M?O4/?</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#=/]09O[27E'NGMGV'EO4B/F6;2OHZ8@^0\'[U#WPW3_4&amp;;^TEY1[I[ M9]AY;U(CYEFTKZ.F(/D/!^]0]\-T_P!09O[27E'NGMGV'EO4B/F6;2OHZ8@^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M0\'[U#WPW3_4&amp;;^TEY1[I[9]AY;U(CYEFTKZ.F(/D/!^]0]\-T_U!F_M)&gt;4&gt; MZ&gt;V?8&gt;6]2(^99M*^CIB#Y#P?O4/?#=/]09O[27E'NGMGV'EO4B/F6;2OHZ8@</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M^0\'[U#WPW3_ %!F_M)&gt;4&gt;Z&gt;V?8&gt;6]2(^99M*^CIB#Y#P?O4/?#=/]09O[27</w:t>
      </w:r>
    </w:p>
    <w:p>
      <w:pPr>
        <w:spacing w:after="0"/>
        <w:rPr>
          <w:sz w:val="20"/>
          <w:szCs w:val="20"/>
          <w:color w:val="auto"/>
        </w:rPr>
      </w:pPr>
      <w:r>
        <w:rPr>
          <w:rFonts w:ascii="Arial" w:cs="Arial" w:eastAsia="Arial" w:hAnsi="Arial"/>
          <w:sz w:val="16"/>
          <w:szCs w:val="16"/>
          <w:b w:val="1"/>
          <w:bCs w:val="1"/>
          <w:u w:val="single" w:color="auto"/>
          <w:color w:val="auto"/>
          <w:strike w:val="1"/>
        </w:rPr>
        <w:t>ME'NGMGV'EO4B/F6;2OHZ8@^0\'[U#WPW3_4&amp;;^TEY1[I[9]AY;U(CYEFTKZ. MF(/D/!^]0]\-T_U!F_M)&gt;4&gt;Z&gt;V?8&gt;6]2(^99M*^CIB#Y#P?O4/?#=/\ 4&amp;;^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MTEY1[I[9]AY;U(CYEFTKZ.F(/D/!^]0]\-T_U!F_M)&gt;4&gt;Z&gt;V?8&gt;6]2(^99M* M^CIB#Y#P?O4/?#=/]09O[27E'NGMGV'EO4B/F6;2OHZ8@^0\'[U#WPW3_4&amp;;</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M^TEY1[I[9]AY;U(CYEFTKZ.F(/D/!^]0]\-T_P!09O[27E'NGMGV'EO4B/F6 M;2OHZ8@^0\'[U#WPW3_4&amp;;^TEY1[I[9]AY;U(CYEFTKZ.F(/D/!^]0]\-T_U</w:t>
      </w:r>
    </w:p>
    <w:p>
      <w:pPr>
        <w:spacing w:after="0"/>
        <w:rPr>
          <w:sz w:val="20"/>
          <w:szCs w:val="20"/>
          <w:color w:val="auto"/>
        </w:rPr>
      </w:pPr>
      <w:r>
        <w:rPr>
          <w:rFonts w:ascii="Arial" w:cs="Arial" w:eastAsia="Arial" w:hAnsi="Arial"/>
          <w:sz w:val="16"/>
          <w:szCs w:val="16"/>
          <w:b w:val="1"/>
          <w:bCs w:val="1"/>
          <w:u w:val="single" w:color="auto"/>
          <w:color w:val="auto"/>
          <w:strike w:val="1"/>
        </w:rPr>
        <w:t>M!F_M)&gt;4&gt;Z&gt;V?8&gt;6]2(^99M*^CIB#Y#P?O4/?#=/]09O[27E'NGMGV'EO4B/F M6;2OHZ8@^0\'[U#WPW3_ %!F_M)&gt;4&gt;Z&gt;V?8&gt;6]2(^99M*^CIB#Y#P?O4/?</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 M/]09O[27E'NGMGV'EO4B/F6;2OHZ8@^0\'[U#WPW3_4&amp;;^TEY1[I[9]AY;U( MCYEFTKZ.F(/D/!^]0]\-T_U!F_M)&gt;4&gt;Z&gt;V?8&gt;6]2(^99M*^CIB#Y#P?O4/?#</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 4&amp;;^TEY1[I[9]AY;U(CYEFTKZ.F(/D/!^]0]\-T_U!F_M)&gt;4&gt;Z&gt;V?8&gt;6 M]2(^99M*^CIB#Y#P?O4/?#=/]09O[27E'NGMGV'EO4B/F6;2OHZ8@^0\'[U#</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MWPW3_4&amp;;^TEY1[I[9]AY;U(CYEFTKZ.F(/D/!^]0][]T_P!09O[27E'NGMGV</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M'EOLX^0WB#VE;7[;K6Y*%V^X&gt;HI!DR4Q6_@]MBHJ:99$9$Y2O54:\ND=T,RZ M[9I49&amp;9:Z#%&gt;W3N7,0=N]K^&lt;=M\UWLTGX4FD_&amp;9+.V-NV)*=K0\JI]?</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=0;\3 M:;7B,@6VFV4-M--H:::0EMMMM"6VVVT))"&amp;T(21)0A"2(B(BT(B&amp;A=6W*3K) M])O$DDDE1(J 2 '__0]_ M (=;7T&lt;&gt;R;];4-T[12(0N#S25XO_(T?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OT3@EU"J MZRFK)L&amp;G7^@I;@/_ ,C1]W3^K1*@^DDI*RE!)T_H*6X?R*C]^@X45:@^#RK MD6OF,O\ ^AHO?PJDVZ(%,\LV^G3^@)CAU_\</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$T7O\3@EU$5764E9?MU/'037 M'IP,T/P@08)=0JNLIJS';B=/SOFSU[C%!TR(8)=0JNLI'FFV"+4XZ=^YX_X2 M(%!L576?/X;+8_2Z&gt;/\ XO'=,F)P2%5UE-</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6&lt;;627#&amp;S^NO$5/&amp;],H0C!+J%5 MUE(\[6HGCC;AX/ZVC?A42H2?0*KK/C\/-I_I9&lt;1_\6C.F5(';DNH576?!Y]M M%.NL7G^U=R&lt;6O]*Q??\</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[KA@EU"JZRB&gt;XBSB M_M5X^RTZ:Q%S\ M/"&gt;ZE MUH8D4SW36$7]I;N^XX;X&lt;$8&amp;*H^#W56"7'"7?]Q0OPZ)[N78,2*1[K\?IUUA</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M+QX#T_I*%^'@[J76OE(Q(I'NUQZ1Z&gt;@[R^X83X?#NI=:&amp;)'P&gt;[?'B=-8*\^' M7\HPGWP!W;ZQB115N^QTDM?0%Z'X*&amp;#Z;@#NWUC$BF&gt;\+')'IZ O;</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[A@OOA# MNY=@Q(^#WBXX+A^+][\&gt;G](01=W_ )P]X.ZEUKY1B13/&gt;5C9.NMOWQP=RA@&gt; M[I^N(@[J76OE&amp;)%(]Y^-"_S&gt;OG[@@/OC$JU-</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\J#$BD&gt;]7&amp;1?YNWWWB*/M_A_ MZ2AW,USH0YI'P&gt;]G&amp;!&lt;=NWYX/1]O??*([J76@KD7PX_(4SWNXN3KK;E_&lt;'[FOZYB$]S/L)Q(I'OBQ:7^;=__</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.#K&lt;[W=NGQ8R'_@VVOOJ$]Q,8T?);],2ZEU[:R(E&amp;NBE%&amp;6TLTEP\/5*ZBU+@\.@ M=Q(C&amp;N)D;C7,&gt;/LM4;]39#N^ M$ N!%$%(0^:</w:t>
      </w:r>
    </w:p>
    <w:p>
      <w:pPr>
        <w:spacing w:after="0"/>
        <w:rPr>
          <w:sz w:val="20"/>
          <w:szCs w:val="20"/>
          <w:color w:val="auto"/>
        </w:rPr>
      </w:pPr>
      <w:r>
        <w:rPr>
          <w:rFonts w:ascii="Arial" w:cs="Arial" w:eastAsia="Arial" w:hAnsi="Arial"/>
          <w:sz w:val="16"/>
          <w:szCs w:val="16"/>
          <w:b w:val="1"/>
          <w:bCs w:val="1"/>
          <w:u w:val="single" w:color="auto"/>
          <w:color w:val="auto"/>
          <w:strike w:val="1"/>
        </w:rPr>
        <w:t>((:^+GZ#$DD%S[+O'TZ "B (KO$KP]/* ( M3O+]J?2 (2^+GZ# %$^(_ ?B $1SDY^@ 0%\7/T&amp; **O)/F\9"*)M/I1!&amp;7Q M&lt;_08GPDD%S[+P]( B*X^_H#+1(SG)S]</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%2$Y]EX&gt;D 0E^4?-XB %%SDY^@ 0 M%\7/T&amp; (JO*/V&lt;@ HKXN3C]T 07/LO#T@"(OCYNDQD@JIL@AJX.+3B,_:T"? M1P"(SA/I,N[WQC)</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(2_LO!T#+"C7)$$8RYA$^C@.9"7PI+N=;A+P:^X*$D M59&gt;5X#^J0RQ2:JTB"$OCYO=$X5U C*+1)GKJ&gt;NO$7&amp;6I\_"*02=6#EN.[[E\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M:7K!WG#.NIJ(&gt;O:=JJ9#BFVY.,4XE,C%5.AD2Z:OI#4@]=&gt;J9DHM%)296FE* M+3"JFFCT'T=4Q74M+6TRNO3UE.S5,+ZIIZS-0VAUI6A\)=9"RX!X'P;1F)(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 /_2]_ M ,=I7]$Y#\VU7\W6,UOD_"8WS9LJ_)/F\9"Y!$7Q\W28 B+^R\/2!*YD5S MDY^@4GZ++E%?D^UXR&amp;.'I(I],AN7[;W0!%'I % 1G.)7AZ0!"=Y?M?=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%S]!@"B?$?@ M/Q "(YR&lt;_0 ("^+GZ# %!?DGS&gt;,@!&amp;7Q&lt;_08 @N&lt;2O#T@"*KCY@9:/(C.4?LY "**^+GZ# $%SB5X M&gt;D 15\?-[HRPY&gt;,AD)7_ 5= BYT!$9?</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#UO#]37VN$8R5Q(:_LO!R,AD4^3GY2Y.YIKJ(N= 1"5Y/XH_&amp;8QDD9?+WRX"[O!_N&amp;,T/11!!7Y7-[/;</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M\0L01W/(/VN#XNV5;"*1%54,T=7*RR_7RLS+R%2VRPRT@] M#4;CBFV4..(F,7)T2X@L+@;?CBC.N27&lt;-NV/F["65G;3*_+?L#&lt;'C.MQG&lt;%Y</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MV4EQ#%3KY6BEJ*B?&lt;0G3Z[4K2MX4WCB_&amp;#.;7I]G#H,8-?9[ M# #7V=X 8[2OZ)R'YMJOYNL9K?)^$QOFS95^2?-XR%R"(OCYNDP!$7]EX&gt;D"</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M5S(KG)S] I/T67**_)]KQD,'I $57'S RT&gt;1 M&amp;P[\L2#*\Y_,$K9?31LT9D;B&amp;ST4ZMMK MM$=HE96CP3Z^+*J/$X9:V:\T6EF&gt;RL/;@+&gt;QPRO*,-.2%A7?</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C*HN1J%5+VW2 M^D)&gt;VI&gt;ENQQVI76-T1I4AYI:$*6\PE*%&amp;\9-)JM7T(EI&lt;7$R\4?UO!W3/4OQ M1ERC&amp;5,.KOS+F"Y\Q7;A[ D!CURJQK!0TM?UU9.?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N)4*F2N:C;D(.W(:EM5U MJK*LJ(\S6M]Y1MD:74]1)LEVN6+I!$TI%UZ3FFWS,M7F6T9JMG8%JUKVLB[Y MW']^6XQ5'54\=&lt;]O.,E5.4+CO5J%1U4W4)-</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'7(S0ZEQHE+[(UJMTI$2C3I+Y MN&gt;0?LY#&amp;.WTD,AN&lt;2O#TC(0&gt;B6P_\A[,_P!%+=_Y(HQKY&gt;D_"9ER1RL02 M '_U/?P</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"Q^=K8.L^&amp;NUO&gt;5ZP.U]Q&amp;%:5Z2P+LBQGF:R7LR-,$BW\L9DR#!KAJZRK%J' MJ?KW- 61&amp;J*J?</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D6&gt;VI"JCT1UFJFF=J,J7=VU"2\Z7&amp;GE!C_@2WXRM_[O7?-1 M7M*KZJX&lt;&amp;[E[VFJNKZCM5(W,SD;)$JQ*5;I(2NHJV*N)IC2M?67HR@C4&gt;@F7 M_P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1'KJ@7DW*[=\/YU]5=;V;,JVG479DK'7J_8F[+,GJBZ[TCZ6'N.BPG271 M2S"[?A[BC[;EJ]F=/MR&lt;'8WW;X=P_ 8\W*7,YC_'E_P"$[^NR[/B7DM^C M*L@;)O\</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I[OM:VG)%^XUF=.Q61[+3!.H4HB6A*M*X(RC)PDZKG7\@.S[V=(Q M Z9Y+UDN5**1KZ-NQ,?</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+;I*ZJIFU+1F.K!O*O8IZ6ONVRK6N:MI:,G"I*:KGH.@E:FGI2&gt;6Z]YNR]5*2C MKJ4KJD6IF?"*/@VB2U,A&lt;@B+X^;I, M1%_9&gt;'I ED 0E^4?-XB</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%%SDY^@ 0%\7/T&amp; (JO*/V&lt;@!% M%?%S]!@""YQ*\/2 (J^/F]T988H**5B96AJXV4BY.E8K MHZ2CJYE5+6T$A153;M-64593.J;=:</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&lt;0I#C:C2HC(S()NC3!UX[R;@ONU,8SV M+;6Q BU,%U&lt;5"P%P9&lt;@*B&amp;KXNR+2JGF4S3$;BJWSH)UEF/9+L.T_&amp;Z1"%F:2 M/4M(CQ=:\2\:5JV;=NAC+</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(CL$[$.\U2Q%6S2,LN4M ZT2EN--I M)UTEZKF3?G)6(L)1.0+YNB1H M6[IIH:3M6Q9&gt;7I8^*EUT,Y/S\E3H&gt;N'T4\2*5I@S&gt;JB*L4;1=4ED,B58I)A&lt; M&gt;;,?</w:t>
      </w:r>
    </w:p>
    <w:p>
      <w:pPr>
        <w:spacing w:after="0"/>
        <w:rPr>
          <w:sz w:val="20"/>
          <w:szCs w:val="20"/>
          <w:color w:val="auto"/>
        </w:rPr>
      </w:pPr>
      <w:r>
        <w:rPr>
          <w:rFonts w:ascii="Arial" w:cs="Arial" w:eastAsia="Arial" w:hAnsi="Arial"/>
          <w:sz w:val="16"/>
          <w:szCs w:val="16"/>
          <w:b w:val="1"/>
          <w:bCs w:val="1"/>
          <w:u w:val="single" w:color="auto"/>
          <w:color w:val="auto"/>
          <w:strike w:val="1"/>
        </w:rPr>
        <w:t>=D#L2[9V2:BJD:E_*,QE6Z+HS%#5\/405;:UZ3SR5NP14%4:G%4%.BE4 M;3Q'U7'3&gt;(M.J9%=\TR9.M#--SR#]G(8QV^DJR&amp;YQ*\/2,A!Z);#_P A[,_T M4MW_</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)(HQKY&gt;D_"9ER1RL02 '__5 M]_ , /6661N,RAM@EL7[:K5K;MN3(=W6S;&amp;0H^+OBV&lt;=S*,.NG( M25^LQ-TW564L;0U=Q,1C$*O1%2YYM*.J[!Q"7-</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+VW&amp;,E*7) @;9[PW(P-9C_ M G+&gt;KIA=MV!8:)D8,K@A]R6)[ZB++BX^"E:Z-IT6/;+EW3T-/XF]'.WO+7U&amp;4TE(TA^;N'0O.U:&gt;JZ;;77MD(Z@77U2,&gt;5-</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HVO0U4G M(/1T52*?[-E#CSJV6$:]8S2DN#%&amp;7GJ4NNOY06EN;"VZ*FV+;&gt;;#PA=]/B[&lt; M;A6Q]OU?40,I+L?%B[I7&amp;UH0T3&gt;N(KOFX3TS1NV_&lt;)-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U+!OTQOTSM4PP?:I9 M4I],IPWI[XE]7T5Z'KB+T9Z+^-JO/O..W_ )-YPSU- M/Y&amp;K495/@W0@[C;!M?XCV+9=E&gt;?&gt;E/BA:=N6OZ2\V\R]</w:t>
      </w:r>
    </w:p>
    <w:p>
      <w:pPr>
        <w:spacing w:after="0"/>
        <w:rPr>
          <w:sz w:val="20"/>
          <w:szCs w:val="20"/>
          <w:color w:val="auto"/>
        </w:rPr>
      </w:pPr>
      <w:r>
        <w:rPr>
          <w:rFonts w:ascii="Arial" w:cs="Arial" w:eastAsia="Arial" w:hAnsi="Arial"/>
          <w:sz w:val="16"/>
          <w:szCs w:val="16"/>
          <w:b w:val="1"/>
          <w:bCs w:val="1"/>
          <w:u w:val="single" w:color="auto"/>
          <w:color w:val="auto"/>
          <w:strike w:val="1"/>
        </w:rPr>
        <w:t>(_%^'HXGS[S/SBK\ MT\[\T[3LNU=[/K=7KJTU/&amp;^+;)+12OZ)R'YMJOYNL9;?)^$QOFS95^2?-XR% MR"(OCYNDP!$7]EX&gt;D"5S(KG)S] I/T67**_)]KQD,'I</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$57'S RT&gt;1&amp; M?KGP)&lt;&amp;"+IV\9AD,Y.Z3MR@=Q?*.2=&amp;];M=&gt;E5?[,@Q!4Y/Q[SE4I M+:3;\[,NH?9'UT1144^5#(DJUJ;OE'!^0,&gt;VQM#NFQX&amp;IR7*</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[84(C;GM&gt;*J&amp; M&amp;96XHB8MZ#B;AD;&gt;:J^S14U5#40QJI:?4W32\G0E$E1B8U=6^"_Y:A-.O$HW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strike w:val="1"/>
        </w:rPr>
        <w:t>M;77QN@RK@9N&amp;Q!E#'%BXFR!0Y.NNZ\K6VBS*M^O@2;J8FWX&amp;'?K*JME$5M2S MV;[K&gt;J$FX1G]:CK*25%)UYT(X)-5,IZ3(EPU&gt;9)G&amp;#V-</w:t>
      </w:r>
    </w:p>
    <w:p>
      <w:pPr>
        <w:sectPr>
          <w:pgSz w:w="11900" w:h="16920" w:orient="portrait"/>
          <w:cols w:equalWidth="0" w:num="1">
            <w:col w:w="11460"/>
          </w:cols>
          <w:pgMar w:left="220" w:top="118" w:right="219" w:bottom="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u w:val="single" w:color="auto"/>
          <w:color w:val="auto"/>
          <w:strike w:val="1"/>
        </w:rPr>
        <w:t>[FH[:C+-9NBERF\U M6E: M:\,Y*R;'9"L'*N8,;W+-*N/%MQ8SMBCNRKMR/K2==J+,EXF/YLY9DOJVJJQZ[--UP=?#V9(N ML.3$/;EK44G1153--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strike w:val="1"/>
        </w:rPr>
        <w:t>TZC;HY221**-UD]%H4UJHBZQ"Q$J7[ M;W0!%'I % 1G.)7AZ0!" M=Y?M?= $)?%S]!@"B?$?@/Q "(YR&lt;_0 ("^+GZ# %!?DGS&gt;,@!&amp;7Q&lt;_08 @N</w:t>
      </w:r>
    </w:p>
    <w:p>
      <w:pPr>
        <w:spacing w:after="0"/>
        <w:rPr>
          <w:sz w:val="20"/>
          <w:szCs w:val="20"/>
          <w:color w:val="auto"/>
        </w:rPr>
      </w:pPr>
      <w:r>
        <w:rPr>
          <w:rFonts w:ascii="Arial" w:cs="Arial" w:eastAsia="Arial" w:hAnsi="Arial"/>
          <w:sz w:val="16"/>
          <w:szCs w:val="16"/>
          <w:b w:val="1"/>
          <w:bCs w:val="1"/>
          <w:u w:val="single" w:color="auto"/>
          <w:color w:val="auto"/>
          <w:strike w:val="1"/>
        </w:rPr>
        <w:t>M&lt;2O#T@"*KCY@9:/(C.4?LY "**^+GZ# $%SB5X&gt;D 15\?-[HRPY&gt;,AD%70KQI$7.@$=PN ^\9^,8R M2&amp;O[+P&lt;'&gt;^MY.X,R\Z/$CDR(HM=.'NGP\/@[W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(GT A++5/'P=;33P:E[? M!QC$21U_9%Q\!Z]SA+7Q\/A&amp;:'HH@@KXR]OV^,6(([GD'[.0QCM])+(;G$KP M](R$'HEL/_(&gt;S/\ 12W?^2*,:^7I/PF9D"5S(KG)S]</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I/T67**_)]KQD,'I M $57'S RT&gt;1&amp;# MH&amp;6'+QD,BF(N= 1"5Y/XH_&amp;8QDD9?V7@Z!FAZ*((*^/FZ3%B"@OA3IW3T^H8</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MQV^DED%P^!7!]EQ\G&amp;7#W?:U&amp;0@]%MG4SU%:-K4=0DT5%);D'3/H,C+JO,1E M*TXGA(C^M6@RX2(QKY&gt;D_"9ER1R002 M '_]#W\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##R\_W[.%OW'LC?V?3"R]&amp;0,PQ4%M[ MMM&gt;HJGU2D$DN#*R52V#T M?7MZI!CCUC"^HC.1LCP?T!6\OY5?[WY&amp;&amp;./6,+ZB N, MDC(OSOK&gt;/^I7^X?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Y&amp;)JNL4?44_1GYTR1\?%0U1]S\B%DT^0H^H@KA)G0OSHD^/\ J"J[A_D0 M$4?44%0DSU3_ #HD^3\H57=+\B$-T\!-'U$9&lt;'-:$7H&gt;4_P?5\G_ )GO@I1?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M!,87U$-R"G-%'Z&amp;E&gt;/\ 2^K[O\I$U0H^HB*@9S7]!I4_!'5G\Y$53Z255+D4 M'("=X/SEEN7^UU9WOR$211D)NOH":TT_2NN_G RP:2YD-/J(2K9N/\ 6_-\1E^A</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M-?REK_Y#O")T:YD4?41UVSG.+]*: M_N?F&lt;98-)1[GYF&amp;6+6'F*/J(2[4NC7_ ";G^+])I'O_ M -;BV*/6B*/J#-EWE5K2S2VE&lt;01MI;</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(E]JBMRZJ4CS"BSMA'E,H M !__T??P ,/+S_?LX6_&lt;&gt;R-_9],+ M+T9 S#%0:: #4 M &amp;FG-X/J@#4 M !__2]_ P\O/]^SA;]Q[(W]GTPLO1D#,,5!L M,U&lt;-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#!MD=0:G:AQ*E,TK6AN+).I==1F9):;-1:=8^/0]"/0R*8JKH0W15. N MY(K.M^-1E*E/(2WW7#+O&amp;I*6B,^8AD[OM*XNPB*R=(D6OHVB_P#2/_QP=WVC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M%V%!64Y).OYV4)Z?DE1W=/\ PA5PXI5+E)65Y,B,_15#P:?^-J.[]L*I5:15 MNE.!'7EV43_:F@/@U_DM1_'#)W?:1B[".K,DJD]/0\&gt;?_GJGW0[OM&amp;+L(RLU</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M2Y::0T=PZ\;M3R?BB$.W3I&amp;/L*'X;YC])8W_ --5?QPGN^T8NPHKSG,I_M)&amp; M'PZ?R:J_CP[OM&amp;+L(ZL]32?[119\.G\GJR_X0=WVC%V%)6?</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ILB,R@8K7OOU? M=^V(.[[1B[",O&lt;).IU_.")/33_QU9RZ?[\.[[1B[".K&lt;5/)U_4]$'I^3UGZRY2_P UH/[IK_X\1W?:63J4 M5[L+F3KI:L%Q:_TS(?</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SP3W?:5Q=A%7NWNA/^:D"?!K_3,A_/ [OM&amp;+L*"MWE MTD1G\4H#[ID?YX'=]HQ=A07O"NI.OZD;?/33\M2)&lt;&gt;GY('=]HQ=A'/&gt;1=9&amp;9 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$^WONN2_G@=WVC%V%)&gt;\RZT_P"9UO'P:_TW)?SP.[[1B[",O&gt;G=J&gt;*S;!W?:,784%;V;N3_F7;GW9)_SP7=BBKB_$,?81W-[UWH_S*ML_P#C MDIW_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,D[PIW?:,781U;Y;Q3K^HBVCTT_+DIWOR3OBT;-&gt;.(8^PHJWTWD1&amp;96 M/;/W9*_SP1*TDVJC'V$=&gt;^^\TZ_J&amp;MC@T_+LKWOR4%:JZ8AC[",O?M&gt;J=?</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U" M6N&gt;FGY=EN73\E%_N_P"G^(8^PHJW]WL1?Y!VM]VRW\]$=RL356,?81E^L!O= M.OZ@K5X]/Z&gt;E_P"&gt;BWW=?28Q]AK2^L)NUNH2JNQS;M33$?</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XXS23$G1/KX2UZ ME0]3R"&amp;S,BY6E"LK"2;Q#'V&amp;,9K?HF.3XG'5\G/T"Y! 7Q&lt;_08 AN?9&gt;$_&amp;*/THF0BJ\A7-XQ MCAZ2*SZ"$[R_:^Z,Y4@+X^;I, 05\G.</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(ER\:^&lt;@A"22*[R_;&gt;Z -O=Y?MO= M$=?DGS&gt;,@!!=^RYN@ 0'.-7@Z !&amp;/R5&gt; Q#YQ\/Y&amp;007&gt;7[7W1))MZ_*/F\1 M ",YQJ\'0 (#O+]K[H</w:t>
      </w:r>
    </w:p>
    <w:p>
      <w:pPr>
        <w:spacing w:after="0"/>
        <w:rPr>
          <w:sz w:val="20"/>
          <w:szCs w:val="20"/>
          <w:color w:val="auto"/>
        </w:rPr>
      </w:pPr>
      <w:r>
        <w:rPr>
          <w:rFonts w:ascii="Arial" w:cs="Arial" w:eastAsia="Arial" w:hAnsi="Arial"/>
          <w:sz w:val="16"/>
          <w:szCs w:val="16"/>
          <w:b w:val="1"/>
          <w:bCs w:val="1"/>
          <w:u w:val="single" w:color="auto"/>
          <w:color w:val="auto"/>
          <w:strike w:val="1"/>
        </w:rPr>
        <w:t>A*X^8&amp;6CR(CO+]K[H%3;W&gt;7[7W0!#7Y)\WC( 07?L MN;H $%?E'S&gt;(@!'=Y?M?= &amp;WN\OVON@"$YQ\W28S3]%D$)_DYND822"Y]ES= M RPY&gt;,AD1?$?-</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XR%)^DP07?LN;H"'I($!W[+FZ!F((B^+GZ!1&gt;FR&gt;@@.\OVW MNBY!!7P]8NZ9^,5GZ+)+Y[9+QK[,SG8%32/.(IY^&gt;H[1E&amp;$J(FZN@N:J9BR; M?</w:t>
      </w:r>
    </w:p>
    <w:p>
      <w:pPr>
        <w:spacing w:after="0"/>
        <w:rPr>
          <w:sz w:val="20"/>
          <w:szCs w:val="20"/>
          <w:color w:val="auto"/>
        </w:rPr>
      </w:pPr>
      <w:r>
        <w:rPr>
          <w:rFonts w:ascii="Arial" w:cs="Arial" w:eastAsia="Arial" w:hAnsi="Arial"/>
          <w:sz w:val="16"/>
          <w:szCs w:val="16"/>
          <w:b w:val="1"/>
          <w:bCs w:val="1"/>
          <w:u w:val="single" w:color="auto"/>
          <w:color w:val="auto"/>
          <w:strike w:val="1"/>
        </w:rPr>
        <w:t>(S(C;I:Y]FI+BT&lt;92?#H*W%BMM]-!!*+X([[/9[#'B,P M ?__4]_ P\O/ M]^SA;]Q[(W]GTPLO1D#,,5!CK+?HE(G_ %Y5?S9SW1FM\GX3&amp;^;-D[R_;&gt;Z (Z_)/F\9</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""[]ES= @.&lt;:O!T ",? MDJ\!B'SCX?R,@@N\OVONB23;U^4?-XB $9SC5X.@ 0'&gt;7[7W0!"5Q\P,M'D1 M'&gt;7[7W0*FWN\OVON@"&amp;OR3YO&amp;0</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@N_93N\0I/TF"" MX?"?!W.7FT[YZD$/20(+OV7-T#,00W#TTX^/AX. N ^7N\ KP4N?$D@.'KK] MM[OM"Q!#5QGX3\8K/T62&lt;]P_PY@Q3^Z58_\</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K1%")*MMKL"YH]$/L]G(/"9@ M __]7W\ Q MRW4;E[,VGXAD\L7E%3]RJ],P5HVA95J4S-7=%]WU==&gt;F,MJTX%FI&gt;8IO.Z^I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M4IUQ:U_C5*PZXE#BT):7:$7.2B@6$POO&gt;O*YL\0FVW&lt;9MKN?;'E2^['D\A8M MI:W(=GY5MN^H* 22[DC4W'9[5(S"W;",DX\</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['N-.D5.PM9O)ZS"7K2@E'%&amp;5 M4"T5S&gt;M&amp;J(N,OS,5L[8[^O79]BW(]7C:^MR,7&gt;UHTU8U50LW0VUMH6_(W?$1,UD5%/%NU\-%V?0OK?</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DYFIN&amp;H)NG8524M3HITE=4R(QCC M"4I)4Z07,PUD/\+F(,596]#_ !?_ FXVL;(7H'S_P!*^A/CI:\7DO1OI+L?./-J?MNIU^S;UZA1)87)=0,2K"W_6/DO?</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EDG8_9]KN2M5BO&amp;E; M&gt;5UY.:N)E4:U=D5+VQ&amp;S5A4EN(AUJJ'(9%V4R:BN]()[.M:J*8ZR-Q,8X&gt;DBL^@A.\OV MONC.5("^/FZ3</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$%?)SB)7[;W0!'7Y)\WC( 07? MLN;H $!SC5X.@ 1C\E7@,0^ORCYO$0 C.&lt;:O!T " [ MR_:^Z (2N/F!EH\B([R_:^Z!4V]WE^U]T 0U^2?-XR $%W[+FZ</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!!7Y1\WB( M 1W&gt;7[7W0!M[O+]K[H A.;2M"G&amp;65)2M)F2BPI8FE4LN?$Q9 MG+UW*[?9K"=QY;R;!Y*L_*=\6[CJ\[&lt;;L2"M=^P[@NVD&gt;J:%^W):WS\^G*&amp;*</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M=HZ@G55+:E.MTYD2"4\DVLT.,5PZ"WFRJJ&lt;2Z&amp;XW*%_0UY8=PIBF1C("^,RR M]P=I=\G&amp;,3:+/MBT(YF7FY&amp;DA*PT4,C)5-</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(ISL$OF;1E3K29$I:7$4:3K/FB ML4N-3C6+\@Y4M3/\]MYRY=L;D5RKQW2Y,L&gt;_*6VHZTY.JCBF5P4C"S4-!&amp;N) M0ZBJ8&gt;6RXA+?UE,HU*4;K:&amp;[)1X-</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(AT:JN1ET[]ES=WO:\6ABQ!UX6,C-I:7"&gt;5UF M34;AJ,T(A-.G70EK#14,T+4C+BAK;B(N[+G^.EQT5*EF7NGT)0V[Z;JB6ZHZ</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MWT)&amp;..Q\;UD*279M*4C@U+E$D/C2G WA7&amp;?A/QBL_18.&gt;X&gt;_9@Q3^Z58_P#K M1%!^9X@N:/1"/ 9@ _ M_];W\ M1E^RL077;-#-9JB+7D+3Q7&lt;$?</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E^DE+O&lt;:IH6S)^PF*V0 MC[XV^=N&amp;EJH&gt;Y_!7GDF+B7C;J(_&amp;=#&amp;,'21[SY-/5-2A"TZ+</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M35,4F5TMP[M^DW5@Q^V[TL4O_N\=T=FFF&gt;0_MXW.5U6HWNW)5T6=;\W=ULUK. J64;J(&amp;X92.J9F%J&amp;)36H0JF=;4A_Z\OKN$53:O43X</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M8_R@YY.;EV=J7JL&lt;$Y/I#CW;XKMN&amp;WVPL3QV,XXMR!65 M&amp;P"=AKVR1%9!M.91DS&lt;5D+5V3LBZY0T"W'9 Z F&amp;D)4A</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MM(R7,4K'ZTQE45AIUD'&gt;5BZXZ^\,:8[NV6 M*G3*W38MI7')II&amp;E,TB9";@(^3K"IF5N/+:IRJ*I1(2:UFE)$6IZ:C&amp;^#:)+</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M82WZ(R/YLJOYLX,MOD_"8WS9LCG)S] N00%\7/T&amp; (;GV7A/QBC]*)D(JO(5 MS&gt;,8X&gt;DBL^@A.\OVONC.5("^/FZ3 $%?)SB)7[ M;W0!'7Y)\WC( 07?</w:t>
      </w:r>
    </w:p>
    <w:p>
      <w:pPr>
        <w:spacing w:after="0"/>
        <w:rPr>
          <w:sz w:val="20"/>
          <w:szCs w:val="20"/>
          <w:color w:val="auto"/>
        </w:rPr>
      </w:pPr>
      <w:r>
        <w:rPr>
          <w:rFonts w:ascii="Arial" w:cs="Arial" w:eastAsia="Arial" w:hAnsi="Arial"/>
          <w:sz w:val="16"/>
          <w:szCs w:val="16"/>
          <w:b w:val="1"/>
          <w:bCs w:val="1"/>
          <w:u w:val="single" w:color="auto"/>
          <w:color w:val="auto"/>
          <w:strike w:val="1"/>
        </w:rPr>
        <w:t>LN;H $!SC5X.@ 1C\E7@,0^ORC MYO$0 C.&lt;:O!T " [R_:^Z (2N/F!EH\B([R_:^Z!4V]WE^U]T 0U^2?-XR $ M%W[+FZ !!7Y1\WB( 1W&gt;7[7W0!M[O+]K[H</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A.Z/05(+O@[G)J?"?%Q M^S48*TXEN9U?[E:W)\#E#&amp;-];@(VV:C;C8N66I&gt;W',95LB_*T,X[(5-/8%P9</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M2H[E98[1N+H^JJH1%DNG)YQU!.+)UM)Y(ND4Z\&gt;)DCQJH\SL0N,YWT#.':Z( MA=S%$2)VZB?1V#._9G=UT\!B2O Z M\[7VHYCMFQK@IJ3</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M2VM3KS;5*RE*4I=).JJKA*E.2\ADE)555P+Y[90CY M\J5@Z:GX&gt;_9@Q3^Z58_\ K1%!^9X@N:/1"/ 9@ M _]?W\ P4]8CMYS+NEV\GAK#%P6!!5D]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M?]F2=_4^2I"[(RV;GQW;=35STE:-14V5&amp;24_I.W%01:*A#1TW:4*:A/;H4:4 MJO;DHRJT#[PA&amp;^L-A[SL^(S'0;&amp;(K"4515D=+QF$*;-]%&gt;4='T-N2%-:M!9]</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M%=+35I4=%23;5 V\TZE*&amp;XU+J62)PFR"7=TDTY8NT&amp;'%3ZNK&lt;_"8IR)LLQ[F M+#T/LHR+?DW/HF)6W[SJ=PMBX]O"YV+ONO%5LTM-</w:t>
      </w:r>
    </w:p>
    <w:p>
      <w:pPr>
        <w:spacing w:after="0"/>
        <w:rPr>
          <w:sz w:val="20"/>
          <w:szCs w:val="20"/>
          <w:color w:val="auto"/>
        </w:rPr>
      </w:pPr>
      <w:r>
        <w:rPr>
          <w:rFonts w:ascii="Arial" w:cs="Arial" w:eastAsia="Arial" w:hAnsi="Arial"/>
          <w:sz w:val="16"/>
          <w:szCs w:val="16"/>
          <w:b w:val="1"/>
          <w:bCs w:val="1"/>
          <w:u w:val="single" w:color="auto"/>
          <w:color w:val="auto"/>
          <w:strike w:val="1"/>
        </w:rPr>
        <w:t>4(QS74#D@3].Q)U+B'U, MUK[BV"4I"&amp;[]Y%R4Y1&gt;-+Q [(,]X.I* MG?,C0V:UH!R&gt;*4DZ58,8Z'U&gt;&gt;.X/??:&gt;Y2U\5[?;;Q':FWTK)C[)A;"@XF;H MQ;-%7PL)3-</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4]-+HK$RS+Q=5M*&amp;T$M5N\;@XMMNOX@=E M6GLT]G*,8.NJL]6UBNLJZJL7?&gt;0$.5=2]5+2A=N=1*WW5.J2GK09GU2-6A:Z MF+8W2@,\K-</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MFDLJT+5LZ@J*BJH;3MN#MFBJ:OLO.JFD@8REBZ9^I[%MIGSAU MFE)2^HE*&gt;L9Z$1:$*@LS+?HC(_FRJ_FS@S6^3\)C?-FR.$_&amp;*/THF0BJ\A7-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XQCAZ2*SZ"$[R_:^Z,Y4@+X^;I, 05\G.(ER\:^&lt; M@A"22*[R_;&gt;Z -O=Y?MO= $=?DGS&gt;,@!!=^RYN@ 0'.-7@Z !&amp;/R5&gt; Q#YQ\ M/Y&amp;007&gt;7[7W1))MZ_*/F\1</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",YQJ\'0 (#O+]K[H A*X^8&amp;6CR(CO+]K[H%3 M;W&gt;7[7W0!#7Y)\WC( 07?LN;H $%?E'S&gt;(@!'=Y?M?= &amp;WN\OVON@"$YQ\W2 M8SMT52#'/P_9/QA</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M@9G)%VJR/!WDY/1\'4(J7(VSX:#0JOCU2%0@G$*KC_&amp;_K4J7]::EY8I4X.K+ M&gt;:JNI=/-UF9KC4_72]ST;\9+S4S+0:2A6:</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(XRK6AMI"NNE1(U(R)2CM%Q2HGQ) M=%&amp;B+V6A*Y7F+PRM$W_9\3 6+&amp;UT32XRGHR38=DKLB:Q$J4W4R;-'/5]9&amp;5% M#V5(3?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78HE'VJC2D^KJBS(EAX4,4;$_&amp;*/THF0BJ\A7-XQCAZ2*SZ"$[R_:^Z M,Y4@+X^;I, 05\G.(ER\:^&lt;@A"22*[R_;&gt;Z -O=Y?MO= $=?DGS&gt;,@!!=^RY MN@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0'.-7@Z !&amp;/R5&gt; Q#YQ\/Y&amp;007&gt;7[7W1))MZ_*/F\1 ",YQJ\'0 (#O+] MK[H A*X^8&amp;6CR(CO+]K[H%3;W&gt;7[7W0!#7Y)\WC( 07?LN;H $%?E'S&gt;(@!' M=Y?M?=</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&amp;WN\OVON@"$YQ\W28S3]%D$)_DYND822 []ES=WN\O"6IZ&amp;,L$J5I MQ((CA:DKAX]-&gt;_III[/:T%)^DP07"X3Y.+HTX]&gt;+4(&gt;D@0G?LN#N=WONG-</w:t>
      </w:r>
    </w:p>
    <w:p>
      <w:pPr>
        <w:spacing w:after="0"/>
        <w:rPr>
          <w:sz w:val="20"/>
          <w:szCs w:val="20"/>
          <w:color w:val="auto"/>
        </w:rPr>
      </w:pPr>
      <w:r>
        <w:rPr>
          <w:rFonts w:ascii="Arial" w:cs="Arial" w:eastAsia="Arial" w:hAnsi="Arial"/>
          <w:sz w:val="16"/>
          <w:szCs w:val="16"/>
          <w:b w:val="1"/>
          <w:bCs w:val="1"/>
          <w:u w:val="single" w:color="auto"/>
          <w:color w:val="auto"/>
          <w:strike w:val="1"/>
        </w:rPr>
        <w:t>T\O=U%5PE) @N%IK]MW?"+$$)7&amp;?A/QBL_19)SW#_[,&amp;*?W2K' M_P!:(H/S/$%S1Z(1X#, M '_T??P #'J=90KF\8Q MP])%9]!"=Y?M?=&amp;-?.00A))%=Y?</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MO= &amp;WN\OVWN@" M.OR3YO&amp;0 @N_9(@ M!&amp;#H $!WE^U]T 0E7[7W0!"7[;W M1&lt;@@KX.MX&gt;GN\A"L_19)=3 &lt;-73^;\5T$&gt;RIYYJ^;?</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EWDH)1FF@@))B$_:'A,IJ M __2]_ .'W-: MR)HO.J9:6)!#9-ZK(^RJ4)UZB'C3JI*T:\"]#X. RTT,K1EA?80U4ML]9-RD MK1-</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ATBUT4BLHB2KP=J^VOVR(9.\74RN'M(2[%NDRX(OE_JV.]^".\74,/:1 M5V%=IZZ1/+_5\;W?S8*N?%.A-KU,^"%X-/TQB??X=XNIC#VD1&gt;,;X/32</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M$UX_[91!?_O 1C3X##VD;\%M]_I%_C.'^$!;'$861W,57Z?% Z_7:_HI"EXY M$1WBZF,/:0UXDR"KBM_EU_16$[_]T@[R(PLHJQ%D,R,BM_\</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QM!]W^^08XC" MR*O#V1E:Z6[QZ?VW@N]_=0.\0P]I#7AG)1];2V]=?[L0/@Y903CCUC"R@&gt;%L MF:'I;6NI:?HS ?"HASCPXD8617,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strike w:val="1"/>
        </w:rPr>
        <w:t>(Y//BMG7@T_1JWN_W983CCUDX60U8,RF9 MZE:_!_?NW&gt;Y_?&lt;,&lt;1A917@G*I];2UM=2_3NW.YI^G CO$,/:0W,"98/72U-? MK=/T=MOIF.^)QQZR,+(JL</w:t>
      </w:r>
    </w:p>
    <w:p>
      <w:pPr>
        <w:spacing w:after="0" w:line="231" w:lineRule="auto"/>
        <w:rPr>
          <w:sz w:val="20"/>
          <w:szCs w:val="20"/>
          <w:color w:val="auto"/>
        </w:rPr>
      </w:pPr>
      <w:r>
        <w:rPr>
          <w:rFonts w:ascii="Arial" w:cs="Arial" w:eastAsia="Arial" w:hAnsi="Arial"/>
          <w:sz w:val="17"/>
          <w:szCs w:val="17"/>
          <w:b w:val="1"/>
          <w:bCs w:val="1"/>
          <w:u w:val="single" w:color="auto"/>
          <w:color w:val="auto"/>
          <w:strike w:val="1"/>
        </w:rPr>
        <w:t>9;,^"T]&gt;#]/K9^&amp;1&amp;./662:1'7M]R\K72TN33] M'[8[_P#=H3CCUD860W-O&amp;8CXK0UX-/\ *"UR\[XG'#Z7XAA?40W-L&gt;&lt;#XK)UX-/\I+1[</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M_=GR$8X]8PLBKVOYS,^"Q^3]@U2K&amp;%D9S:WG9?%8O%_SFL[AX</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M_P#G#WQ3'#Z3^087U$1S:MGH]=+$UUT_SGLTNYW;B%HW8)4JQA9&amp;5M3SX9'I M87#W/C19?WQB'&lt;@W7%^(87U$1&gt;T[&lt;</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K72P./_G597&gt;_YQ@KD$ZU?R#"R*YM) MW!JUTQ_KKI_G79/&gt;[MR"_?0[1@9%7M&amp;W#'Q8]UX?UV6/TW*0CO88FZD87U$1 MS:%N*/73'?</w:t>
      </w:r>
    </w:p>
    <w:p>
      <w:pPr>
        <w:spacing w:after="0" w:line="228" w:lineRule="auto"/>
        <w:rPr>
          <w:sz w:val="20"/>
          <w:szCs w:val="20"/>
          <w:color w:val="auto"/>
        </w:rPr>
      </w:pPr>
      <w:r>
        <w:rPr>
          <w:rFonts w:ascii="Arial" w:cs="Arial" w:eastAsia="Arial" w:hAnsi="Arial"/>
          <w:sz w:val="17"/>
          <w:szCs w:val="17"/>
          <w:b w:val="1"/>
          <w:bCs w:val="1"/>
          <w:u w:val="single" w:color="auto"/>
          <w:color w:val="auto"/>
          <w:strike w:val="1"/>
        </w:rPr>
        <w:t>+K_E;8Q&gt;W^J7@$]]#K&amp;%]17C=E^X.1JT4]5:&lt;=!,N&amp;76D96Z;; M&gt;HV2-1&lt;+B(23F*\R(N$^JPK@[I\ B5Z#351A?4=AVW;;!!X034SLA7HN.^I*</w:t>
      </w:r>
    </w:p>
    <w:p>
      <w:pPr>
        <w:spacing w:after="0" w:line="229" w:lineRule="auto"/>
        <w:rPr>
          <w:sz w:val="20"/>
          <w:szCs w:val="20"/>
          <w:color w:val="auto"/>
        </w:rPr>
      </w:pPr>
      <w:r>
        <w:rPr>
          <w:rFonts w:ascii="Arial" w:cs="Arial" w:eastAsia="Arial" w:hAnsi="Arial"/>
          <w:sz w:val="17"/>
          <w:szCs w:val="17"/>
          <w:b w:val="1"/>
          <w:bCs w:val="1"/>
          <w:u w:val="single" w:color="auto"/>
          <w:color w:val="auto"/>
          <w:strike w:val="1"/>
        </w:rPr>
        <w:t>MD\SJ91#/8QL31.+0Z]'PK+I'4GV[K:2=J73);J4))*&amp;DFM*L%RXY^ O&amp;-/"9 M4C&amp;6 #_]/W\ M M M #__4]_ M M __U??P M M /_];W\ M M #__7 M]_ M M</w:t>
      </w:r>
    </w:p>
    <w:p>
      <w:pPr>
        <w:spacing w:after="0"/>
        <w:rPr>
          <w:sz w:val="20"/>
          <w:szCs w:val="20"/>
          <w:color w:val="auto"/>
        </w:rPr>
      </w:pPr>
      <w:r>
        <w:rPr>
          <w:rFonts w:ascii="Arial" w:cs="Arial" w:eastAsia="Arial" w:hAnsi="Arial"/>
          <w:sz w:val="17"/>
          <w:szCs w:val="17"/>
          <w:b w:val="1"/>
          <w:bCs w:val="1"/>
          <w:u w:val="single" w:color="auto"/>
          <w:color w:val="auto"/>
          <w:strike w:val="1"/>
        </w:rPr>
        <w:t>__T/?P M M /_]'W\ M M #__2]_ M M M __T_?P M M /_]3W\ M A #__9 end "</w:t>
      </w:r>
    </w:p>
    <w:p>
      <w:pPr>
        <w:sectPr>
          <w:pgSz w:w="11900" w:h="16838" w:orient="portrait"/>
          <w:cols w:equalWidth="0" w:num="1">
            <w:col w:w="11440"/>
          </w:cols>
          <w:pgMar w:left="220" w:top="118" w:right="239"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lowerLetter"/>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3"/>
    </w:lvl>
  </w:abstractNum>
  <w:abstractNum w:abstractNumId="16">
    <w:nsid w:val="153EA438"/>
    <w:multiLevelType w:val="hybridMultilevel"/>
    <w:lvl w:ilvl="0">
      <w:lvlJc w:val="left"/>
      <w:lvlText w:val="%1"/>
      <w:numFmt w:val="decimal"/>
      <w:start w:val="10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decimal"/>
      <w:start w:val="2"/>
    </w:lvl>
  </w:abstractNum>
  <w:abstractNum w:abstractNumId="20">
    <w:nsid w:val="2A487CB0"/>
    <w:multiLevelType w:val="hybridMultilevel"/>
    <w:lvl w:ilvl="0">
      <w:lvlJc w:val="left"/>
      <w:lvlText w:val="%1."/>
      <w:numFmt w:val="decimal"/>
      <w:start w:val="3"/>
    </w:lvl>
    <w:lvl w:ilvl="1">
      <w:lvlJc w:val="left"/>
      <w:lvlText w:val="(%2)"/>
      <w:numFmt w:val="lowerLetter"/>
      <w:start w:val="1"/>
    </w:lvl>
  </w:abstractNum>
  <w:abstractNum w:abstractNumId="21">
    <w:nsid w:val="1D4ED43B"/>
    <w:multiLevelType w:val="hybridMultilevel"/>
    <w:lvl w:ilvl="0">
      <w:lvlJc w:val="left"/>
      <w:lvlText w:val="%1"/>
      <w:numFmt w:val="decimal"/>
      <w:start w:val="1"/>
    </w:lvl>
    <w:lvl w:ilvl="1">
      <w:lvlJc w:val="left"/>
      <w:lvlText w:val="(%2)"/>
      <w:numFmt w:val="lowerLetter"/>
      <w:start w:val="2"/>
    </w:lvl>
  </w:abstractNum>
  <w:abstractNum w:abstractNumId="22">
    <w:nsid w:val="725A06FB"/>
    <w:multiLevelType w:val="hybridMultilevel"/>
    <w:lvl w:ilvl="0">
      <w:lvlJc w:val="left"/>
      <w:lvlText w:val="%1."/>
      <w:numFmt w:val="decimal"/>
      <w:start w:val="4"/>
    </w:lvl>
    <w:lvl w:ilvl="1">
      <w:lvlJc w:val="left"/>
      <w:lvlText w:val="(%2)"/>
      <w:numFmt w:val="lowerLetter"/>
      <w:start w:val="1"/>
    </w:lvl>
  </w:abstractNum>
  <w:abstractNum w:abstractNumId="23">
    <w:nsid w:val="2CD89A32"/>
    <w:multiLevelType w:val="hybridMultilevel"/>
    <w:lvl w:ilvl="0">
      <w:lvlJc w:val="left"/>
      <w:lvlText w:val="%1"/>
      <w:numFmt w:val="decimal"/>
      <w:start w:val="1"/>
    </w:lvl>
    <w:lvl w:ilvl="1">
      <w:lvlJc w:val="left"/>
      <w:lvlText w:val="(%2)"/>
      <w:numFmt w:val="lowerLetter"/>
      <w:start w:val="2"/>
    </w:lvl>
  </w:abstractNum>
  <w:abstractNum w:abstractNumId="24">
    <w:nsid w:val="57E4CCAF"/>
    <w:multiLevelType w:val="hybridMultilevel"/>
    <w:lvl w:ilvl="0">
      <w:lvlJc w:val="left"/>
      <w:lvlText w:val="%1."/>
      <w:numFmt w:val="decimal"/>
      <w:start w:val="5"/>
    </w:lvl>
    <w:lvl w:ilvl="1">
      <w:lvlJc w:val="left"/>
      <w:lvlText w:val="%2"/>
      <w:numFmt w:val="lowerLetter"/>
      <w:start w:val="1"/>
    </w:lvl>
  </w:abstractNum>
  <w:abstractNum w:abstractNumId="25">
    <w:nsid w:val="7A6D8D3C"/>
    <w:multiLevelType w:val="hybridMultilevel"/>
    <w:lvl w:ilvl="0">
      <w:lvlJc w:val="left"/>
      <w:lvlText w:val="%1."/>
      <w:numFmt w:val="decimal"/>
      <w:start w:val="6"/>
    </w:lvl>
  </w:abstractNum>
  <w:abstractNum w:abstractNumId="26">
    <w:nsid w:val="4B588F54"/>
    <w:multiLevelType w:val="hybridMultilevel"/>
    <w:lvl w:ilvl="0">
      <w:lvlJc w:val="left"/>
      <w:lvlText w:val="•"/>
      <w:numFmt w:val="bullet"/>
      <w:start w:val="1"/>
    </w:lvl>
    <w:lvl w:ilvl="1">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5"/>
    </w:lvl>
  </w:abstractNum>
  <w:abstractNum w:abstractNumId="32">
    <w:nsid w:val="684A481A"/>
    <w:multiLevelType w:val="hybridMultilevel"/>
    <w:lvl w:ilvl="0">
      <w:lvlJc w:val="left"/>
      <w:lvlText w:val="%1"/>
      <w:numFmt w:val="decimal"/>
      <w:start w:val="44"/>
    </w:lvl>
  </w:abstractNum>
  <w:abstractNum w:abstractNumId="33">
    <w:nsid w:val="579478FE"/>
    <w:multiLevelType w:val="hybridMultilevel"/>
    <w:lvl w:ilvl="0">
      <w:lvlJc w:val="left"/>
      <w:lvlText w:val="%1"/>
      <w:numFmt w:val="decimal"/>
      <w:start w:val="47"/>
    </w:lvl>
  </w:abstractNum>
  <w:abstractNum w:abstractNumId="34">
    <w:nsid w:val="749ABB43"/>
    <w:multiLevelType w:val="hybridMultilevel"/>
    <w:lvl w:ilvl="0">
      <w:lvlJc w:val="left"/>
      <w:lvlText w:val="%1"/>
      <w:numFmt w:val="decimal"/>
      <w:start w:val="47"/>
    </w:lvl>
  </w:abstractNum>
  <w:abstractNum w:abstractNumId="35">
    <w:nsid w:val="3DC240FB"/>
    <w:multiLevelType w:val="hybridMultilevel"/>
    <w:lvl w:ilvl="0">
      <w:lvlJc w:val="left"/>
      <w:lvlText w:val="%1"/>
      <w:numFmt w:val="decimal"/>
      <w:start w:val="84"/>
    </w:lvl>
  </w:abstractNum>
  <w:abstractNum w:abstractNumId="36">
    <w:nsid w:val="1BA026FA"/>
    <w:multiLevelType w:val="hybridMultilevel"/>
    <w:lvl w:ilvl="0">
      <w:lvlJc w:val="left"/>
      <w:lvlText w:val="•"/>
      <w:numFmt w:val="bullet"/>
      <w:start w:val="1"/>
    </w:lvl>
    <w:lvl w:ilvl="1">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1"/>
    </w:lvl>
    <w:lvl w:ilvl="1">
      <w:lvlJc w:val="left"/>
      <w:lvlText w:val="(%2)"/>
      <w:numFmt w:val="lowerLetter"/>
      <w:start w:val="1"/>
    </w:lvl>
  </w:abstractNum>
  <w:abstractNum w:abstractNumId="60">
    <w:nsid w:val="77AE35EB"/>
    <w:multiLevelType w:val="hybridMultilevel"/>
    <w:lvl w:ilvl="0">
      <w:lvlJc w:val="left"/>
      <w:lvlText w:val="%1."/>
      <w:numFmt w:val="decimal"/>
      <w:start w:val="1"/>
    </w:lvl>
    <w:lvl w:ilvl="1">
      <w:lvlJc w:val="left"/>
      <w:lvlText w:val="(%2)"/>
      <w:numFmt w:val="lowerLetter"/>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2019-12-29T08:51:26Z</dcterms:created>
  <dcterms:modified xsi:type="dcterms:W3CDTF">2019-12-29T08:51:26Z</dcterms:modified>
</cp:coreProperties>
</file>