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20, 2012</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(d/b/a ManpowerGroup)</w:t>
      </w: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82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7"/>
              </w:rPr>
              <w:t>Wisconsin</w:t>
            </w:r>
          </w:p>
        </w:tc>
        <w:tc>
          <w:tcPr>
            <w:tcW w:w="2940" w:type="dxa"/>
            <w:vAlign w:val="bottom"/>
            <w:tcBorders>
              <w:bottom w:val="single" w:sz="8" w:color="auto"/>
            </w:tcBorders>
          </w:tcPr>
          <w:p>
            <w:pPr>
              <w:jc w:val="right"/>
              <w:ind w:right="1241"/>
              <w:spacing w:after="0"/>
              <w:rPr>
                <w:sz w:val="20"/>
                <w:szCs w:val="20"/>
                <w:color w:val="auto"/>
              </w:rPr>
            </w:pPr>
            <w:r>
              <w:rPr>
                <w:rFonts w:ascii="Arial" w:cs="Arial" w:eastAsia="Arial" w:hAnsi="Arial"/>
                <w:sz w:val="16"/>
                <w:szCs w:val="16"/>
                <w:b w:val="1"/>
                <w:bCs w:val="1"/>
                <w:color w:val="auto"/>
              </w:rPr>
              <w:t>1-10686</w:t>
            </w:r>
          </w:p>
        </w:tc>
        <w:tc>
          <w:tcPr>
            <w:tcW w:w="3680" w:type="dxa"/>
            <w:vAlign w:val="bottom"/>
            <w:tcBorders>
              <w:bottom w:val="single" w:sz="8" w:color="auto"/>
            </w:tcBorders>
          </w:tcPr>
          <w:p>
            <w:pPr>
              <w:jc w:val="right"/>
              <w:ind w:right="1401"/>
              <w:spacing w:after="0"/>
              <w:rPr>
                <w:sz w:val="20"/>
                <w:szCs w:val="20"/>
                <w:color w:val="auto"/>
              </w:rPr>
            </w:pPr>
            <w:r>
              <w:rPr>
                <w:rFonts w:ascii="Arial" w:cs="Arial" w:eastAsia="Arial" w:hAnsi="Arial"/>
                <w:sz w:val="16"/>
                <w:szCs w:val="16"/>
                <w:b w:val="1"/>
                <w:bCs w:val="1"/>
                <w:color w:val="auto"/>
              </w:rPr>
              <w:t>39-1672779</w:t>
            </w:r>
          </w:p>
        </w:tc>
      </w:tr>
      <w:tr>
        <w:trPr>
          <w:trHeight w:val="205"/>
        </w:trPr>
        <w:tc>
          <w:tcPr>
            <w:tcW w:w="4820" w:type="dxa"/>
            <w:vAlign w:val="bottom"/>
          </w:tcPr>
          <w:p>
            <w:pPr>
              <w:jc w:val="center"/>
              <w:ind w:right="101"/>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40" w:type="dxa"/>
            <w:vAlign w:val="bottom"/>
          </w:tcPr>
          <w:p>
            <w:pPr>
              <w:jc w:val="center"/>
              <w:ind w:right="141"/>
              <w:spacing w:after="0"/>
              <w:rPr>
                <w:sz w:val="20"/>
                <w:szCs w:val="20"/>
                <w:color w:val="auto"/>
              </w:rPr>
            </w:pPr>
            <w:r>
              <w:rPr>
                <w:rFonts w:ascii="Arial" w:cs="Arial" w:eastAsia="Arial" w:hAnsi="Arial"/>
                <w:sz w:val="16"/>
                <w:szCs w:val="16"/>
                <w:b w:val="1"/>
                <w:bCs w:val="1"/>
                <w:color w:val="auto"/>
                <w:w w:val="90"/>
              </w:rPr>
              <w:t>(Commission File Number)</w:t>
            </w:r>
          </w:p>
        </w:tc>
        <w:tc>
          <w:tcPr>
            <w:tcW w:w="368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87"/>
        </w:trPr>
        <w:tc>
          <w:tcPr>
            <w:tcW w:w="4820" w:type="dxa"/>
            <w:vAlign w:val="bottom"/>
          </w:tcPr>
          <w:p>
            <w:pPr>
              <w:jc w:val="center"/>
              <w:ind w:left="1241"/>
              <w:spacing w:after="0"/>
              <w:rPr>
                <w:sz w:val="20"/>
                <w:szCs w:val="20"/>
                <w:color w:val="auto"/>
              </w:rPr>
            </w:pPr>
            <w:r>
              <w:rPr>
                <w:rFonts w:ascii="Arial" w:cs="Arial" w:eastAsia="Arial" w:hAnsi="Arial"/>
                <w:sz w:val="16"/>
                <w:szCs w:val="16"/>
                <w:b w:val="1"/>
                <w:bCs w:val="1"/>
                <w:color w:val="auto"/>
                <w:w w:val="90"/>
              </w:rPr>
              <w:t>100 Manpower Place</w:t>
            </w:r>
          </w:p>
        </w:tc>
        <w:tc>
          <w:tcPr>
            <w:tcW w:w="29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1"/>
        </w:trPr>
        <w:tc>
          <w:tcPr>
            <w:tcW w:w="4820" w:type="dxa"/>
            <w:vAlign w:val="bottom"/>
            <w:tcBorders>
              <w:bottom w:val="single" w:sz="8" w:color="auto"/>
            </w:tcBorders>
          </w:tcPr>
          <w:p>
            <w:pPr>
              <w:jc w:val="center"/>
              <w:ind w:left="1221"/>
              <w:spacing w:after="0"/>
              <w:rPr>
                <w:sz w:val="20"/>
                <w:szCs w:val="20"/>
                <w:color w:val="auto"/>
              </w:rPr>
            </w:pPr>
            <w:r>
              <w:rPr>
                <w:rFonts w:ascii="Arial" w:cs="Arial" w:eastAsia="Arial" w:hAnsi="Arial"/>
                <w:sz w:val="16"/>
                <w:szCs w:val="16"/>
                <w:b w:val="1"/>
                <w:bCs w:val="1"/>
                <w:color w:val="auto"/>
                <w:w w:val="89"/>
              </w:rPr>
              <w:t>Milwaukee, Wisconsin</w:t>
            </w:r>
          </w:p>
        </w:tc>
        <w:tc>
          <w:tcPr>
            <w:tcW w:w="29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jc w:val="right"/>
              <w:ind w:right="2381"/>
              <w:spacing w:after="0"/>
              <w:rPr>
                <w:sz w:val="20"/>
                <w:szCs w:val="20"/>
                <w:color w:val="auto"/>
              </w:rPr>
            </w:pPr>
            <w:r>
              <w:rPr>
                <w:rFonts w:ascii="Arial" w:cs="Arial" w:eastAsia="Arial" w:hAnsi="Arial"/>
                <w:sz w:val="16"/>
                <w:szCs w:val="16"/>
                <w:b w:val="1"/>
                <w:bCs w:val="1"/>
                <w:color w:val="auto"/>
              </w:rPr>
              <w:t>53212</w:t>
            </w:r>
          </w:p>
        </w:tc>
      </w:tr>
      <w:tr>
        <w:trPr>
          <w:trHeight w:val="205"/>
        </w:trPr>
        <w:tc>
          <w:tcPr>
            <w:tcW w:w="4820" w:type="dxa"/>
            <w:vAlign w:val="bottom"/>
          </w:tcPr>
          <w:p>
            <w:pPr>
              <w:jc w:val="center"/>
              <w:ind w:left="124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2940" w:type="dxa"/>
            <w:vAlign w:val="bottom"/>
          </w:tcPr>
          <w:p>
            <w:pPr>
              <w:spacing w:after="0"/>
              <w:rPr>
                <w:sz w:val="17"/>
                <w:szCs w:val="17"/>
                <w:color w:val="auto"/>
              </w:rPr>
            </w:pPr>
          </w:p>
        </w:tc>
        <w:tc>
          <w:tcPr>
            <w:tcW w:w="3680" w:type="dxa"/>
            <w:vAlign w:val="bottom"/>
          </w:tcPr>
          <w:p>
            <w:pPr>
              <w:ind w:left="660"/>
              <w:spacing w:after="0"/>
              <w:rPr>
                <w:sz w:val="20"/>
                <w:szCs w:val="20"/>
                <w:color w:val="auto"/>
              </w:rPr>
            </w:pPr>
            <w:r>
              <w:rPr>
                <w:rFonts w:ascii="Arial" w:cs="Arial" w:eastAsia="Arial" w:hAnsi="Arial"/>
                <w:sz w:val="16"/>
                <w:szCs w:val="16"/>
                <w:b w:val="1"/>
                <w:bCs w:val="1"/>
                <w:color w:val="auto"/>
              </w:rPr>
              <w:t>(Zip Code)</w:t>
            </w:r>
          </w:p>
        </w:tc>
      </w:tr>
    </w:tbl>
    <w:p>
      <w:pPr>
        <w:spacing w:after="0" w:line="1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6821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19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4"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On July 20, 2012, we issued a press release announcing our results of operations for the three- and six- month periods ended June 30, 2012. A copy of the press release is attached hereto as Exhibit 99.1 and is incorporated herein by reference.</w:t>
      </w:r>
    </w:p>
    <w:p>
      <w:pPr>
        <w:spacing w:after="0" w:line="177"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Exhibits</w:t>
      </w:r>
      <w:r>
        <w:rPr>
          <w:rFonts w:ascii="Arial" w:cs="Arial" w:eastAsia="Arial" w:hAnsi="Arial"/>
          <w:sz w:val="14"/>
          <w:szCs w:val="14"/>
          <w:color w:val="auto"/>
        </w:rPr>
        <w:t>.</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Exhibit No.</w:t>
      </w:r>
      <w:r>
        <w:rPr>
          <w:rFonts w:ascii="Arial" w:cs="Arial" w:eastAsia="Arial" w:hAnsi="Arial"/>
          <w:sz w:val="16"/>
          <w:szCs w:val="16"/>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14605</wp:posOffset>
            </wp:positionV>
            <wp:extent cx="451485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14850" cy="15240"/>
                    </a:xfrm>
                    <a:prstGeom prst="rect">
                      <a:avLst/>
                    </a:prstGeom>
                    <a:noFill/>
                  </pic:spPr>
                </pic:pic>
              </a:graphicData>
            </a:graphic>
          </wp:anchor>
        </w:drawing>
      </w:r>
    </w:p>
    <w:p>
      <w:pPr>
        <w:spacing w:after="0" w:line="14" w:lineRule="exact"/>
        <w:rPr>
          <w:sz w:val="20"/>
          <w:szCs w:val="20"/>
          <w:color w:val="auto"/>
        </w:rPr>
      </w:pPr>
    </w:p>
    <w:p>
      <w:pPr>
        <w:ind w:left="300"/>
        <w:spacing w:after="0"/>
        <w:tabs>
          <w:tab w:leader="none" w:pos="86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2"/>
          <w:szCs w:val="12"/>
          <w:color w:val="auto"/>
        </w:rPr>
        <w:t>Press Release dated July 20, 2012</w:t>
      </w:r>
    </w:p>
    <w:p>
      <w:pPr>
        <w:spacing w:after="0" w:line="17" w:lineRule="exact"/>
        <w:rPr>
          <w:sz w:val="20"/>
          <w:szCs w:val="20"/>
          <w:color w:val="auto"/>
        </w:rPr>
      </w:pPr>
    </w:p>
    <w:p>
      <w:pPr>
        <w:ind w:left="300"/>
        <w:spacing w:after="0"/>
        <w:tabs>
          <w:tab w:leader="none" w:pos="86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materials for July 20, 2012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6821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224"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 INC.</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(d/b/a ManpowerGroup)</w:t>
      </w:r>
    </w:p>
    <w:p>
      <w:pPr>
        <w:spacing w:after="0" w:line="186"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July 20,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12065</wp:posOffset>
            </wp:positionV>
            <wp:extent cx="203835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8350" cy="15240"/>
                    </a:xfrm>
                    <a:prstGeom prst="rect">
                      <a:avLst/>
                    </a:prstGeom>
                    <a:noFill/>
                  </pic:spPr>
                </pic:pic>
              </a:graphicData>
            </a:graphic>
          </wp:anchor>
        </w:drawing>
      </w:r>
    </w:p>
    <w:p>
      <w:pPr>
        <w:spacing w:after="0" w:line="10"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6"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120"/>
          </w:cols>
          <w:pgMar w:left="240" w:top="337" w:right="539" w:bottom="1440" w:gutter="0" w:footer="0" w:header="0"/>
        </w:sectPr>
      </w:pPr>
    </w:p>
    <w:bookmarkStart w:id="3" w:name="page4"/>
    <w:bookmarkEnd w:id="3"/>
    <w:p>
      <w:pPr>
        <w:jc w:val="right"/>
        <w:ind w:right="3899"/>
        <w:spacing w:after="0"/>
        <w:rPr>
          <w:sz w:val="20"/>
          <w:szCs w:val="20"/>
          <w:color w:val="auto"/>
        </w:rPr>
      </w:pPr>
      <w:r>
        <w:rPr>
          <w:rFonts w:ascii="Arial" w:cs="Arial" w:eastAsia="Arial" w:hAnsi="Arial"/>
          <w:sz w:val="16"/>
          <w:szCs w:val="16"/>
          <w:b w:val="1"/>
          <w:bCs w:val="1"/>
          <w:color w:val="auto"/>
        </w:rPr>
        <w:t>EXHIBIT INDEX</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No.</w:t>
      </w:r>
      <w:r>
        <w:rPr>
          <w:rFonts w:ascii="Arial" w:cs="Arial" w:eastAsia="Arial" w:hAnsi="Arial"/>
          <w:sz w:val="16"/>
          <w:szCs w:val="16"/>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14605</wp:posOffset>
            </wp:positionV>
            <wp:extent cx="451485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14850" cy="15240"/>
                    </a:xfrm>
                    <a:prstGeom prst="rect">
                      <a:avLst/>
                    </a:prstGeom>
                    <a:noFill/>
                  </pic:spPr>
                </pic:pic>
              </a:graphicData>
            </a:graphic>
          </wp:anchor>
        </w:drawing>
      </w:r>
    </w:p>
    <w:p>
      <w:pPr>
        <w:spacing w:after="0" w:line="14" w:lineRule="exact"/>
        <w:rPr>
          <w:sz w:val="20"/>
          <w:szCs w:val="20"/>
          <w:color w:val="auto"/>
        </w:rPr>
      </w:pPr>
    </w:p>
    <w:p>
      <w:pPr>
        <w:ind w:left="280"/>
        <w:spacing w:after="0"/>
        <w:tabs>
          <w:tab w:leader="none" w:pos="8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2"/>
          <w:szCs w:val="12"/>
          <w:color w:val="auto"/>
        </w:rPr>
        <w:t>Press Release dated July 20, 2012</w:t>
      </w:r>
    </w:p>
    <w:p>
      <w:pPr>
        <w:spacing w:after="0" w:line="17" w:lineRule="exact"/>
        <w:rPr>
          <w:sz w:val="20"/>
          <w:szCs w:val="20"/>
          <w:color w:val="auto"/>
        </w:rPr>
      </w:pPr>
    </w:p>
    <w:p>
      <w:pPr>
        <w:ind w:left="280"/>
        <w:spacing w:after="0"/>
        <w:tabs>
          <w:tab w:leader="none" w:pos="84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Presentation materials for July 20, 2012 conference call</w:t>
      </w:r>
    </w:p>
    <w:p>
      <w:pPr>
        <w:sectPr>
          <w:pgSz w:w="11900" w:h="16838" w:orient="portrait"/>
          <w:cols w:equalWidth="0" w:num="1">
            <w:col w:w="10199"/>
          </w:cols>
          <w:pgMar w:left="26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85495" cy="430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549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446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Mike Van Handel</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+1.414.906.6305</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michael.vanhandel@manpowergroup.com</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2</w:t>
      </w:r>
      <w:r>
        <w:rPr>
          <w:rFonts w:ascii="Arial" w:cs="Arial" w:eastAsia="Arial" w:hAnsi="Arial"/>
          <w:sz w:val="22"/>
          <w:szCs w:val="22"/>
          <w:b w:val="1"/>
          <w:bCs w:val="1"/>
          <w:color w:val="auto"/>
          <w:vertAlign w:val="superscript"/>
        </w:rPr>
        <w:t>nd</w:t>
      </w:r>
      <w:r>
        <w:rPr>
          <w:rFonts w:ascii="Arial" w:cs="Arial" w:eastAsia="Arial" w:hAnsi="Arial"/>
          <w:sz w:val="16"/>
          <w:szCs w:val="16"/>
          <w:b w:val="1"/>
          <w:bCs w:val="1"/>
          <w:color w:val="auto"/>
        </w:rPr>
        <w:t xml:space="preserve"> Quarter and First Half 2012 Results</w:t>
      </w:r>
    </w:p>
    <w:p>
      <w:pPr>
        <w:spacing w:after="0" w:line="365" w:lineRule="exact"/>
        <w:rPr>
          <w:sz w:val="20"/>
          <w:szCs w:val="20"/>
          <w:color w:val="auto"/>
        </w:rPr>
      </w:pPr>
    </w:p>
    <w:p>
      <w:pPr>
        <w:ind w:right="440" w:firstLine="586"/>
        <w:spacing w:after="0" w:line="287" w:lineRule="auto"/>
        <w:rPr>
          <w:sz w:val="20"/>
          <w:szCs w:val="20"/>
          <w:color w:val="auto"/>
        </w:rPr>
      </w:pPr>
      <w:r>
        <w:rPr>
          <w:rFonts w:ascii="Arial" w:cs="Arial" w:eastAsia="Arial" w:hAnsi="Arial"/>
          <w:sz w:val="15"/>
          <w:szCs w:val="15"/>
          <w:b w:val="1"/>
          <w:bCs w:val="1"/>
          <w:color w:val="auto"/>
        </w:rPr>
        <w:t xml:space="preserve">MILWAUKEE, July 20, 2012 -- </w:t>
      </w:r>
      <w:r>
        <w:rPr>
          <w:rFonts w:ascii="Arial" w:cs="Arial" w:eastAsia="Arial" w:hAnsi="Arial"/>
          <w:sz w:val="15"/>
          <w:szCs w:val="15"/>
          <w:color w:val="auto"/>
        </w:rPr>
        <w:t>ManpowerGroup (NYSE: MAN) today reported that net earnings per diluted share for the three months ended June 30, 2012 were</w:t>
      </w:r>
      <w:r>
        <w:rPr>
          <w:rFonts w:ascii="Arial" w:cs="Arial" w:eastAsia="Arial" w:hAnsi="Arial"/>
          <w:sz w:val="15"/>
          <w:szCs w:val="15"/>
          <w:b w:val="1"/>
          <w:bCs w:val="1"/>
          <w:color w:val="auto"/>
        </w:rPr>
        <w:t xml:space="preserve"> </w:t>
      </w:r>
      <w:r>
        <w:rPr>
          <w:rFonts w:ascii="Arial" w:cs="Arial" w:eastAsia="Arial" w:hAnsi="Arial"/>
          <w:sz w:val="15"/>
          <w:szCs w:val="15"/>
          <w:color w:val="auto"/>
        </w:rPr>
        <w:t>51 cents compared to 87 cents in the prior year period. Net earnings in the second quarter were $41.0 million compared to $72.7 million a year earlier. Revenues for the second quarter were $5.2 billion, a decrease of 8 percent from the year earlier period, or a decrease of 1 percent in constant currency.</w:t>
      </w:r>
    </w:p>
    <w:p>
      <w:pPr>
        <w:spacing w:after="0" w:line="170" w:lineRule="exact"/>
        <w:rPr>
          <w:sz w:val="20"/>
          <w:szCs w:val="20"/>
          <w:color w:val="auto"/>
        </w:rPr>
      </w:pPr>
    </w:p>
    <w:p>
      <w:pPr>
        <w:ind w:right="480"/>
        <w:spacing w:after="0" w:line="313" w:lineRule="auto"/>
        <w:rPr>
          <w:sz w:val="20"/>
          <w:szCs w:val="20"/>
          <w:color w:val="auto"/>
        </w:rPr>
      </w:pPr>
      <w:r>
        <w:rPr>
          <w:rFonts w:ascii="Arial" w:cs="Arial" w:eastAsia="Arial" w:hAnsi="Arial"/>
          <w:sz w:val="14"/>
          <w:szCs w:val="14"/>
          <w:color w:val="auto"/>
        </w:rPr>
        <w:t>Included in the current year second quarter results is a reorganization charge of $18.7 million ($13.9 million after tax or 17 cents per diluted share) and legal settlement costs of $10.0 million ($6.5 million after tax or 8 cents per diluted share). Excluding these charges, earnings per diluted share in the quarter were 76 cents. Net earnings in the second quarter were unfavorably impacted by 7 cents per diluted share, as foreign currencies were relatively weaker compared to the prior year period.</w:t>
      </w:r>
    </w:p>
    <w:p>
      <w:pPr>
        <w:spacing w:after="0" w:line="155" w:lineRule="exact"/>
        <w:rPr>
          <w:sz w:val="20"/>
          <w:szCs w:val="20"/>
          <w:color w:val="auto"/>
        </w:rPr>
      </w:pPr>
    </w:p>
    <w:p>
      <w:pPr>
        <w:jc w:val="both"/>
        <w:ind w:right="360"/>
        <w:spacing w:after="0" w:line="259" w:lineRule="auto"/>
        <w:rPr>
          <w:sz w:val="20"/>
          <w:szCs w:val="20"/>
          <w:color w:val="auto"/>
        </w:rPr>
      </w:pPr>
      <w:r>
        <w:rPr>
          <w:rFonts w:ascii="Arial" w:cs="Arial" w:eastAsia="Arial" w:hAnsi="Arial"/>
          <w:sz w:val="16"/>
          <w:szCs w:val="16"/>
          <w:color w:val="auto"/>
        </w:rPr>
        <w:t>ManpowerGroup Chairman and CEO Jeffrey A. Joerres, said, “The second quarter underscored our ability to execute well in a difficult environment. It was a quarter in which we experienced mild but steady declines in revenue throughout the quarter. Europe, which comprises 65% of our business, not surprisingly experienced the most decline in the quarter.</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“Our investments and execution in our Solutions business continued to generate strong revenue and earnings as well as contribute to our goal of gross margin expansion.</w:t>
      </w:r>
    </w:p>
    <w:p>
      <w:pPr>
        <w:spacing w:after="0" w:line="232" w:lineRule="exact"/>
        <w:rPr>
          <w:sz w:val="20"/>
          <w:szCs w:val="20"/>
          <w:color w:val="auto"/>
        </w:rPr>
      </w:pPr>
    </w:p>
    <w:p>
      <w:pPr>
        <w:ind w:right="620"/>
        <w:spacing w:after="0" w:line="270" w:lineRule="auto"/>
        <w:rPr>
          <w:sz w:val="20"/>
          <w:szCs w:val="20"/>
          <w:color w:val="auto"/>
        </w:rPr>
      </w:pPr>
      <w:r>
        <w:rPr>
          <w:rFonts w:ascii="Arial" w:cs="Arial" w:eastAsia="Arial" w:hAnsi="Arial"/>
          <w:sz w:val="16"/>
          <w:szCs w:val="16"/>
          <w:color w:val="auto"/>
        </w:rPr>
        <w:t>“We are anticipating the third quarter of 2012 diluted earnings per share to be in the range of 64 to 72 cents, which includes an estimated unfavorable currency impact of 8 cents,” Joerres stated.</w:t>
      </w:r>
    </w:p>
    <w:p>
      <w:pPr>
        <w:spacing w:after="0" w:line="181" w:lineRule="exact"/>
        <w:rPr>
          <w:sz w:val="20"/>
          <w:szCs w:val="20"/>
          <w:color w:val="auto"/>
        </w:rPr>
      </w:pPr>
    </w:p>
    <w:p>
      <w:pPr>
        <w:ind w:right="500"/>
        <w:spacing w:after="0" w:line="278" w:lineRule="auto"/>
        <w:rPr>
          <w:sz w:val="20"/>
          <w:szCs w:val="20"/>
          <w:color w:val="auto"/>
        </w:rPr>
      </w:pPr>
      <w:r>
        <w:rPr>
          <w:rFonts w:ascii="Arial" w:cs="Arial" w:eastAsia="Arial" w:hAnsi="Arial"/>
          <w:sz w:val="15"/>
          <w:szCs w:val="15"/>
          <w:color w:val="auto"/>
        </w:rPr>
        <w:t>Earnings per diluted share for the six months ended June 30, 2012 were $1.01 compared to $1.30 per diluted share in 2011. Net earnings for the period were $81.2 million compared to $108.4 million in the prior year. Revenues for the six-month period were $10.3 billion, a decrease of 4 percent from the prior year or an increase of 1 percent in constant currency. Earnings per diluted share for the current year six month period include the reorganization costs and legal costs discussed above of 25 cents per diluted share. Foreign currency exchange rates had an unfavorable impact of 9 cents for the six-month period.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In conjunction with its second quarter earnings release, ManpowerGroup will broadcast its conference call live over the Internet on July 20, 2012 at 7:30 a.m. CDT (8:30 a.m.</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EDT). Interested parties are invited to listen to the webcast and view the presentation by logging on to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6" w:lineRule="exact"/>
        <w:rPr>
          <w:sz w:val="20"/>
          <w:szCs w:val="20"/>
          <w:color w:val="auto"/>
        </w:rPr>
      </w:pPr>
    </w:p>
    <w:p>
      <w:pPr>
        <w:ind w:right="380"/>
        <w:spacing w:after="0" w:line="288" w:lineRule="auto"/>
        <w:rPr>
          <w:sz w:val="20"/>
          <w:szCs w:val="20"/>
          <w:color w:val="auto"/>
        </w:rPr>
      </w:pPr>
      <w:r>
        <w:rPr>
          <w:rFonts w:ascii="Arial" w:cs="Arial" w:eastAsia="Arial" w:hAnsi="Arial"/>
          <w:sz w:val="14"/>
          <w:szCs w:val="14"/>
          <w:color w:val="auto"/>
        </w:rPr>
        <w:t>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3,600 offices in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www.manpowergroup.com.</w:t>
      </w:r>
    </w:p>
    <w:p>
      <w:pPr>
        <w:spacing w:after="0" w:line="173"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ManpowerGroup is the most trusted brand in the industry, and was once again the only company in our industry to be named to the Ethisphere Institute's 2012 World's Most Ethical Companies list for our proven commitment to ethical business practices, including an outstanding commitment to ethical leadership, compliance practices and corporate social responsibility.</w:t>
      </w:r>
    </w:p>
    <w:p>
      <w:pPr>
        <w:spacing w:after="0" w:line="189" w:lineRule="exact"/>
        <w:rPr>
          <w:sz w:val="20"/>
          <w:szCs w:val="20"/>
          <w:color w:val="auto"/>
        </w:rPr>
      </w:pPr>
    </w:p>
    <w:p>
      <w:pPr>
        <w:ind w:right="460"/>
        <w:spacing w:after="0" w:line="284" w:lineRule="auto"/>
        <w:rPr>
          <w:sz w:val="20"/>
          <w:szCs w:val="20"/>
          <w:color w:val="auto"/>
        </w:rPr>
      </w:pPr>
      <w:r>
        <w:rPr>
          <w:rFonts w:ascii="Arial" w:cs="Arial" w:eastAsia="Arial" w:hAnsi="Arial"/>
          <w:sz w:val="15"/>
          <w:szCs w:val="15"/>
          <w:color w:val="auto"/>
        </w:rPr>
        <w:t>In January 2011, at the World Economic Forum Annual Meeting in Davos, Switzerland, ManpowerGroup announced the world has entered the Human Age, where talent has replaced capital as the key competitive differentiator. This concept of talentism as the new capitalism continues to resonate and was echoed as a core theme of the 2012 Annual Meeting of the World Economic Forum in Davos. Learn more about this new age at www.manpowergroup.com/humanage.</w:t>
      </w:r>
    </w:p>
    <w:p>
      <w:pPr>
        <w:spacing w:after="0" w:line="172" w:lineRule="exact"/>
        <w:rPr>
          <w:sz w:val="20"/>
          <w:szCs w:val="20"/>
          <w:color w:val="auto"/>
        </w:rPr>
      </w:pPr>
    </w:p>
    <w:p>
      <w:pPr>
        <w:ind w:right="660"/>
        <w:spacing w:after="0" w:line="313" w:lineRule="auto"/>
        <w:rPr>
          <w:sz w:val="20"/>
          <w:szCs w:val="20"/>
          <w:color w:val="auto"/>
        </w:rPr>
      </w:pPr>
      <w:r>
        <w:rPr>
          <w:rFonts w:ascii="Arial" w:cs="Arial" w:eastAsia="Arial" w:hAnsi="Arial"/>
          <w:sz w:val="14"/>
          <w:szCs w:val="14"/>
          <w:color w:val="auto"/>
        </w:rPr>
        <w:t>Gain access to ManpowerGroup's extensive thought leadership papers, annual Talent Shortage surveys and the Manpower Employment Outlook Survey, one of the most trusted indices of employment activity in the world, via the ManpowerGroup World of Work Insight iPad application. This thought leadership app explores the challenges faced by employers navigating the changing world of work and provides in-depth commentary, analysis, insight and advice on strategies for success.</w:t>
      </w:r>
    </w:p>
    <w:p>
      <w:pPr>
        <w:spacing w:after="0" w:line="155" w:lineRule="exact"/>
        <w:rPr>
          <w:sz w:val="20"/>
          <w:szCs w:val="20"/>
          <w:color w:val="auto"/>
        </w:rPr>
      </w:pPr>
    </w:p>
    <w:p>
      <w:pPr>
        <w:ind w:right="700"/>
        <w:spacing w:after="0" w:line="270" w:lineRule="auto"/>
        <w:rPr>
          <w:sz w:val="20"/>
          <w:szCs w:val="20"/>
          <w:color w:val="auto"/>
        </w:rPr>
      </w:pPr>
      <w:r>
        <w:rPr>
          <w:rFonts w:ascii="Arial" w:cs="Arial" w:eastAsia="Arial" w:hAnsi="Arial"/>
          <w:sz w:val="16"/>
          <w:szCs w:val="16"/>
          <w:color w:val="auto"/>
        </w:rPr>
        <w:t>Follow ManpowerGroup Chairman and CEO Jeff Joerres on Twitter: twitter.com/manpowergroupjj. Joerres is one of only six Fortune 500 CEOs who leverages a Twitter account to get his message out.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2011, which information is incorporated herein by reference.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6821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116" w:right="219" w:bottom="756" w:gutter="0" w:footer="0" w:header="0"/>
        </w:sectPr>
      </w:pPr>
    </w:p>
    <w:bookmarkStart w:id="5" w:name="page6"/>
    <w:bookmarkEnd w:id="5"/>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Results of Operations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 except per share data)</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6"/>
                <w:szCs w:val="16"/>
                <w:b w:val="1"/>
                <w:bCs w:val="1"/>
                <w:color w:val="auto"/>
                <w:w w:val="92"/>
              </w:rPr>
              <w:t>Three Months Ended June 30</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4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4"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ind w:left="260"/>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4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5,206.7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5,667.3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Cost of services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4,345.0</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4,705.1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Gross profit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861.7</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962.2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767.3</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811.4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profit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11.3</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before income taxes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42.1</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66.3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-36.5%</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earnings</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-37.0%</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Arial" w:cs="Arial" w:eastAsia="Arial" w:hAnsi="Arial"/>
                <w:sz w:val="16"/>
                <w:szCs w:val="16"/>
                <w:color w:val="auto"/>
              </w:rPr>
              <w:t>Net earnings per share - basic</w:t>
            </w:r>
          </w:p>
        </w:tc>
        <w:tc>
          <w:tcPr>
            <w:tcW w:w="21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0.51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0.89</w:t>
            </w: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-42.7%</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4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earnings per share - diluted</w:t>
            </w:r>
          </w:p>
        </w:tc>
        <w:tc>
          <w:tcPr>
            <w:tcW w:w="21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0.51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0.87</w:t>
            </w: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-41.4%</w:t>
            </w:r>
          </w:p>
        </w:tc>
        <w:tc>
          <w:tcPr>
            <w:tcW w:w="128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-34.5%</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Arial" w:cs="Arial" w:eastAsia="Arial" w:hAnsi="Arial"/>
                <w:sz w:val="16"/>
                <w:szCs w:val="16"/>
                <w:color w:val="auto"/>
              </w:rPr>
              <w:t>Weighted average shares - basic</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80.1</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82.0</w:t>
            </w: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-2.4%</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4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Weighted average shares - diluted</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80.4</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83.3</w:t>
            </w: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-3.4%</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ind w:left="5" w:right="180" w:hanging="5"/>
        <w:spacing w:after="0" w:line="259"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$6.1 million and $5.7 million for the three months ended June 30, 2012 and 2011, respectively. These fees are primarily based on revenues generated by the franchise offices, which were $270.0 million and $249.6 million for the three months ended June 30,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82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334" w:right="219" w:bottom="1440" w:gutter="0" w:footer="0" w:header="0"/>
        </w:sectPr>
      </w:pPr>
    </w:p>
    <w:bookmarkStart w:id="6" w:name="page7"/>
    <w:bookmarkEnd w:id="6"/>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Operating Unit Results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6"/>
                <w:szCs w:val="16"/>
                <w:b w:val="1"/>
                <w:bCs w:val="1"/>
                <w:color w:val="auto"/>
                <w:w w:val="92"/>
              </w:rPr>
              <w:t>Three Months Ended June 30</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4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4"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jc w:val="right"/>
              <w:ind w:right="181"/>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4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ind w:left="60"/>
              <w:spacing w:after="0"/>
              <w:rPr>
                <w:sz w:val="20"/>
                <w:szCs w:val="20"/>
                <w:color w:val="auto"/>
              </w:rPr>
            </w:pPr>
            <w:r>
              <w:rPr>
                <w:rFonts w:ascii="Arial" w:cs="Arial" w:eastAsia="Arial" w:hAnsi="Arial"/>
                <w:sz w:val="16"/>
                <w:szCs w:val="16"/>
                <w:color w:val="auto"/>
              </w:rPr>
              <w:t>Americas: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763.2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791.6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389.2</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379.4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4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1,152.4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1,171.0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190"/>
        </w:trPr>
        <w:tc>
          <w:tcPr>
            <w:tcW w:w="426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8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1,427.6</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Italy</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274.0</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344.9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-10.8%</w:t>
            </w: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190.1</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1,891.7</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2,182.6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-13.3%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1,415.8</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1,566.3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190"/>
        </w:trPr>
        <w:tc>
          <w:tcPr>
            <w:tcW w:w="4260" w:type="dxa"/>
            <w:vAlign w:val="bottom"/>
          </w:tcPr>
          <w:p>
            <w:pPr>
              <w:ind w:left="60"/>
              <w:spacing w:after="0"/>
              <w:rPr>
                <w:sz w:val="20"/>
                <w:szCs w:val="20"/>
                <w:color w:val="auto"/>
              </w:rPr>
            </w:pPr>
            <w:r>
              <w:rPr>
                <w:rFonts w:ascii="Arial" w:cs="Arial" w:eastAsia="Arial" w:hAnsi="Arial"/>
                <w:sz w:val="16"/>
                <w:szCs w:val="16"/>
                <w:color w:val="auto"/>
              </w:rPr>
              <w:t>APME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662.9</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662.8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r>
      <w:tr>
        <w:trPr>
          <w:trHeight w:val="19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83.9</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260" w:type="dxa"/>
            <w:vAlign w:val="bottom"/>
          </w:tcPr>
          <w:p>
            <w:pPr>
              <w:spacing w:after="0"/>
              <w:rPr>
                <w:sz w:val="16"/>
                <w:szCs w:val="16"/>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5,206.7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5,667.3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r>
      <w:tr>
        <w:trPr>
          <w:trHeight w:val="20"/>
        </w:trPr>
        <w:tc>
          <w:tcPr>
            <w:tcW w:w="4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8"/>
        </w:trPr>
        <w:tc>
          <w:tcPr>
            <w:tcW w:w="4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Operating Unit Profit (Loss):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Americas: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-71.6%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-71.6%</w:t>
            </w: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Americas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4"/>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18.2</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-51.9%</w:t>
            </w:r>
          </w:p>
        </w:tc>
      </w:tr>
      <w:tr>
        <w:trPr>
          <w:trHeight w:val="19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Southern Europe:</w:t>
            </w:r>
          </w:p>
        </w:tc>
        <w:tc>
          <w:tcPr>
            <w:tcW w:w="18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France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24.8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Italy</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Other Southern Europe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26.3%</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260" w:type="dxa"/>
            <w:vAlign w:val="bottom"/>
          </w:tcPr>
          <w:p>
            <w:pPr>
              <w:ind w:left="80"/>
              <w:spacing w:after="0"/>
              <w:rPr>
                <w:sz w:val="20"/>
                <w:szCs w:val="20"/>
                <w:color w:val="auto"/>
              </w:rPr>
            </w:pPr>
            <w:r>
              <w:rPr>
                <w:rFonts w:ascii="Arial" w:cs="Arial" w:eastAsia="Arial" w:hAnsi="Arial"/>
                <w:sz w:val="16"/>
                <w:szCs w:val="16"/>
                <w:color w:val="auto"/>
              </w:rPr>
              <w:t>Northern Europe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39.2</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56.1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-23.9%</w:t>
            </w:r>
          </w:p>
        </w:tc>
      </w:tr>
      <w:tr>
        <w:trPr>
          <w:trHeight w:val="190"/>
        </w:trPr>
        <w:tc>
          <w:tcPr>
            <w:tcW w:w="4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APME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21.8</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r>
      <w:tr>
        <w:trPr>
          <w:trHeight w:val="190"/>
        </w:trPr>
        <w:tc>
          <w:tcPr>
            <w:tcW w:w="4260" w:type="dxa"/>
            <w:vAlign w:val="bottom"/>
          </w:tcPr>
          <w:p>
            <w:pPr>
              <w:ind w:left="80"/>
              <w:spacing w:after="0"/>
              <w:rPr>
                <w:sz w:val="20"/>
                <w:szCs w:val="20"/>
                <w:color w:val="auto"/>
              </w:rPr>
            </w:pPr>
            <w:r>
              <w:rPr>
                <w:rFonts w:ascii="Arial" w:cs="Arial" w:eastAsia="Arial" w:hAnsi="Arial"/>
                <w:sz w:val="16"/>
                <w:szCs w:val="16"/>
                <w:color w:val="auto"/>
              </w:rPr>
              <w:t>Right Management</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167.2</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Corporate expenses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(30.5)</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23.5</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94.4</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-30.5%</w:t>
            </w: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(11.3)</w:t>
            </w: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(11.8)</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139.0</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ind w:left="5" w:right="220" w:hanging="5"/>
        <w:spacing w:after="0" w:line="259" w:lineRule="auto"/>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$3.8 million and $3.2 million for the three months ended June 30, 2012 and 2011, respectively. These fees are primarily based on revenues generated by the franchise offices, which were $180.6 million and $163.2 million for the three months ended June 30, 2012 and 2011, respectively.</w:t>
      </w:r>
    </w:p>
    <w:p>
      <w:pPr>
        <w:spacing w:after="0" w:line="165" w:lineRule="exact"/>
        <w:rPr>
          <w:rFonts w:ascii="Arial" w:cs="Arial" w:eastAsia="Arial" w:hAnsi="Arial"/>
          <w:sz w:val="16"/>
          <w:szCs w:val="16"/>
          <w:color w:val="auto"/>
        </w:rPr>
      </w:pPr>
    </w:p>
    <w:p>
      <w:pPr>
        <w:ind w:left="225" w:hanging="225"/>
        <w:spacing w:after="0"/>
        <w:tabs>
          <w:tab w:leader="none" w:pos="22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2012</w:t>
            </w: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2011</w:t>
            </w:r>
          </w:p>
        </w:tc>
      </w:tr>
      <w:tr>
        <w:trPr>
          <w:trHeight w:val="24"/>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24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11.1</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(1.6)</w:t>
            </w: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 (gain)</w:t>
            </w:r>
          </w:p>
        </w:tc>
        <w:tc>
          <w:tcPr>
            <w:tcW w:w="1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0.5</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20"/>
              <w:spacing w:after="0"/>
              <w:rPr>
                <w:sz w:val="20"/>
                <w:szCs w:val="20"/>
                <w:color w:val="auto"/>
              </w:rPr>
            </w:pPr>
            <w:r>
              <w:rPr>
                <w:rFonts w:ascii="Arial" w:cs="Arial" w:eastAsia="Arial" w:hAnsi="Arial"/>
                <w:sz w:val="16"/>
                <w:szCs w:val="16"/>
                <w:color w:val="auto"/>
              </w:rPr>
              <w:t>(0.2)</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1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2.0</w:t>
            </w: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2.5</w:t>
            </w:r>
          </w:p>
        </w:tc>
      </w:tr>
      <w:tr>
        <w:trPr>
          <w:trHeight w:val="24"/>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0"/>
        </w:trPr>
        <w:tc>
          <w:tcPr>
            <w:tcW w:w="41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11.8</w:t>
            </w:r>
          </w:p>
        </w:tc>
      </w:tr>
      <w:tr>
        <w:trPr>
          <w:trHeight w:val="519"/>
        </w:trPr>
        <w:tc>
          <w:tcPr>
            <w:tcW w:w="4100" w:type="dxa"/>
            <w:vAlign w:val="bottom"/>
            <w:tcBorders>
              <w:top w:val="single" w:sz="8" w:color="CCEEFF"/>
              <w:bottom w:val="single" w:sz="8" w:color="808080"/>
            </w:tcBorders>
          </w:tcPr>
          <w:p>
            <w:pPr>
              <w:spacing w:after="0"/>
              <w:rPr>
                <w:sz w:val="24"/>
                <w:szCs w:val="24"/>
                <w:color w:val="auto"/>
              </w:rPr>
            </w:pPr>
          </w:p>
        </w:tc>
        <w:tc>
          <w:tcPr>
            <w:tcW w:w="19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548" w:right="219" w:bottom="1440" w:gutter="0" w:footer="0" w:header="0"/>
        </w:sectPr>
      </w:pPr>
    </w:p>
    <w:bookmarkStart w:id="7" w:name="page8"/>
    <w:bookmarkEnd w:id="7"/>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Results of Operations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 except per share data)</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6"/>
                <w:szCs w:val="16"/>
                <w:b w:val="1"/>
                <w:bCs w:val="1"/>
                <w:color w:val="auto"/>
                <w:w w:val="94"/>
              </w:rPr>
              <w:t>Six Months Ended June 30</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4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4" w:lineRule="exact"/>
              <w:rPr>
                <w:sz w:val="20"/>
                <w:szCs w:val="20"/>
                <w:color w:val="auto"/>
              </w:rPr>
            </w:pPr>
            <w:r>
              <w:rPr>
                <w:rFonts w:ascii="Arial" w:cs="Arial" w:eastAsia="Arial" w:hAnsi="Arial"/>
                <w:sz w:val="16"/>
                <w:szCs w:val="16"/>
                <w:b w:val="1"/>
                <w:bCs w:val="1"/>
                <w:color w:val="auto"/>
              </w:rPr>
              <w:t>Amount</w:t>
            </w:r>
          </w:p>
        </w:tc>
        <w:tc>
          <w:tcPr>
            <w:tcW w:w="1140" w:type="dxa"/>
            <w:vAlign w:val="bottom"/>
          </w:tcPr>
          <w:p>
            <w:pPr>
              <w:ind w:left="260"/>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4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4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10,303.1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10,739.7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Cost of services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8,594.0</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8,919.9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Gross profit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1,709.1</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1,819.8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1,520.9</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1,583.4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profit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188.2</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23.1</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22.9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before income taxes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165.1</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-16.5%</w:t>
            </w:r>
          </w:p>
        </w:tc>
      </w:tr>
      <w:tr>
        <w:trPr>
          <w:trHeight w:val="190"/>
        </w:trPr>
        <w:tc>
          <w:tcPr>
            <w:tcW w:w="41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83.9</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105.1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-20.2%</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41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earnings</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81.2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Arial" w:cs="Arial" w:eastAsia="Arial" w:hAnsi="Arial"/>
                <w:sz w:val="16"/>
                <w:szCs w:val="16"/>
                <w:color w:val="auto"/>
              </w:rPr>
              <w:t>Net earnings per share - basic</w:t>
            </w:r>
          </w:p>
        </w:tc>
        <w:tc>
          <w:tcPr>
            <w:tcW w:w="21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1.01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1.32</w:t>
            </w: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-23.5%</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4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earnings per share - diluted</w:t>
            </w:r>
          </w:p>
        </w:tc>
        <w:tc>
          <w:tcPr>
            <w:tcW w:w="21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1.01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1.30</w:t>
            </w: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-22.3%</w:t>
            </w:r>
          </w:p>
        </w:tc>
        <w:tc>
          <w:tcPr>
            <w:tcW w:w="128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-16.2%</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178"/>
        </w:trPr>
        <w:tc>
          <w:tcPr>
            <w:tcW w:w="4180" w:type="dxa"/>
            <w:vAlign w:val="bottom"/>
          </w:tcPr>
          <w:p>
            <w:pPr>
              <w:spacing w:after="0" w:line="178" w:lineRule="exact"/>
              <w:rPr>
                <w:sz w:val="20"/>
                <w:szCs w:val="20"/>
                <w:color w:val="auto"/>
              </w:rPr>
            </w:pPr>
            <w:r>
              <w:rPr>
                <w:rFonts w:ascii="Arial" w:cs="Arial" w:eastAsia="Arial" w:hAnsi="Arial"/>
                <w:sz w:val="16"/>
                <w:szCs w:val="16"/>
                <w:color w:val="auto"/>
              </w:rPr>
              <w:t>Weighted average shares - basic</w:t>
            </w: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80.1</w:t>
            </w:r>
          </w:p>
        </w:tc>
        <w:tc>
          <w:tcPr>
            <w:tcW w:w="200" w:type="dxa"/>
            <w:vAlign w:val="bottom"/>
          </w:tcPr>
          <w:p>
            <w:pPr>
              <w:spacing w:after="0"/>
              <w:rPr>
                <w:sz w:val="15"/>
                <w:szCs w:val="15"/>
                <w:color w:val="auto"/>
              </w:rPr>
            </w:pPr>
          </w:p>
        </w:tc>
        <w:tc>
          <w:tcPr>
            <w:tcW w:w="11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82.0</w:t>
            </w:r>
          </w:p>
        </w:tc>
        <w:tc>
          <w:tcPr>
            <w:tcW w:w="138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-2.2%</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8"/>
        </w:trPr>
        <w:tc>
          <w:tcPr>
            <w:tcW w:w="4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Weighted average shares - diluted</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80.8</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83.7</w:t>
            </w:r>
          </w:p>
        </w:tc>
        <w:tc>
          <w:tcPr>
            <w:tcW w:w="13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-3.5%</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ind w:left="5" w:right="320" w:hanging="5"/>
        <w:spacing w:after="0" w:line="259"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$11.5 million and $11.6 million for the six months ended June 30, 2012 and 2011, respectively. These fees are primarily based on revenues generated by the franchise offices, which were $523.9 million and $524.1 million for the six months ended June 30,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821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334" w:right="219" w:bottom="1440" w:gutter="0" w:footer="0" w:header="0"/>
        </w:sectPr>
      </w:pPr>
    </w:p>
    <w:bookmarkStart w:id="8" w:name="page9"/>
    <w:bookmarkEnd w:id="8"/>
    <w:p>
      <w:pPr>
        <w:jc w:val="center"/>
        <w:ind w:right="135"/>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Operating Unit Results</w:t>
      </w:r>
    </w:p>
    <w:p>
      <w:pPr>
        <w:spacing w:after="0" w:line="3" w:lineRule="exact"/>
        <w:rPr>
          <w:sz w:val="20"/>
          <w:szCs w:val="20"/>
          <w:color w:val="auto"/>
        </w:rPr>
      </w:pPr>
    </w:p>
    <w:p>
      <w:pPr>
        <w:jc w:val="center"/>
        <w:ind w:right="135"/>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6"/>
                <w:szCs w:val="16"/>
                <w:b w:val="1"/>
                <w:bCs w:val="1"/>
                <w:color w:val="auto"/>
                <w:w w:val="94"/>
              </w:rPr>
              <w:t>Six Months Ended June 30</w:t>
            </w: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4"/>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b w:val="1"/>
                <w:bCs w:val="1"/>
                <w:color w:val="auto"/>
              </w:rPr>
              <w:t>% Variance</w:t>
            </w:r>
          </w:p>
        </w:tc>
        <w:tc>
          <w:tcPr>
            <w:tcW w:w="140" w:type="dxa"/>
            <w:vAlign w:val="bottom"/>
          </w:tcPr>
          <w:p>
            <w:pPr>
              <w:spacing w:after="0"/>
              <w:rPr>
                <w:sz w:val="16"/>
                <w:szCs w:val="16"/>
                <w:color w:val="auto"/>
              </w:rPr>
            </w:pPr>
          </w:p>
        </w:tc>
      </w:tr>
      <w:tr>
        <w:trPr>
          <w:trHeight w:val="174"/>
        </w:trPr>
        <w:tc>
          <w:tcPr>
            <w:tcW w:w="42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4" w:lineRule="exact"/>
              <w:rPr>
                <w:sz w:val="20"/>
                <w:szCs w:val="20"/>
                <w:color w:val="auto"/>
              </w:rPr>
            </w:pPr>
            <w:r>
              <w:rPr>
                <w:rFonts w:ascii="Arial" w:cs="Arial" w:eastAsia="Arial" w:hAnsi="Arial"/>
                <w:sz w:val="16"/>
                <w:szCs w:val="16"/>
                <w:b w:val="1"/>
                <w:bCs w:val="1"/>
                <w:color w:val="auto"/>
                <w:w w:val="92"/>
              </w:rPr>
              <w:t>Amount</w:t>
            </w:r>
          </w:p>
        </w:tc>
        <w:tc>
          <w:tcPr>
            <w:tcW w:w="1140" w:type="dxa"/>
            <w:vAlign w:val="bottom"/>
          </w:tcPr>
          <w:p>
            <w:pPr>
              <w:jc w:val="right"/>
              <w:ind w:right="181"/>
              <w:spacing w:after="0" w:line="174" w:lineRule="exact"/>
              <w:rPr>
                <w:sz w:val="20"/>
                <w:szCs w:val="20"/>
                <w:color w:val="auto"/>
              </w:rPr>
            </w:pPr>
            <w:r>
              <w:rPr>
                <w:rFonts w:ascii="Arial" w:cs="Arial" w:eastAsia="Arial" w:hAnsi="Arial"/>
                <w:sz w:val="16"/>
                <w:szCs w:val="16"/>
                <w:b w:val="1"/>
                <w:bCs w:val="1"/>
                <w:color w:val="auto"/>
              </w:rPr>
              <w:t>Constant</w:t>
            </w:r>
          </w:p>
        </w:tc>
        <w:tc>
          <w:tcPr>
            <w:tcW w:w="140" w:type="dxa"/>
            <w:vAlign w:val="bottom"/>
          </w:tcPr>
          <w:p>
            <w:pPr>
              <w:spacing w:after="0"/>
              <w:rPr>
                <w:sz w:val="15"/>
                <w:szCs w:val="15"/>
                <w:color w:val="auto"/>
              </w:rPr>
            </w:pPr>
          </w:p>
        </w:tc>
      </w:tr>
      <w:tr>
        <w:trPr>
          <w:trHeight w:val="211"/>
        </w:trPr>
        <w:tc>
          <w:tcPr>
            <w:tcW w:w="4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Currency</w:t>
            </w:r>
          </w:p>
        </w:tc>
        <w:tc>
          <w:tcPr>
            <w:tcW w:w="140" w:type="dxa"/>
            <w:vAlign w:val="bottom"/>
          </w:tcPr>
          <w:p>
            <w:pPr>
              <w:spacing w:after="0"/>
              <w:rPr>
                <w:sz w:val="18"/>
                <w:szCs w:val="18"/>
                <w:color w:val="auto"/>
              </w:rPr>
            </w:pPr>
          </w:p>
        </w:tc>
      </w:tr>
      <w:tr>
        <w:trPr>
          <w:trHeight w:val="190"/>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ind w:left="60"/>
              <w:spacing w:after="0"/>
              <w:rPr>
                <w:sz w:val="20"/>
                <w:szCs w:val="20"/>
                <w:color w:val="auto"/>
              </w:rPr>
            </w:pPr>
            <w:r>
              <w:rPr>
                <w:rFonts w:ascii="Arial" w:cs="Arial" w:eastAsia="Arial" w:hAnsi="Arial"/>
                <w:sz w:val="16"/>
                <w:szCs w:val="16"/>
                <w:color w:val="auto"/>
              </w:rPr>
              <w:t>Americas: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1,499.0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791.7</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741.2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14.0%</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4"/>
        </w:trPr>
        <w:tc>
          <w:tcPr>
            <w:tcW w:w="4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2,290.7</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2,283.7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190"/>
        </w:trPr>
        <w:tc>
          <w:tcPr>
            <w:tcW w:w="426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18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2,719.4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2,997.8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Italy</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541.5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629.5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385.3</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3,646.2</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4,001.0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2,859.8</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3,022.9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r>
      <w:tr>
        <w:trPr>
          <w:trHeight w:val="190"/>
        </w:trPr>
        <w:tc>
          <w:tcPr>
            <w:tcW w:w="4260" w:type="dxa"/>
            <w:vAlign w:val="bottom"/>
          </w:tcPr>
          <w:p>
            <w:pPr>
              <w:ind w:left="60"/>
              <w:spacing w:after="0"/>
              <w:rPr>
                <w:sz w:val="20"/>
                <w:szCs w:val="20"/>
                <w:color w:val="auto"/>
              </w:rPr>
            </w:pPr>
            <w:r>
              <w:rPr>
                <w:rFonts w:ascii="Arial" w:cs="Arial" w:eastAsia="Arial" w:hAnsi="Arial"/>
                <w:sz w:val="16"/>
                <w:szCs w:val="16"/>
                <w:color w:val="auto"/>
              </w:rPr>
              <w:t>APME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1,342.9</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1,265.7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r>
      <w:tr>
        <w:trPr>
          <w:trHeight w:val="19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163.5</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260" w:type="dxa"/>
            <w:vAlign w:val="bottom"/>
          </w:tcPr>
          <w:p>
            <w:pPr>
              <w:spacing w:after="0"/>
              <w:rPr>
                <w:sz w:val="16"/>
                <w:szCs w:val="16"/>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10,303.1</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10,739.7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r>
      <w:tr>
        <w:trPr>
          <w:trHeight w:val="20"/>
        </w:trPr>
        <w:tc>
          <w:tcPr>
            <w:tcW w:w="4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8"/>
        </w:trPr>
        <w:tc>
          <w:tcPr>
            <w:tcW w:w="42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Operating Unit Profit (Loss):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Americas: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14.6</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35.9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-59.3%</w:t>
            </w: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Americas</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25.8</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4"/>
        </w:trPr>
        <w:tc>
          <w:tcPr>
            <w:tcW w:w="42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-31.1%</w:t>
            </w:r>
          </w:p>
        </w:tc>
      </w:tr>
      <w:tr>
        <w:trPr>
          <w:trHeight w:val="190"/>
        </w:trPr>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Southern Europe:</w:t>
            </w:r>
          </w:p>
        </w:tc>
        <w:tc>
          <w:tcPr>
            <w:tcW w:w="18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France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36.8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-42.9%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-36.5%</w:t>
            </w:r>
          </w:p>
        </w:tc>
      </w:tr>
      <w:tr>
        <w:trPr>
          <w:trHeight w:val="190"/>
        </w:trPr>
        <w:tc>
          <w:tcPr>
            <w:tcW w:w="4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Italy</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190"/>
        </w:trPr>
        <w:tc>
          <w:tcPr>
            <w:tcW w:w="4260" w:type="dxa"/>
            <w:vAlign w:val="bottom"/>
          </w:tcPr>
          <w:p>
            <w:pPr>
              <w:ind w:left="240"/>
              <w:spacing w:after="0"/>
              <w:rPr>
                <w:sz w:val="20"/>
                <w:szCs w:val="20"/>
                <w:color w:val="auto"/>
              </w:rPr>
            </w:pPr>
            <w:r>
              <w:rPr>
                <w:rFonts w:ascii="Arial" w:cs="Arial" w:eastAsia="Arial" w:hAnsi="Arial"/>
                <w:sz w:val="16"/>
                <w:szCs w:val="16"/>
                <w:color w:val="auto"/>
              </w:rPr>
              <w:t>Other Southern Europe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44.0%</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-22.3%</w:t>
            </w:r>
          </w:p>
        </w:tc>
      </w:tr>
      <w:tr>
        <w:trPr>
          <w:trHeight w:val="24"/>
        </w:trPr>
        <w:tc>
          <w:tcPr>
            <w:tcW w:w="4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90"/>
        </w:trPr>
        <w:tc>
          <w:tcPr>
            <w:tcW w:w="4260" w:type="dxa"/>
            <w:vAlign w:val="bottom"/>
          </w:tcPr>
          <w:p>
            <w:pPr>
              <w:ind w:left="80"/>
              <w:spacing w:after="0"/>
              <w:rPr>
                <w:sz w:val="20"/>
                <w:szCs w:val="20"/>
                <w:color w:val="auto"/>
              </w:rPr>
            </w:pPr>
            <w:r>
              <w:rPr>
                <w:rFonts w:ascii="Arial" w:cs="Arial" w:eastAsia="Arial" w:hAnsi="Arial"/>
                <w:sz w:val="16"/>
                <w:szCs w:val="16"/>
                <w:color w:val="auto"/>
              </w:rPr>
              <w:t>Northern Europe</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83.1</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98.0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-10.1%</w:t>
            </w:r>
          </w:p>
        </w:tc>
      </w:tr>
      <w:tr>
        <w:trPr>
          <w:trHeight w:val="190"/>
        </w:trPr>
        <w:tc>
          <w:tcPr>
            <w:tcW w:w="4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APME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r>
      <w:tr>
        <w:trPr>
          <w:trHeight w:val="190"/>
        </w:trPr>
        <w:tc>
          <w:tcPr>
            <w:tcW w:w="4260" w:type="dxa"/>
            <w:vAlign w:val="bottom"/>
          </w:tcPr>
          <w:p>
            <w:pPr>
              <w:ind w:left="80"/>
              <w:spacing w:after="0"/>
              <w:rPr>
                <w:sz w:val="20"/>
                <w:szCs w:val="20"/>
                <w:color w:val="auto"/>
              </w:rPr>
            </w:pPr>
            <w:r>
              <w:rPr>
                <w:rFonts w:ascii="Arial" w:cs="Arial" w:eastAsia="Arial" w:hAnsi="Arial"/>
                <w:sz w:val="16"/>
                <w:szCs w:val="16"/>
                <w:color w:val="auto"/>
              </w:rPr>
              <w:t>Right Management</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6.1</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219.1</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277.5</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Corporate expenses</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(49.2)</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(62.5)</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0"/>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(18.2)</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(19.0)</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36.5</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40.4</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188.2</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r>
      <w:tr>
        <w:trPr>
          <w:trHeight w:val="190"/>
        </w:trPr>
        <w:tc>
          <w:tcPr>
            <w:tcW w:w="426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(23.1)</w:t>
            </w: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4"/>
        </w:trPr>
        <w:tc>
          <w:tcPr>
            <w:tcW w:w="4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213.5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
        </w:trPr>
        <w:tc>
          <w:tcPr>
            <w:tcW w:w="42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8" w:lineRule="exact"/>
        <w:rPr>
          <w:sz w:val="20"/>
          <w:szCs w:val="20"/>
          <w:color w:val="auto"/>
        </w:rPr>
      </w:pPr>
    </w:p>
    <w:p>
      <w:pPr>
        <w:ind w:left="5" w:right="320" w:hanging="5"/>
        <w:spacing w:after="0" w:line="259"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$7.0 million and $5.9 million for the six months ended June 30, 2012 and 2011. These fees are primarily based on revenues generated by the franchise offices, which were $345.0 million and $311.7 million for the six months ended June 30, 2012 and 2011, respectively.</w:t>
      </w:r>
    </w:p>
    <w:p>
      <w:pPr>
        <w:spacing w:after="0" w:line="165" w:lineRule="exact"/>
        <w:rPr>
          <w:rFonts w:ascii="Arial" w:cs="Arial" w:eastAsia="Arial" w:hAnsi="Arial"/>
          <w:sz w:val="16"/>
          <w:szCs w:val="16"/>
          <w:color w:val="auto"/>
        </w:rPr>
      </w:pPr>
    </w:p>
    <w:p>
      <w:pPr>
        <w:ind w:left="265" w:hanging="265"/>
        <w:spacing w:after="0"/>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17" w:lineRule="exact"/>
        <w:rPr>
          <w:sz w:val="20"/>
          <w:szCs w:val="20"/>
          <w:color w:val="auto"/>
        </w:rPr>
      </w:pPr>
    </w:p>
    <w:tbl>
      <w:tblPr>
        <w:tblLayout w:type="fixed"/>
        <w:tblInd w:w="5"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2012</w:t>
            </w: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2011</w:t>
            </w:r>
          </w:p>
        </w:tc>
      </w:tr>
      <w:tr>
        <w:trPr>
          <w:trHeight w:val="24"/>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24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20.8</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21.3</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(3.0)</w:t>
            </w:r>
          </w:p>
        </w:tc>
      </w:tr>
      <w:tr>
        <w:trPr>
          <w:trHeight w:val="190"/>
        </w:trPr>
        <w:tc>
          <w:tcPr>
            <w:tcW w:w="4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1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0.3</w:t>
            </w:r>
          </w:p>
        </w:tc>
      </w:tr>
      <w:tr>
        <w:trPr>
          <w:trHeight w:val="190"/>
        </w:trPr>
        <w:tc>
          <w:tcPr>
            <w:tcW w:w="410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1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5.2</w:t>
            </w: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4.3</w:t>
            </w:r>
          </w:p>
        </w:tc>
      </w:tr>
      <w:tr>
        <w:trPr>
          <w:trHeight w:val="24"/>
        </w:trPr>
        <w:tc>
          <w:tcPr>
            <w:tcW w:w="4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0"/>
        </w:trPr>
        <w:tc>
          <w:tcPr>
            <w:tcW w:w="41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23.1</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22.9</w:t>
            </w:r>
          </w:p>
        </w:tc>
      </w:tr>
      <w:tr>
        <w:trPr>
          <w:trHeight w:val="305"/>
        </w:trPr>
        <w:tc>
          <w:tcPr>
            <w:tcW w:w="4100" w:type="dxa"/>
            <w:vAlign w:val="bottom"/>
            <w:tcBorders>
              <w:top w:val="single" w:sz="8" w:color="CCEEFF"/>
              <w:bottom w:val="single" w:sz="8" w:color="808080"/>
            </w:tcBorders>
          </w:tcPr>
          <w:p>
            <w:pPr>
              <w:spacing w:after="0"/>
              <w:rPr>
                <w:sz w:val="24"/>
                <w:szCs w:val="24"/>
                <w:color w:val="auto"/>
              </w:rPr>
            </w:pPr>
          </w:p>
        </w:tc>
        <w:tc>
          <w:tcPr>
            <w:tcW w:w="19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548"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 30</w:t>
            </w:r>
          </w:p>
        </w:tc>
        <w:tc>
          <w:tcPr>
            <w:tcW w:w="280" w:type="dxa"/>
            <w:vAlign w:val="bottom"/>
          </w:tcPr>
          <w:p>
            <w:pPr>
              <w:spacing w:after="0"/>
              <w:rPr>
                <w:sz w:val="16"/>
                <w:szCs w:val="16"/>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89"/>
              </w:rPr>
              <w:t>Dec. 31</w:t>
            </w:r>
          </w:p>
        </w:tc>
      </w:tr>
      <w:tr>
        <w:trPr>
          <w:trHeight w:val="211"/>
        </w:trPr>
        <w:tc>
          <w:tcPr>
            <w:tcW w:w="8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r>
      <w:tr>
        <w:trPr>
          <w:trHeight w:val="190"/>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454.6</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580.5</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4,266.2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4,181.3</w:t>
            </w: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190.0</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176.3</w:t>
            </w: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60.9</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52.4</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4,971.7</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4,990.5</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1,339.6</w:t>
            </w:r>
          </w:p>
        </w:tc>
        <w:tc>
          <w:tcPr>
            <w:tcW w:w="120" w:type="dxa"/>
            <w:vAlign w:val="bottom"/>
            <w:shd w:val="clear" w:color="auto" w:fill="CCEEFF"/>
          </w:tcPr>
          <w:p>
            <w:pPr>
              <w:spacing w:after="0"/>
              <w:rPr>
                <w:sz w:val="16"/>
                <w:szCs w:val="16"/>
                <w:color w:val="auto"/>
              </w:rPr>
            </w:pP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400.7</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395.1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1,760.8</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1,734.7</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692.5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685.6</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511.1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174.5</w:t>
            </w:r>
          </w:p>
        </w:tc>
      </w:tr>
      <w:tr>
        <w:trPr>
          <w:trHeight w:val="190"/>
        </w:trPr>
        <w:tc>
          <w:tcPr>
            <w:tcW w:w="882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6,907.5</w:t>
            </w: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6,899.7</w:t>
            </w:r>
          </w:p>
        </w:tc>
        <w:tc>
          <w:tcPr>
            <w:tcW w:w="120" w:type="dxa"/>
            <w:vAlign w:val="bottom"/>
            <w:tcBorders>
              <w:top w:val="single" w:sz="8" w:color="CCEEFF"/>
            </w:tcBorders>
          </w:tcPr>
          <w:p>
            <w:pPr>
              <w:spacing w:after="0"/>
              <w:rPr>
                <w:sz w:val="16"/>
                <w:szCs w:val="16"/>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882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1,370.6</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189.7</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221.9</w:t>
            </w: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453.6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520.8</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654.5</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712.4</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478.4</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502.3</w:t>
            </w:r>
          </w:p>
        </w:tc>
      </w:tr>
      <w:tr>
        <w:trPr>
          <w:trHeight w:val="194"/>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308.8</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434.2</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3,568.0</w:t>
            </w:r>
          </w:p>
        </w:tc>
        <w:tc>
          <w:tcPr>
            <w:tcW w:w="2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3,762.2</w:t>
            </w: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446.3</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266.0</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388.1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654.1</w:t>
            </w:r>
          </w:p>
        </w:tc>
      </w:tr>
      <w:tr>
        <w:trPr>
          <w:trHeight w:val="190"/>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2,857.7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2,839.9</w:t>
            </w: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1,018.6</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971.7</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35.4</w:t>
            </w: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35.3</w:t>
            </w:r>
          </w:p>
        </w:tc>
      </w:tr>
      <w:tr>
        <w:trPr>
          <w:trHeight w:val="194"/>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(1,401.9)</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(1,364.6)</w:t>
            </w:r>
          </w:p>
        </w:tc>
      </w:tr>
      <w:tr>
        <w:trPr>
          <w:trHeight w:val="194"/>
        </w:trPr>
        <w:tc>
          <w:tcPr>
            <w:tcW w:w="8820" w:type="dxa"/>
            <w:vAlign w:val="bottom"/>
            <w:tcBorders>
              <w:top w:val="single" w:sz="8" w:color="CCEEFF"/>
            </w:tcBorders>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2,510.9</w:t>
            </w: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2,483.4</w:t>
            </w:r>
          </w:p>
        </w:tc>
        <w:tc>
          <w:tcPr>
            <w:tcW w:w="120" w:type="dxa"/>
            <w:vAlign w:val="bottom"/>
            <w:tcBorders>
              <w:top w:val="single" w:sz="8" w:color="CCEEFF"/>
            </w:tcBorders>
          </w:tcPr>
          <w:p>
            <w:pPr>
              <w:spacing w:after="0"/>
              <w:rPr>
                <w:sz w:val="16"/>
                <w:szCs w:val="16"/>
                <w:color w:val="auto"/>
              </w:rPr>
            </w:pPr>
          </w:p>
        </w:tc>
      </w:tr>
      <w:tr>
        <w:trPr>
          <w:trHeight w:val="230"/>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519"/>
        </w:trPr>
        <w:tc>
          <w:tcPr>
            <w:tcW w:w="88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6"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2100" w:type="dxa"/>
            <w:vAlign w:val="bottom"/>
            <w:gridSpan w:val="4"/>
          </w:tcPr>
          <w:p>
            <w:pPr>
              <w:jc w:val="center"/>
              <w:ind w:left="324"/>
              <w:spacing w:after="0"/>
              <w:rPr>
                <w:sz w:val="20"/>
                <w:szCs w:val="20"/>
                <w:color w:val="auto"/>
              </w:rPr>
            </w:pPr>
            <w:r>
              <w:rPr>
                <w:rFonts w:ascii="Arial" w:cs="Arial" w:eastAsia="Arial" w:hAnsi="Arial"/>
                <w:sz w:val="16"/>
                <w:szCs w:val="16"/>
                <w:b w:val="1"/>
                <w:bCs w:val="1"/>
                <w:color w:val="auto"/>
                <w:w w:val="90"/>
              </w:rPr>
              <w:t>Six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1"/>
        </w:trPr>
        <w:tc>
          <w:tcPr>
            <w:tcW w:w="88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265"/>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88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3"/>
          </w:tcPr>
          <w:p>
            <w:pPr>
              <w:jc w:val="center"/>
              <w:ind w:right="265"/>
              <w:spacing w:after="0"/>
              <w:rPr>
                <w:sz w:val="20"/>
                <w:szCs w:val="20"/>
                <w:color w:val="auto"/>
              </w:rPr>
            </w:pPr>
            <w:r>
              <w:rPr>
                <w:rFonts w:ascii="Arial" w:cs="Arial" w:eastAsia="Arial" w:hAnsi="Arial"/>
                <w:sz w:val="16"/>
                <w:szCs w:val="16"/>
                <w:color w:val="auto"/>
                <w:w w:val="93"/>
              </w:rPr>
              <w:t>(Unaudited)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81.2</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108.4</w:t>
            </w:r>
          </w:p>
        </w:tc>
      </w:tr>
      <w:tr>
        <w:trPr>
          <w:trHeight w:val="190"/>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49.2</w:t>
            </w: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52.1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w:t>
            </w: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14.4</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compensation</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(127.7)</w:t>
            </w:r>
          </w:p>
        </w:tc>
        <w:tc>
          <w:tcPr>
            <w:tcW w:w="72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(425.1)</w:t>
            </w:r>
          </w:p>
        </w:tc>
      </w:tr>
      <w:tr>
        <w:trPr>
          <w:trHeight w:val="190"/>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(17.1)</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(51.4)</w:t>
            </w:r>
          </w:p>
        </w:tc>
      </w:tr>
      <w:tr>
        <w:trPr>
          <w:trHeight w:val="190"/>
        </w:trPr>
        <w:tc>
          <w:tcPr>
            <w:tcW w:w="8820" w:type="dxa"/>
            <w:vAlign w:val="bottom"/>
          </w:tcPr>
          <w:p>
            <w:pPr>
              <w:ind w:left="24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(46.4)</w:t>
            </w: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87.0</w:t>
            </w:r>
          </w:p>
        </w:tc>
      </w:tr>
      <w:tr>
        <w:trPr>
          <w:trHeight w:val="24"/>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8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used in operating activities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(39.6)</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(192.1)</w:t>
            </w:r>
          </w:p>
        </w:tc>
      </w:tr>
      <w:tr>
        <w:trPr>
          <w:trHeight w:val="190"/>
        </w:trPr>
        <w:tc>
          <w:tcPr>
            <w:tcW w:w="882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(33.8)</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(27.6)</w:t>
            </w:r>
          </w:p>
        </w:tc>
      </w:tr>
      <w:tr>
        <w:trPr>
          <w:trHeight w:val="190"/>
        </w:trPr>
        <w:tc>
          <w:tcPr>
            <w:tcW w:w="8820" w:type="dxa"/>
            <w:vAlign w:val="bottom"/>
          </w:tcPr>
          <w:p>
            <w:pPr>
              <w:ind w:left="6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(34.0)</w:t>
            </w:r>
          </w:p>
        </w:tc>
        <w:tc>
          <w:tcPr>
            <w:tcW w:w="72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(15.2)</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r>
      <w:tr>
        <w:trPr>
          <w:trHeight w:val="24"/>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4"/>
        </w:trPr>
        <w:tc>
          <w:tcPr>
            <w:tcW w:w="8820" w:type="dxa"/>
            <w:vAlign w:val="bottom"/>
          </w:tcPr>
          <w:p>
            <w:pPr>
              <w:ind w:left="48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(66.9)</w:t>
            </w:r>
          </w:p>
        </w:tc>
        <w:tc>
          <w:tcPr>
            <w:tcW w:w="72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(40.0)</w:t>
            </w: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4.6</w:t>
            </w: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9"/>
              </w:rPr>
              <w:t>751.6</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w w:val="86"/>
              </w:rPr>
              <w:t>(700.6)</w:t>
            </w:r>
          </w:p>
        </w:tc>
        <w:tc>
          <w:tcPr>
            <w:tcW w:w="72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(0.1)</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(4.8)</w:t>
            </w: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0"/>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(32.6)</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w:t>
            </w:r>
          </w:p>
        </w:tc>
      </w:tr>
      <w:tr>
        <w:trPr>
          <w:trHeight w:val="190"/>
        </w:trPr>
        <w:tc>
          <w:tcPr>
            <w:tcW w:w="8820" w:type="dxa"/>
            <w:vAlign w:val="bottom"/>
          </w:tcPr>
          <w:p>
            <w:pPr>
              <w:ind w:left="8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(34.3)</w:t>
            </w:r>
          </w:p>
        </w:tc>
        <w:tc>
          <w:tcPr>
            <w:tcW w:w="72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(32.8)</w:t>
            </w:r>
          </w:p>
        </w:tc>
      </w:tr>
      <w:tr>
        <w:trPr>
          <w:trHeight w:val="24"/>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8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w:t>
            </w:r>
          </w:p>
        </w:tc>
      </w:tr>
      <w:tr>
        <w:trPr>
          <w:trHeight w:val="24"/>
        </w:trPr>
        <w:tc>
          <w:tcPr>
            <w:tcW w:w="88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0"/>
        </w:trPr>
        <w:tc>
          <w:tcPr>
            <w:tcW w:w="88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(7.2)</w:t>
            </w: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31.3</w:t>
            </w:r>
          </w:p>
        </w:tc>
      </w:tr>
      <w:tr>
        <w:trPr>
          <w:trHeight w:val="24"/>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0"/>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6"/>
              </w:rPr>
              <w:t>(125.9)</w:t>
            </w: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(229.1)</w:t>
            </w:r>
          </w:p>
        </w:tc>
      </w:tr>
      <w:tr>
        <w:trPr>
          <w:trHeight w:val="190"/>
        </w:trPr>
        <w:tc>
          <w:tcPr>
            <w:tcW w:w="88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580.5</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772.6</w:t>
            </w:r>
          </w:p>
        </w:tc>
      </w:tr>
      <w:tr>
        <w:trPr>
          <w:trHeight w:val="24"/>
        </w:trPr>
        <w:tc>
          <w:tcPr>
            <w:tcW w:w="8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454.6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543.5</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40"/>
          </w:cols>
          <w:pgMar w:left="240" w:top="548"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284480</wp:posOffset>
            </wp:positionV>
            <wp:extent cx="7247890" cy="543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4"/>
          <w:szCs w:val="44"/>
          <w:color w:val="466EA5"/>
        </w:rPr>
        <w:t>ManpowerGroup</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color w:val="466EA5"/>
        </w:rPr>
        <w:t>2</w:t>
      </w:r>
      <w:r>
        <w:rPr>
          <w:rFonts w:ascii="Arial" w:cs="Arial" w:eastAsia="Arial" w:hAnsi="Arial"/>
          <w:sz w:val="39"/>
          <w:szCs w:val="39"/>
          <w:color w:val="466EA5"/>
          <w:vertAlign w:val="superscript"/>
        </w:rPr>
        <w:t>nd</w:t>
      </w:r>
      <w:r>
        <w:rPr>
          <w:rFonts w:ascii="Arial" w:cs="Arial" w:eastAsia="Arial" w:hAnsi="Arial"/>
          <w:sz w:val="29"/>
          <w:szCs w:val="29"/>
          <w:color w:val="466EA5"/>
        </w:rPr>
        <w:t xml:space="preserve"> Quarter</w:t>
      </w:r>
    </w:p>
    <w:p>
      <w:pPr>
        <w:spacing w:after="0"/>
        <w:rPr>
          <w:sz w:val="20"/>
          <w:szCs w:val="20"/>
          <w:color w:val="auto"/>
        </w:rPr>
      </w:pPr>
      <w:r>
        <w:rPr>
          <w:rFonts w:ascii="Arial" w:cs="Arial" w:eastAsia="Arial" w:hAnsi="Arial"/>
          <w:sz w:val="29"/>
          <w:szCs w:val="29"/>
          <w:color w:val="466EA5"/>
        </w:rPr>
        <w:t>July 20,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1021715</wp:posOffset>
            </wp:positionV>
            <wp:extent cx="726821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560"/>
          </w:cols>
          <w:pgMar w:left="1120" w:top="116" w:right="219" w:bottom="1440" w:gutter="0" w:footer="0" w:header="0"/>
        </w:sectPr>
      </w:pPr>
    </w:p>
    <w:bookmarkStart w:id="12" w:name="page13"/>
    <w:bookmarkEnd w:id="12"/>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48"/>
          <w:szCs w:val="48"/>
          <w:color w:val="5F81AA"/>
        </w:rPr>
        <w:t>Forward-Looking Statement</w:t>
      </w:r>
    </w:p>
    <w:p>
      <w:pPr>
        <w:spacing w:after="0" w:line="138" w:lineRule="exact"/>
        <w:rPr>
          <w:sz w:val="20"/>
          <w:szCs w:val="20"/>
          <w:color w:val="auto"/>
        </w:rPr>
      </w:pPr>
    </w:p>
    <w:p>
      <w:pPr>
        <w:ind w:left="100" w:right="3180"/>
        <w:spacing w:after="0" w:line="249" w:lineRule="auto"/>
        <w:rPr>
          <w:sz w:val="20"/>
          <w:szCs w:val="20"/>
          <w:color w:val="auto"/>
        </w:rPr>
      </w:pPr>
      <w:r>
        <w:rPr>
          <w:rFonts w:ascii="Arial" w:cs="Arial" w:eastAsia="Arial" w:hAnsi="Arial"/>
          <w:sz w:val="25"/>
          <w:szCs w:val="25"/>
          <w:color w:val="282A32"/>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2011,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2280285</wp:posOffset>
            </wp:positionV>
            <wp:extent cx="726821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20"/>
          </w:cols>
          <w:pgMar w:left="820" w:top="516" w:right="959" w:bottom="1440" w:gutter="0" w:footer="0" w:header="0"/>
        </w:sectPr>
      </w:pPr>
    </w:p>
    <w:bookmarkStart w:id="13" w:name="page14"/>
    <w:bookmarkEnd w:id="13"/>
    <w:p>
      <w:pPr>
        <w:ind w:left="580"/>
        <w:spacing w:after="0"/>
        <w:tabs>
          <w:tab w:leader="none" w:pos="960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397" w:lineRule="exact"/>
        <w:rPr>
          <w:sz w:val="20"/>
          <w:szCs w:val="20"/>
          <w:color w:val="auto"/>
        </w:rPr>
      </w:pPr>
    </w:p>
    <w:p>
      <w:pPr>
        <w:ind w:left="480"/>
        <w:spacing w:after="0"/>
        <w:rPr>
          <w:sz w:val="20"/>
          <w:szCs w:val="20"/>
          <w:color w:val="auto"/>
        </w:rPr>
      </w:pPr>
      <w:r>
        <w:rPr>
          <w:rFonts w:ascii="Arial" w:cs="Arial" w:eastAsia="Arial" w:hAnsi="Arial"/>
          <w:sz w:val="51"/>
          <w:szCs w:val="51"/>
          <w:color w:val="5F81AA"/>
        </w:rPr>
        <w:t>Consolidated Financial Highlights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760" w:type="dxa"/>
            <w:vAlign w:val="bottom"/>
          </w:tcPr>
          <w:p>
            <w:pPr>
              <w:spacing w:after="0"/>
              <w:rPr>
                <w:sz w:val="3"/>
                <w:szCs w:val="3"/>
                <w:color w:val="auto"/>
              </w:rPr>
            </w:pPr>
          </w:p>
        </w:tc>
        <w:tc>
          <w:tcPr>
            <w:tcW w:w="202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020" w:type="dxa"/>
            <w:vAlign w:val="bottom"/>
            <w:vMerge w:val="restart"/>
          </w:tcPr>
          <w:p>
            <w:pPr>
              <w:ind w:left="140"/>
              <w:spacing w:after="0"/>
              <w:rPr>
                <w:sz w:val="20"/>
                <w:szCs w:val="20"/>
                <w:color w:val="auto"/>
              </w:rPr>
            </w:pPr>
            <w:r>
              <w:rPr>
                <w:rFonts w:ascii="Arial" w:cs="Arial" w:eastAsia="Arial" w:hAnsi="Arial"/>
                <w:sz w:val="25"/>
                <w:szCs w:val="25"/>
                <w:b w:val="1"/>
                <w:bCs w:val="1"/>
                <w:color w:val="282A32"/>
              </w:rPr>
              <w:t>Excluding Non</w:t>
            </w:r>
          </w:p>
        </w:tc>
        <w:tc>
          <w:tcPr>
            <w:tcW w:w="40" w:type="dxa"/>
            <w:vAlign w:val="bottom"/>
          </w:tcPr>
          <w:p>
            <w:pPr>
              <w:spacing w:after="0"/>
              <w:rPr>
                <w:sz w:val="3"/>
                <w:szCs w:val="3"/>
                <w:color w:val="auto"/>
              </w:rPr>
            </w:pPr>
          </w:p>
        </w:tc>
        <w:tc>
          <w:tcPr>
            <w:tcW w:w="5700" w:type="dxa"/>
            <w:vAlign w:val="bottom"/>
            <w:vMerge w:val="restart"/>
          </w:tcPr>
          <w:p>
            <w:pPr>
              <w:ind w:left="340"/>
              <w:spacing w:after="0"/>
              <w:rPr>
                <w:sz w:val="20"/>
                <w:szCs w:val="20"/>
                <w:color w:val="auto"/>
              </w:rPr>
            </w:pPr>
            <w:r>
              <w:rPr>
                <w:rFonts w:ascii="Arial" w:cs="Arial" w:eastAsia="Arial" w:hAnsi="Arial"/>
                <w:sz w:val="41"/>
                <w:szCs w:val="41"/>
                <w:b w:val="1"/>
                <w:bCs w:val="1"/>
                <w:color w:val="auto"/>
              </w:rPr>
              <w:t>Q2 Financial Highlights</w:t>
            </w: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760" w:type="dxa"/>
            <w:vAlign w:val="bottom"/>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02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700" w:type="dxa"/>
            <w:vAlign w:val="bottom"/>
            <w:vMerge w:val="continue"/>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76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020" w:type="dxa"/>
            <w:vAlign w:val="bottom"/>
          </w:tcPr>
          <w:p>
            <w:pPr>
              <w:ind w:left="420"/>
              <w:spacing w:after="0"/>
              <w:rPr>
                <w:sz w:val="20"/>
                <w:szCs w:val="20"/>
                <w:color w:val="auto"/>
              </w:rPr>
            </w:pPr>
            <w:r>
              <w:rPr>
                <w:rFonts w:ascii="Arial" w:cs="Arial" w:eastAsia="Arial" w:hAnsi="Arial"/>
                <w:sz w:val="25"/>
                <w:szCs w:val="25"/>
                <w:b w:val="1"/>
                <w:bCs w:val="1"/>
                <w:color w:val="282A32"/>
              </w:rPr>
              <w:t>-recurring</w:t>
            </w:r>
          </w:p>
        </w:tc>
        <w:tc>
          <w:tcPr>
            <w:tcW w:w="40" w:type="dxa"/>
            <w:vAlign w:val="bottom"/>
            <w:shd w:val="clear" w:color="auto" w:fill="D47C18"/>
          </w:tcPr>
          <w:p>
            <w:pPr>
              <w:spacing w:after="0"/>
              <w:rPr>
                <w:sz w:val="24"/>
                <w:szCs w:val="24"/>
                <w:color w:val="auto"/>
              </w:rPr>
            </w:pPr>
          </w:p>
        </w:tc>
        <w:tc>
          <w:tcPr>
            <w:tcW w:w="57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2020" w:type="dxa"/>
            <w:vAlign w:val="bottom"/>
            <w:tcBorders>
              <w:bottom w:val="single" w:sz="8" w:color="D47C18"/>
            </w:tcBorders>
          </w:tcPr>
          <w:p>
            <w:pPr>
              <w:spacing w:after="0"/>
              <w:rPr>
                <w:sz w:val="24"/>
                <w:szCs w:val="24"/>
                <w:color w:val="auto"/>
              </w:rPr>
            </w:pP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Borders>
              <w:bottom w:val="single" w:sz="8" w:color="D47C18"/>
            </w:tcBorders>
          </w:tcPr>
          <w:p>
            <w:pPr>
              <w:ind w:left="700"/>
              <w:spacing w:after="0"/>
              <w:rPr>
                <w:sz w:val="20"/>
                <w:szCs w:val="20"/>
                <w:color w:val="auto"/>
              </w:rPr>
            </w:pPr>
            <w:r>
              <w:rPr>
                <w:rFonts w:ascii="Arial" w:cs="Arial" w:eastAsia="Arial" w:hAnsi="Arial"/>
                <w:sz w:val="25"/>
                <w:szCs w:val="25"/>
                <w:b w:val="1"/>
                <w:bCs w:val="1"/>
                <w:color w:val="282A32"/>
              </w:rPr>
              <w:t xml:space="preserve">Items </w:t>
            </w:r>
            <w:r>
              <w:rPr>
                <w:rFonts w:ascii="Arial" w:cs="Arial" w:eastAsia="Arial" w:hAnsi="Arial"/>
                <w:sz w:val="17"/>
                <w:szCs w:val="17"/>
                <w:b w:val="1"/>
                <w:bCs w:val="1"/>
                <w:color w:val="282A32"/>
              </w:rPr>
              <w:t>(1)</w:t>
            </w:r>
          </w:p>
        </w:tc>
        <w:tc>
          <w:tcPr>
            <w:tcW w:w="40" w:type="dxa"/>
            <w:vAlign w:val="bottom"/>
            <w:tcBorders>
              <w:bottom w:val="single" w:sz="8" w:color="D47C18"/>
            </w:tcBorders>
            <w:shd w:val="clear" w:color="auto" w:fill="D47C18"/>
          </w:tcPr>
          <w:p>
            <w:pPr>
              <w:spacing w:after="0"/>
              <w:rPr>
                <w:sz w:val="24"/>
                <w:szCs w:val="24"/>
                <w:color w:val="auto"/>
              </w:rPr>
            </w:pPr>
          </w:p>
        </w:tc>
        <w:tc>
          <w:tcPr>
            <w:tcW w:w="5700" w:type="dxa"/>
            <w:vAlign w:val="bottom"/>
            <w:tcBorders>
              <w:bottom w:val="single" w:sz="8" w:color="D47C18"/>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780" w:type="dxa"/>
            <w:vAlign w:val="bottom"/>
            <w:gridSpan w:val="2"/>
          </w:tcPr>
          <w:p>
            <w:pPr>
              <w:jc w:val="center"/>
              <w:ind w:left="989"/>
              <w:spacing w:after="0"/>
              <w:rPr>
                <w:sz w:val="20"/>
                <w:szCs w:val="20"/>
                <w:color w:val="auto"/>
              </w:rPr>
            </w:pPr>
            <w:r>
              <w:rPr>
                <w:rFonts w:ascii="Arial" w:cs="Arial" w:eastAsia="Arial" w:hAnsi="Arial"/>
                <w:sz w:val="35"/>
                <w:szCs w:val="35"/>
                <w:color w:val="282A32"/>
                <w:w w:val="98"/>
              </w:rPr>
              <w:t>8%</w:t>
            </w:r>
          </w:p>
        </w:tc>
        <w:tc>
          <w:tcPr>
            <w:tcW w:w="40" w:type="dxa"/>
            <w:vAlign w:val="bottom"/>
            <w:shd w:val="clear" w:color="auto" w:fill="D47C18"/>
          </w:tcPr>
          <w:p>
            <w:pPr>
              <w:spacing w:after="0"/>
              <w:rPr>
                <w:sz w:val="24"/>
                <w:szCs w:val="24"/>
                <w:color w:val="auto"/>
              </w:rPr>
            </w:pPr>
          </w:p>
        </w:tc>
        <w:tc>
          <w:tcPr>
            <w:tcW w:w="2020" w:type="dxa"/>
            <w:vAlign w:val="bottom"/>
          </w:tcPr>
          <w:p>
            <w:pPr>
              <w:jc w:val="center"/>
              <w:ind w:left="199"/>
              <w:spacing w:after="0"/>
              <w:rPr>
                <w:sz w:val="20"/>
                <w:szCs w:val="20"/>
                <w:color w:val="auto"/>
              </w:rPr>
            </w:pPr>
            <w:r>
              <w:rPr>
                <w:rFonts w:ascii="Arial" w:cs="Arial" w:eastAsia="Arial" w:hAnsi="Arial"/>
                <w:sz w:val="35"/>
                <w:szCs w:val="35"/>
                <w:color w:val="282A32"/>
                <w:w w:val="98"/>
              </w:rPr>
              <w:t>8%</w:t>
            </w:r>
          </w:p>
        </w:tc>
        <w:tc>
          <w:tcPr>
            <w:tcW w:w="40" w:type="dxa"/>
            <w:vAlign w:val="bottom"/>
            <w:shd w:val="clear" w:color="auto" w:fill="D47C18"/>
          </w:tcPr>
          <w:p>
            <w:pPr>
              <w:spacing w:after="0"/>
              <w:rPr>
                <w:sz w:val="24"/>
                <w:szCs w:val="24"/>
                <w:color w:val="auto"/>
              </w:rPr>
            </w:pPr>
          </w:p>
        </w:tc>
        <w:tc>
          <w:tcPr>
            <w:tcW w:w="5700" w:type="dxa"/>
            <w:vAlign w:val="bottom"/>
            <w:tcBorders>
              <w:left w:val="single" w:sz="8" w:color="D47C18"/>
            </w:tcBorders>
            <w:vMerge w:val="restart"/>
          </w:tcPr>
          <w:p>
            <w:pPr>
              <w:ind w:left="38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$5.2B</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2020" w:type="dxa"/>
            <w:vAlign w:val="bottom"/>
            <w:vMerge w:val="restart"/>
          </w:tcPr>
          <w:p>
            <w:pPr>
              <w:jc w:val="center"/>
              <w:ind w:left="199"/>
              <w:spacing w:after="0"/>
              <w:rPr>
                <w:sz w:val="20"/>
                <w:szCs w:val="20"/>
                <w:color w:val="auto"/>
              </w:rPr>
            </w:pPr>
            <w:r>
              <w:rPr>
                <w:rFonts w:ascii="Arial" w:cs="Arial" w:eastAsia="Arial" w:hAnsi="Arial"/>
                <w:sz w:val="35"/>
                <w:szCs w:val="35"/>
                <w:color w:val="282A32"/>
                <w:w w:val="99"/>
              </w:rPr>
              <w:t>1%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ind w:left="640"/>
              <w:spacing w:after="0"/>
              <w:rPr>
                <w:sz w:val="20"/>
                <w:szCs w:val="20"/>
                <w:color w:val="auto"/>
              </w:rPr>
            </w:pPr>
            <w:r>
              <w:rPr>
                <w:rFonts w:ascii="Arial" w:cs="Arial" w:eastAsia="Arial" w:hAnsi="Arial"/>
                <w:sz w:val="35"/>
                <w:szCs w:val="35"/>
                <w:color w:val="282A32"/>
              </w:rPr>
              <w:t>1% CC</w:t>
            </w:r>
          </w:p>
        </w:tc>
        <w:tc>
          <w:tcPr>
            <w:tcW w:w="40" w:type="dxa"/>
            <w:vAlign w:val="bottom"/>
          </w:tcPr>
          <w:p>
            <w:pPr>
              <w:spacing w:after="0"/>
              <w:rPr>
                <w:sz w:val="23"/>
                <w:szCs w:val="23"/>
                <w:color w:val="auto"/>
              </w:rPr>
            </w:pPr>
          </w:p>
        </w:tc>
        <w:tc>
          <w:tcPr>
            <w:tcW w:w="5700" w:type="dxa"/>
            <w:vAlign w:val="bottom"/>
            <w:tcBorders>
              <w:left w:val="single" w:sz="8" w:color="D47C18"/>
            </w:tcBorders>
            <w:vMerge w:val="continue"/>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40" w:type="dxa"/>
            <w:vAlign w:val="bottom"/>
            <w:shd w:val="clear" w:color="auto" w:fill="D47C18"/>
          </w:tcPr>
          <w:p>
            <w:pPr>
              <w:spacing w:after="0"/>
              <w:rPr>
                <w:sz w:val="14"/>
                <w:szCs w:val="14"/>
                <w:color w:val="auto"/>
              </w:rPr>
            </w:pPr>
          </w:p>
        </w:tc>
        <w:tc>
          <w:tcPr>
            <w:tcW w:w="20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700" w:type="dxa"/>
            <w:vAlign w:val="bottom"/>
            <w:tcBorders>
              <w:left w:val="single" w:sz="8" w:color="D47C18"/>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760" w:type="dxa"/>
            <w:vAlign w:val="bottom"/>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02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700" w:type="dxa"/>
            <w:vAlign w:val="bottom"/>
            <w:tcBorders>
              <w:left w:val="single" w:sz="8" w:color="D47C18"/>
              <w:bottom w:val="single" w:sz="8" w:color="D47C18"/>
            </w:tcBorders>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9"/>
        </w:trPr>
        <w:tc>
          <w:tcPr>
            <w:tcW w:w="760" w:type="dxa"/>
            <w:vAlign w:val="bottom"/>
          </w:tcPr>
          <w:p>
            <w:pPr>
              <w:spacing w:after="0"/>
              <w:rPr>
                <w:sz w:val="24"/>
                <w:szCs w:val="24"/>
                <w:color w:val="auto"/>
              </w:rPr>
            </w:pPr>
          </w:p>
        </w:tc>
        <w:tc>
          <w:tcPr>
            <w:tcW w:w="2020" w:type="dxa"/>
            <w:vAlign w:val="bottom"/>
          </w:tcPr>
          <w:p>
            <w:pPr>
              <w:jc w:val="center"/>
              <w:ind w:left="219"/>
              <w:spacing w:after="0"/>
              <w:rPr>
                <w:sz w:val="20"/>
                <w:szCs w:val="20"/>
                <w:color w:val="auto"/>
              </w:rPr>
            </w:pPr>
            <w:r>
              <w:rPr>
                <w:rFonts w:ascii="Arial" w:cs="Arial" w:eastAsia="Arial" w:hAnsi="Arial"/>
                <w:sz w:val="35"/>
                <w:szCs w:val="35"/>
                <w:color w:val="282A32"/>
                <w:w w:val="98"/>
              </w:rPr>
              <w:t>40 bps</w:t>
            </w:r>
          </w:p>
        </w:tc>
        <w:tc>
          <w:tcPr>
            <w:tcW w:w="40" w:type="dxa"/>
            <w:vAlign w:val="bottom"/>
            <w:shd w:val="clear" w:color="auto" w:fill="D47C18"/>
          </w:tcPr>
          <w:p>
            <w:pPr>
              <w:spacing w:after="0"/>
              <w:rPr>
                <w:sz w:val="24"/>
                <w:szCs w:val="24"/>
                <w:color w:val="auto"/>
              </w:rPr>
            </w:pPr>
          </w:p>
        </w:tc>
        <w:tc>
          <w:tcPr>
            <w:tcW w:w="2020" w:type="dxa"/>
            <w:vAlign w:val="bottom"/>
          </w:tcPr>
          <w:p>
            <w:pPr>
              <w:ind w:left="680"/>
              <w:spacing w:after="0"/>
              <w:rPr>
                <w:sz w:val="20"/>
                <w:szCs w:val="20"/>
                <w:color w:val="auto"/>
              </w:rPr>
            </w:pPr>
            <w:r>
              <w:rPr>
                <w:rFonts w:ascii="Arial" w:cs="Arial" w:eastAsia="Arial" w:hAnsi="Arial"/>
                <w:sz w:val="35"/>
                <w:szCs w:val="35"/>
                <w:color w:val="282A32"/>
              </w:rPr>
              <w:t>40 bps</w:t>
            </w:r>
          </w:p>
        </w:tc>
        <w:tc>
          <w:tcPr>
            <w:tcW w:w="40" w:type="dxa"/>
            <w:vAlign w:val="bottom"/>
            <w:shd w:val="clear" w:color="auto" w:fill="D47C18"/>
          </w:tcPr>
          <w:p>
            <w:pPr>
              <w:spacing w:after="0"/>
              <w:rPr>
                <w:sz w:val="24"/>
                <w:szCs w:val="24"/>
                <w:color w:val="auto"/>
              </w:rPr>
            </w:pPr>
          </w:p>
        </w:tc>
        <w:tc>
          <w:tcPr>
            <w:tcW w:w="5700" w:type="dxa"/>
            <w:vAlign w:val="bottom"/>
          </w:tcPr>
          <w:p>
            <w:pPr>
              <w:ind w:left="340"/>
              <w:spacing w:after="0"/>
              <w:rPr>
                <w:sz w:val="20"/>
                <w:szCs w:val="20"/>
                <w:color w:val="auto"/>
              </w:rPr>
            </w:pPr>
            <w:r>
              <w:rPr>
                <w:rFonts w:ascii="Arial" w:cs="Arial" w:eastAsia="Arial" w:hAnsi="Arial"/>
                <w:sz w:val="41"/>
                <w:szCs w:val="41"/>
                <w:b w:val="1"/>
                <w:bCs w:val="1"/>
                <w:color w:val="282A32"/>
              </w:rPr>
              <w:t xml:space="preserve">Gross Margin </w:t>
            </w:r>
            <w:r>
              <w:rPr>
                <w:rFonts w:ascii="Arial" w:cs="Arial" w:eastAsia="Arial" w:hAnsi="Arial"/>
                <w:sz w:val="44"/>
                <w:szCs w:val="44"/>
                <w:b w:val="1"/>
                <w:bCs w:val="1"/>
                <w:color w:val="5F81AA"/>
              </w:rPr>
              <w:t>16.6%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5700" w:type="dxa"/>
            <w:vAlign w:val="bottom"/>
            <w:tcBorders>
              <w:bottom w:val="single" w:sz="8" w:color="D47C18"/>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5"/>
        </w:trPr>
        <w:tc>
          <w:tcPr>
            <w:tcW w:w="2780" w:type="dxa"/>
            <w:vAlign w:val="bottom"/>
            <w:gridSpan w:val="2"/>
          </w:tcPr>
          <w:p>
            <w:pPr>
              <w:jc w:val="center"/>
              <w:ind w:left="989"/>
              <w:spacing w:after="0"/>
              <w:rPr>
                <w:sz w:val="20"/>
                <w:szCs w:val="20"/>
                <w:color w:val="auto"/>
              </w:rPr>
            </w:pPr>
            <w:r>
              <w:rPr>
                <w:rFonts w:ascii="Arial" w:cs="Arial" w:eastAsia="Arial" w:hAnsi="Arial"/>
                <w:sz w:val="35"/>
                <w:szCs w:val="35"/>
                <w:color w:val="282A32"/>
                <w:w w:val="99"/>
              </w:rPr>
              <w:t>37%</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center"/>
              <w:ind w:left="199"/>
              <w:spacing w:after="0"/>
              <w:rPr>
                <w:sz w:val="20"/>
                <w:szCs w:val="20"/>
                <w:color w:val="auto"/>
              </w:rPr>
            </w:pPr>
            <w:r>
              <w:rPr>
                <w:rFonts w:ascii="Arial" w:cs="Arial" w:eastAsia="Arial" w:hAnsi="Arial"/>
                <w:sz w:val="35"/>
                <w:szCs w:val="35"/>
                <w:color w:val="282A32"/>
                <w:w w:val="99"/>
              </w:rPr>
              <w:t>18%</w:t>
            </w:r>
          </w:p>
        </w:tc>
        <w:tc>
          <w:tcPr>
            <w:tcW w:w="40" w:type="dxa"/>
            <w:vAlign w:val="bottom"/>
            <w:tcBorders>
              <w:bottom w:val="single" w:sz="8" w:color="D47C18"/>
            </w:tcBorders>
            <w:shd w:val="clear" w:color="auto" w:fill="D47C18"/>
          </w:tcPr>
          <w:p>
            <w:pPr>
              <w:spacing w:after="0"/>
              <w:rPr>
                <w:sz w:val="24"/>
                <w:szCs w:val="24"/>
                <w:color w:val="auto"/>
              </w:rPr>
            </w:pPr>
          </w:p>
        </w:tc>
        <w:tc>
          <w:tcPr>
            <w:tcW w:w="5700" w:type="dxa"/>
            <w:vAlign w:val="bottom"/>
            <w:tcBorders>
              <w:left w:val="single" w:sz="8" w:color="D47C18"/>
            </w:tcBorders>
            <w:vMerge w:val="restart"/>
          </w:tcPr>
          <w:p>
            <w:pPr>
              <w:ind w:left="380"/>
              <w:spacing w:after="0"/>
              <w:rPr>
                <w:sz w:val="20"/>
                <w:szCs w:val="20"/>
                <w:color w:val="auto"/>
              </w:rPr>
            </w:pPr>
            <w:r>
              <w:rPr>
                <w:rFonts w:ascii="Arial" w:cs="Arial" w:eastAsia="Arial" w:hAnsi="Arial"/>
                <w:sz w:val="41"/>
                <w:szCs w:val="41"/>
                <w:b w:val="1"/>
                <w:bCs w:val="1"/>
                <w:color w:val="282A32"/>
              </w:rPr>
              <w:t xml:space="preserve">Operating Profit </w:t>
            </w:r>
            <w:r>
              <w:rPr>
                <w:rFonts w:ascii="Arial" w:cs="Arial" w:eastAsia="Arial" w:hAnsi="Arial"/>
                <w:sz w:val="44"/>
                <w:szCs w:val="44"/>
                <w:b w:val="1"/>
                <w:bCs w:val="1"/>
                <w:color w:val="5F81AA"/>
              </w:rPr>
              <w:t>$94M</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60" w:type="dxa"/>
            <w:vAlign w:val="bottom"/>
          </w:tcPr>
          <w:p>
            <w:pPr>
              <w:spacing w:after="0"/>
              <w:rPr>
                <w:sz w:val="23"/>
                <w:szCs w:val="23"/>
                <w:color w:val="auto"/>
              </w:rPr>
            </w:pPr>
          </w:p>
        </w:tc>
        <w:tc>
          <w:tcPr>
            <w:tcW w:w="2020" w:type="dxa"/>
            <w:vAlign w:val="bottom"/>
            <w:vMerge w:val="restart"/>
          </w:tcPr>
          <w:p>
            <w:pPr>
              <w:jc w:val="center"/>
              <w:ind w:left="199"/>
              <w:spacing w:after="0"/>
              <w:rPr>
                <w:sz w:val="20"/>
                <w:szCs w:val="20"/>
                <w:color w:val="auto"/>
              </w:rPr>
            </w:pPr>
            <w:r>
              <w:rPr>
                <w:rFonts w:ascii="Arial" w:cs="Arial" w:eastAsia="Arial" w:hAnsi="Arial"/>
                <w:sz w:val="35"/>
                <w:szCs w:val="35"/>
                <w:color w:val="282A32"/>
                <w:w w:val="99"/>
              </w:rPr>
              <w:t>30% CC</w:t>
            </w:r>
          </w:p>
        </w:tc>
        <w:tc>
          <w:tcPr>
            <w:tcW w:w="40" w:type="dxa"/>
            <w:vAlign w:val="bottom"/>
            <w:shd w:val="clear" w:color="auto" w:fill="D47C18"/>
          </w:tcPr>
          <w:p>
            <w:pPr>
              <w:spacing w:after="0"/>
              <w:rPr>
                <w:sz w:val="23"/>
                <w:szCs w:val="23"/>
                <w:color w:val="auto"/>
              </w:rPr>
            </w:pPr>
          </w:p>
        </w:tc>
        <w:tc>
          <w:tcPr>
            <w:tcW w:w="2020" w:type="dxa"/>
            <w:vAlign w:val="bottom"/>
            <w:vMerge w:val="restart"/>
          </w:tcPr>
          <w:p>
            <w:pPr>
              <w:ind w:left="540"/>
              <w:spacing w:after="0"/>
              <w:rPr>
                <w:sz w:val="20"/>
                <w:szCs w:val="20"/>
                <w:color w:val="auto"/>
              </w:rPr>
            </w:pPr>
            <w:r>
              <w:rPr>
                <w:rFonts w:ascii="Arial" w:cs="Arial" w:eastAsia="Arial" w:hAnsi="Arial"/>
                <w:sz w:val="35"/>
                <w:szCs w:val="35"/>
                <w:color w:val="282A32"/>
              </w:rPr>
              <w:t>11% CC</w:t>
            </w:r>
          </w:p>
        </w:tc>
        <w:tc>
          <w:tcPr>
            <w:tcW w:w="40" w:type="dxa"/>
            <w:vAlign w:val="bottom"/>
          </w:tcPr>
          <w:p>
            <w:pPr>
              <w:spacing w:after="0"/>
              <w:rPr>
                <w:sz w:val="23"/>
                <w:szCs w:val="23"/>
                <w:color w:val="auto"/>
              </w:rPr>
            </w:pPr>
          </w:p>
        </w:tc>
        <w:tc>
          <w:tcPr>
            <w:tcW w:w="5700" w:type="dxa"/>
            <w:vAlign w:val="bottom"/>
            <w:tcBorders>
              <w:left w:val="single" w:sz="8" w:color="D47C18"/>
            </w:tcBorders>
            <w:vMerge w:val="continue"/>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shd w:val="clear" w:color="auto" w:fill="D47C18"/>
          </w:tcPr>
          <w:p>
            <w:pPr>
              <w:spacing w:after="0"/>
              <w:rPr>
                <w:sz w:val="18"/>
                <w:szCs w:val="18"/>
                <w:color w:val="auto"/>
              </w:rPr>
            </w:pPr>
          </w:p>
        </w:tc>
        <w:tc>
          <w:tcPr>
            <w:tcW w:w="2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tcBorders>
              <w:left w:val="single" w:sz="8" w:color="D47C18"/>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760" w:type="dxa"/>
            <w:vAlign w:val="bottom"/>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02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700" w:type="dxa"/>
            <w:vAlign w:val="bottom"/>
            <w:tcBorders>
              <w:left w:val="single" w:sz="8" w:color="D47C18"/>
              <w:bottom w:val="single" w:sz="8" w:color="D47C18"/>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69"/>
        </w:trPr>
        <w:tc>
          <w:tcPr>
            <w:tcW w:w="760" w:type="dxa"/>
            <w:vAlign w:val="bottom"/>
          </w:tcPr>
          <w:p>
            <w:pPr>
              <w:spacing w:after="0"/>
              <w:rPr>
                <w:sz w:val="24"/>
                <w:szCs w:val="24"/>
                <w:color w:val="auto"/>
              </w:rPr>
            </w:pPr>
          </w:p>
        </w:tc>
        <w:tc>
          <w:tcPr>
            <w:tcW w:w="2020" w:type="dxa"/>
            <w:vAlign w:val="bottom"/>
          </w:tcPr>
          <w:p>
            <w:pPr>
              <w:jc w:val="center"/>
              <w:ind w:left="219"/>
              <w:spacing w:after="0"/>
              <w:rPr>
                <w:sz w:val="20"/>
                <w:szCs w:val="20"/>
                <w:color w:val="auto"/>
              </w:rPr>
            </w:pPr>
            <w:r>
              <w:rPr>
                <w:rFonts w:ascii="Arial" w:cs="Arial" w:eastAsia="Arial" w:hAnsi="Arial"/>
                <w:sz w:val="35"/>
                <w:szCs w:val="35"/>
                <w:color w:val="282A32"/>
                <w:w w:val="98"/>
              </w:rPr>
              <w:t>90 bps</w:t>
            </w:r>
          </w:p>
        </w:tc>
        <w:tc>
          <w:tcPr>
            <w:tcW w:w="40" w:type="dxa"/>
            <w:vAlign w:val="bottom"/>
            <w:shd w:val="clear" w:color="auto" w:fill="D47C18"/>
          </w:tcPr>
          <w:p>
            <w:pPr>
              <w:spacing w:after="0"/>
              <w:rPr>
                <w:sz w:val="24"/>
                <w:szCs w:val="24"/>
                <w:color w:val="auto"/>
              </w:rPr>
            </w:pPr>
          </w:p>
        </w:tc>
        <w:tc>
          <w:tcPr>
            <w:tcW w:w="2020" w:type="dxa"/>
            <w:vAlign w:val="bottom"/>
          </w:tcPr>
          <w:p>
            <w:pPr>
              <w:ind w:left="680"/>
              <w:spacing w:after="0"/>
              <w:rPr>
                <w:sz w:val="20"/>
                <w:szCs w:val="20"/>
                <w:color w:val="auto"/>
              </w:rPr>
            </w:pPr>
            <w:r>
              <w:rPr>
                <w:rFonts w:ascii="Arial" w:cs="Arial" w:eastAsia="Arial" w:hAnsi="Arial"/>
                <w:sz w:val="35"/>
                <w:szCs w:val="35"/>
                <w:color w:val="282A32"/>
              </w:rPr>
              <w:t>30 bps</w:t>
            </w:r>
          </w:p>
        </w:tc>
        <w:tc>
          <w:tcPr>
            <w:tcW w:w="40" w:type="dxa"/>
            <w:vAlign w:val="bottom"/>
            <w:shd w:val="clear" w:color="auto" w:fill="D47C18"/>
          </w:tcPr>
          <w:p>
            <w:pPr>
              <w:spacing w:after="0"/>
              <w:rPr>
                <w:sz w:val="24"/>
                <w:szCs w:val="24"/>
                <w:color w:val="auto"/>
              </w:rPr>
            </w:pPr>
          </w:p>
        </w:tc>
        <w:tc>
          <w:tcPr>
            <w:tcW w:w="5700" w:type="dxa"/>
            <w:vAlign w:val="bottom"/>
          </w:tcPr>
          <w:p>
            <w:pPr>
              <w:ind w:left="340"/>
              <w:spacing w:after="0"/>
              <w:rPr>
                <w:sz w:val="20"/>
                <w:szCs w:val="20"/>
                <w:color w:val="auto"/>
              </w:rPr>
            </w:pPr>
            <w:r>
              <w:rPr>
                <w:rFonts w:ascii="Arial" w:cs="Arial" w:eastAsia="Arial" w:hAnsi="Arial"/>
                <w:sz w:val="41"/>
                <w:szCs w:val="41"/>
                <w:b w:val="1"/>
                <w:bCs w:val="1"/>
                <w:color w:val="282A32"/>
              </w:rPr>
              <w:t xml:space="preserve">OP Margin </w:t>
            </w:r>
            <w:r>
              <w:rPr>
                <w:rFonts w:ascii="Arial" w:cs="Arial" w:eastAsia="Arial" w:hAnsi="Arial"/>
                <w:sz w:val="44"/>
                <w:szCs w:val="44"/>
                <w:b w:val="1"/>
                <w:bCs w:val="1"/>
                <w:color w:val="5F81AA"/>
              </w:rPr>
              <w:t>1.8%</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2020" w:type="dxa"/>
            <w:vAlign w:val="bottom"/>
            <w:tcBorders>
              <w:bottom w:val="single" w:sz="8" w:color="D47C18"/>
            </w:tcBorders>
          </w:tcPr>
          <w:p>
            <w:pPr>
              <w:spacing w:after="0"/>
              <w:rPr>
                <w:sz w:val="9"/>
                <w:szCs w:val="9"/>
                <w:color w:val="auto"/>
              </w:rPr>
            </w:pPr>
          </w:p>
        </w:tc>
        <w:tc>
          <w:tcPr>
            <w:tcW w:w="40" w:type="dxa"/>
            <w:vAlign w:val="bottom"/>
            <w:tcBorders>
              <w:bottom w:val="single" w:sz="8" w:color="D47C18"/>
            </w:tcBorders>
            <w:shd w:val="clear" w:color="auto" w:fill="D47C18"/>
          </w:tcPr>
          <w:p>
            <w:pPr>
              <w:spacing w:after="0"/>
              <w:rPr>
                <w:sz w:val="9"/>
                <w:szCs w:val="9"/>
                <w:color w:val="auto"/>
              </w:rPr>
            </w:pPr>
          </w:p>
        </w:tc>
        <w:tc>
          <w:tcPr>
            <w:tcW w:w="5700" w:type="dxa"/>
            <w:vAlign w:val="bottom"/>
            <w:tcBorders>
              <w:bottom w:val="single" w:sz="8" w:color="D47C18"/>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5"/>
        </w:trPr>
        <w:tc>
          <w:tcPr>
            <w:tcW w:w="2780" w:type="dxa"/>
            <w:vAlign w:val="bottom"/>
            <w:gridSpan w:val="2"/>
          </w:tcPr>
          <w:p>
            <w:pPr>
              <w:jc w:val="center"/>
              <w:ind w:left="989"/>
              <w:spacing w:after="0"/>
              <w:rPr>
                <w:sz w:val="20"/>
                <w:szCs w:val="20"/>
                <w:color w:val="auto"/>
              </w:rPr>
            </w:pPr>
            <w:r>
              <w:rPr>
                <w:rFonts w:ascii="Arial" w:cs="Arial" w:eastAsia="Arial" w:hAnsi="Arial"/>
                <w:sz w:val="35"/>
                <w:szCs w:val="35"/>
                <w:color w:val="282A32"/>
                <w:w w:val="99"/>
              </w:rPr>
              <w:t>41%</w:t>
            </w:r>
          </w:p>
        </w:tc>
        <w:tc>
          <w:tcPr>
            <w:tcW w:w="40" w:type="dxa"/>
            <w:vAlign w:val="bottom"/>
            <w:tcBorders>
              <w:bottom w:val="single" w:sz="8" w:color="D47C18"/>
            </w:tcBorders>
            <w:shd w:val="clear" w:color="auto" w:fill="D47C18"/>
          </w:tcPr>
          <w:p>
            <w:pPr>
              <w:spacing w:after="0"/>
              <w:rPr>
                <w:sz w:val="24"/>
                <w:szCs w:val="24"/>
                <w:color w:val="auto"/>
              </w:rPr>
            </w:pPr>
          </w:p>
        </w:tc>
        <w:tc>
          <w:tcPr>
            <w:tcW w:w="2020" w:type="dxa"/>
            <w:vAlign w:val="bottom"/>
          </w:tcPr>
          <w:p>
            <w:pPr>
              <w:jc w:val="center"/>
              <w:ind w:left="199"/>
              <w:spacing w:after="0"/>
              <w:rPr>
                <w:sz w:val="20"/>
                <w:szCs w:val="20"/>
                <w:color w:val="auto"/>
              </w:rPr>
            </w:pPr>
            <w:r>
              <w:rPr>
                <w:rFonts w:ascii="Arial" w:cs="Arial" w:eastAsia="Arial" w:hAnsi="Arial"/>
                <w:sz w:val="35"/>
                <w:szCs w:val="35"/>
                <w:color w:val="282A32"/>
                <w:w w:val="99"/>
              </w:rPr>
              <w:t>13%</w:t>
            </w:r>
          </w:p>
        </w:tc>
        <w:tc>
          <w:tcPr>
            <w:tcW w:w="40" w:type="dxa"/>
            <w:vAlign w:val="bottom"/>
            <w:tcBorders>
              <w:bottom w:val="single" w:sz="8" w:color="C46D24"/>
            </w:tcBorders>
            <w:shd w:val="clear" w:color="auto" w:fill="C46D24"/>
          </w:tcPr>
          <w:p>
            <w:pPr>
              <w:spacing w:after="0"/>
              <w:rPr>
                <w:sz w:val="24"/>
                <w:szCs w:val="24"/>
                <w:color w:val="auto"/>
              </w:rPr>
            </w:pPr>
          </w:p>
        </w:tc>
        <w:tc>
          <w:tcPr>
            <w:tcW w:w="5700" w:type="dxa"/>
            <w:vAlign w:val="bottom"/>
            <w:tcBorders>
              <w:left w:val="single" w:sz="8" w:color="C46D24"/>
            </w:tcBorders>
            <w:vMerge w:val="restart"/>
          </w:tcPr>
          <w:p>
            <w:pPr>
              <w:ind w:left="380"/>
              <w:spacing w:after="0"/>
              <w:rPr>
                <w:sz w:val="20"/>
                <w:szCs w:val="20"/>
                <w:color w:val="auto"/>
              </w:rPr>
            </w:pPr>
            <w:r>
              <w:rPr>
                <w:rFonts w:ascii="Arial" w:cs="Arial" w:eastAsia="Arial" w:hAnsi="Arial"/>
                <w:sz w:val="41"/>
                <w:szCs w:val="41"/>
                <w:b w:val="1"/>
                <w:bCs w:val="1"/>
                <w:color w:val="282A32"/>
              </w:rPr>
              <w:t xml:space="preserve">EPS </w:t>
            </w:r>
            <w:r>
              <w:rPr>
                <w:rFonts w:ascii="Arial" w:cs="Arial" w:eastAsia="Arial" w:hAnsi="Arial"/>
                <w:sz w:val="44"/>
                <w:szCs w:val="44"/>
                <w:b w:val="1"/>
                <w:bCs w:val="1"/>
                <w:color w:val="5F81AA"/>
              </w:rPr>
              <w:t>$.51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60" w:type="dxa"/>
            <w:vAlign w:val="bottom"/>
          </w:tcPr>
          <w:p>
            <w:pPr>
              <w:spacing w:after="0"/>
              <w:rPr>
                <w:sz w:val="24"/>
                <w:szCs w:val="24"/>
                <w:color w:val="auto"/>
              </w:rPr>
            </w:pPr>
          </w:p>
        </w:tc>
        <w:tc>
          <w:tcPr>
            <w:tcW w:w="2020" w:type="dxa"/>
            <w:vAlign w:val="bottom"/>
            <w:vMerge w:val="restart"/>
          </w:tcPr>
          <w:p>
            <w:pPr>
              <w:jc w:val="center"/>
              <w:ind w:left="199"/>
              <w:spacing w:after="0"/>
              <w:rPr>
                <w:sz w:val="20"/>
                <w:szCs w:val="20"/>
                <w:color w:val="auto"/>
              </w:rPr>
            </w:pPr>
            <w:r>
              <w:rPr>
                <w:rFonts w:ascii="Arial" w:cs="Arial" w:eastAsia="Arial" w:hAnsi="Arial"/>
                <w:sz w:val="35"/>
                <w:szCs w:val="35"/>
                <w:color w:val="282A32"/>
                <w:w w:val="99"/>
              </w:rPr>
              <w:t>34% CC</w:t>
            </w:r>
          </w:p>
        </w:tc>
        <w:tc>
          <w:tcPr>
            <w:tcW w:w="40" w:type="dxa"/>
            <w:vAlign w:val="bottom"/>
            <w:shd w:val="clear" w:color="auto" w:fill="C46D24"/>
          </w:tcPr>
          <w:p>
            <w:pPr>
              <w:spacing w:after="0"/>
              <w:rPr>
                <w:sz w:val="24"/>
                <w:szCs w:val="24"/>
                <w:color w:val="auto"/>
              </w:rPr>
            </w:pPr>
          </w:p>
        </w:tc>
        <w:tc>
          <w:tcPr>
            <w:tcW w:w="2020" w:type="dxa"/>
            <w:vAlign w:val="bottom"/>
            <w:vMerge w:val="restart"/>
          </w:tcPr>
          <w:p>
            <w:pPr>
              <w:ind w:left="640"/>
              <w:spacing w:after="0"/>
              <w:rPr>
                <w:sz w:val="20"/>
                <w:szCs w:val="20"/>
                <w:color w:val="auto"/>
              </w:rPr>
            </w:pPr>
            <w:r>
              <w:rPr>
                <w:rFonts w:ascii="Arial" w:cs="Arial" w:eastAsia="Arial" w:hAnsi="Arial"/>
                <w:sz w:val="35"/>
                <w:szCs w:val="35"/>
                <w:color w:val="282A32"/>
              </w:rPr>
              <w:t>5% CC</w:t>
            </w:r>
          </w:p>
        </w:tc>
        <w:tc>
          <w:tcPr>
            <w:tcW w:w="40" w:type="dxa"/>
            <w:vAlign w:val="bottom"/>
          </w:tcPr>
          <w:p>
            <w:pPr>
              <w:spacing w:after="0"/>
              <w:rPr>
                <w:sz w:val="24"/>
                <w:szCs w:val="24"/>
                <w:color w:val="auto"/>
              </w:rPr>
            </w:pPr>
          </w:p>
        </w:tc>
        <w:tc>
          <w:tcPr>
            <w:tcW w:w="5700" w:type="dxa"/>
            <w:vAlign w:val="bottom"/>
            <w:tcBorders>
              <w:left w:val="single" w:sz="8" w:color="C46D24"/>
            </w:tcBorders>
            <w:vMerge w:val="continue"/>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6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40" w:type="dxa"/>
            <w:vAlign w:val="bottom"/>
            <w:tcBorders>
              <w:bottom w:val="single" w:sz="8" w:color="C46D24"/>
            </w:tcBorders>
            <w:shd w:val="clear" w:color="auto" w:fill="C46D24"/>
          </w:tcPr>
          <w:p>
            <w:pPr>
              <w:spacing w:after="0"/>
              <w:rPr>
                <w:sz w:val="19"/>
                <w:szCs w:val="19"/>
                <w:color w:val="auto"/>
              </w:rPr>
            </w:pPr>
          </w:p>
        </w:tc>
        <w:tc>
          <w:tcPr>
            <w:tcW w:w="2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700" w:type="dxa"/>
            <w:vAlign w:val="bottom"/>
            <w:tcBorders>
              <w:left w:val="single" w:sz="8" w:color="C46D24"/>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0580" w:type="dxa"/>
            <w:vAlign w:val="bottom"/>
            <w:gridSpan w:val="6"/>
          </w:tcPr>
          <w:p>
            <w:pPr>
              <w:ind w:left="740"/>
              <w:spacing w:after="0"/>
              <w:rPr>
                <w:sz w:val="20"/>
                <w:szCs w:val="20"/>
                <w:color w:val="auto"/>
              </w:rPr>
            </w:pPr>
            <w:r>
              <w:rPr>
                <w:rFonts w:ascii="Arial" w:cs="Arial" w:eastAsia="Arial" w:hAnsi="Arial"/>
                <w:sz w:val="17"/>
                <w:szCs w:val="17"/>
                <w:color w:val="282A32"/>
              </w:rPr>
              <w:t>(1) Excludes the impact of non-recurring items of $28.7M in Q2 2012.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0580" w:type="dxa"/>
            <w:vAlign w:val="bottom"/>
            <w:gridSpan w:val="6"/>
          </w:tcPr>
          <w:p>
            <w:pPr>
              <w:ind w:left="740"/>
              <w:spacing w:after="0"/>
              <w:rPr>
                <w:sz w:val="20"/>
                <w:szCs w:val="20"/>
                <w:color w:val="auto"/>
              </w:rPr>
            </w:pPr>
            <w:r>
              <w:rPr>
                <w:rFonts w:ascii="Arial" w:cs="Arial" w:eastAsia="Arial" w:hAnsi="Arial"/>
                <w:sz w:val="17"/>
                <w:szCs w:val="17"/>
                <w:b w:val="1"/>
                <w:bCs w:val="1"/>
                <w:color w:val="343537"/>
              </w:rPr>
              <w:t>Throughout this presentation, the difference between reported variances and Constant Currency (CC) variances</w:t>
            </w:r>
          </w:p>
        </w:tc>
        <w:tc>
          <w:tcPr>
            <w:tcW w:w="860" w:type="dxa"/>
            <w:vAlign w:val="bottom"/>
          </w:tcPr>
          <w:p>
            <w:pPr>
              <w:jc w:val="right"/>
              <w:ind w:right="393"/>
              <w:spacing w:after="0"/>
              <w:rPr>
                <w:sz w:val="20"/>
                <w:szCs w:val="20"/>
                <w:color w:val="auto"/>
              </w:rPr>
            </w:pPr>
            <w:r>
              <w:rPr>
                <w:rFonts w:ascii="Arial" w:cs="Arial" w:eastAsia="Arial" w:hAnsi="Arial"/>
                <w:sz w:val="17"/>
                <w:szCs w:val="17"/>
                <w:color w:val="7F7F7F"/>
              </w:rPr>
              <w:t>3</w:t>
            </w:r>
          </w:p>
        </w:tc>
        <w:tc>
          <w:tcPr>
            <w:tcW w:w="0" w:type="dxa"/>
            <w:vAlign w:val="bottom"/>
          </w:tcPr>
          <w:p>
            <w:pPr>
              <w:spacing w:after="0"/>
              <w:rPr>
                <w:sz w:val="1"/>
                <w:szCs w:val="1"/>
                <w:color w:val="auto"/>
              </w:rPr>
            </w:pPr>
          </w:p>
        </w:tc>
      </w:tr>
      <w:tr>
        <w:trPr>
          <w:trHeight w:val="232"/>
        </w:trPr>
        <w:tc>
          <w:tcPr>
            <w:tcW w:w="10580" w:type="dxa"/>
            <w:vAlign w:val="bottom"/>
            <w:gridSpan w:val="6"/>
          </w:tcPr>
          <w:p>
            <w:pPr>
              <w:ind w:left="740"/>
              <w:spacing w:after="0"/>
              <w:rPr>
                <w:sz w:val="20"/>
                <w:szCs w:val="20"/>
                <w:color w:val="auto"/>
              </w:rPr>
            </w:pPr>
            <w:r>
              <w:rPr>
                <w:rFonts w:ascii="Arial" w:cs="Arial" w:eastAsia="Arial" w:hAnsi="Arial"/>
                <w:sz w:val="17"/>
                <w:szCs w:val="17"/>
                <w:b w:val="1"/>
                <w:bCs w:val="1"/>
                <w:color w:val="343537"/>
              </w:rPr>
              <w:t>represents the impact of currency on our financial results. Constant Currency is further explained on our Web site.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7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14" w:name="page15"/>
    <w:bookmarkEnd w:id="14"/>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Q2 Non-Recurring Items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620" w:type="dxa"/>
        <w:tblCellMar>
          <w:top w:w="0" w:type="dxa"/>
          <w:left w:w="0" w:type="dxa"/>
          <w:bottom w:w="0" w:type="dxa"/>
          <w:right w:w="0" w:type="dxa"/>
        </w:tblCellMar>
      </w:tblPr>
      <w:tr>
        <w:trPr>
          <w:trHeight w:val="285"/>
        </w:trPr>
        <w:tc>
          <w:tcPr>
            <w:tcW w:w="30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Arial" w:cs="Arial" w:eastAsia="Arial" w:hAnsi="Arial"/>
                <w:sz w:val="24"/>
                <w:szCs w:val="24"/>
                <w:b w:val="1"/>
                <w:bCs w:val="1"/>
                <w:color w:val="466EA5"/>
              </w:rPr>
              <w:t>Pre-tax</w:t>
            </w:r>
          </w:p>
        </w:tc>
        <w:tc>
          <w:tcPr>
            <w:tcW w:w="380" w:type="dxa"/>
            <w:vAlign w:val="bottom"/>
          </w:tcPr>
          <w:p>
            <w:pPr>
              <w:spacing w:after="0"/>
              <w:rPr>
                <w:sz w:val="24"/>
                <w:szCs w:val="24"/>
                <w:color w:val="auto"/>
              </w:rPr>
            </w:pPr>
          </w:p>
        </w:tc>
        <w:tc>
          <w:tcPr>
            <w:tcW w:w="920" w:type="dxa"/>
            <w:vAlign w:val="bottom"/>
          </w:tcPr>
          <w:p>
            <w:pPr>
              <w:jc w:val="right"/>
              <w:ind w:right="395"/>
              <w:spacing w:after="0"/>
              <w:rPr>
                <w:sz w:val="20"/>
                <w:szCs w:val="20"/>
                <w:color w:val="auto"/>
              </w:rPr>
            </w:pPr>
            <w:r>
              <w:rPr>
                <w:rFonts w:ascii="Arial" w:cs="Arial" w:eastAsia="Arial" w:hAnsi="Arial"/>
                <w:sz w:val="24"/>
                <w:szCs w:val="24"/>
                <w:b w:val="1"/>
                <w:bCs w:val="1"/>
                <w:color w:val="466EA5"/>
                <w:w w:val="98"/>
              </w:rPr>
              <w:t>Net</w:t>
            </w:r>
          </w:p>
        </w:tc>
        <w:tc>
          <w:tcPr>
            <w:tcW w:w="1040" w:type="dxa"/>
            <w:vAlign w:val="bottom"/>
            <w:gridSpan w:val="2"/>
          </w:tcPr>
          <w:p>
            <w:pPr>
              <w:jc w:val="right"/>
              <w:ind w:right="113"/>
              <w:spacing w:after="0"/>
              <w:rPr>
                <w:sz w:val="20"/>
                <w:szCs w:val="20"/>
                <w:color w:val="auto"/>
              </w:rPr>
            </w:pPr>
            <w:r>
              <w:rPr>
                <w:rFonts w:ascii="Arial" w:cs="Arial" w:eastAsia="Arial" w:hAnsi="Arial"/>
                <w:sz w:val="24"/>
                <w:szCs w:val="24"/>
                <w:b w:val="1"/>
                <w:bCs w:val="1"/>
                <w:color w:val="466EA5"/>
              </w:rPr>
              <w:t>EPS -</w:t>
            </w:r>
          </w:p>
        </w:tc>
      </w:tr>
      <w:tr>
        <w:trPr>
          <w:trHeight w:val="315"/>
        </w:trPr>
        <w:tc>
          <w:tcPr>
            <w:tcW w:w="3000" w:type="dxa"/>
            <w:vAlign w:val="bottom"/>
          </w:tcPr>
          <w:p>
            <w:pPr>
              <w:spacing w:after="0"/>
              <w:rPr>
                <w:sz w:val="24"/>
                <w:szCs w:val="24"/>
                <w:color w:val="auto"/>
              </w:rPr>
            </w:pPr>
          </w:p>
        </w:tc>
        <w:tc>
          <w:tcPr>
            <w:tcW w:w="1260" w:type="dxa"/>
            <w:vAlign w:val="bottom"/>
            <w:gridSpan w:val="2"/>
          </w:tcPr>
          <w:p>
            <w:pPr>
              <w:jc w:val="right"/>
              <w:ind w:right="33"/>
              <w:spacing w:after="0"/>
              <w:rPr>
                <w:sz w:val="20"/>
                <w:szCs w:val="20"/>
                <w:color w:val="auto"/>
              </w:rPr>
            </w:pPr>
            <w:r>
              <w:rPr>
                <w:rFonts w:ascii="Arial" w:cs="Arial" w:eastAsia="Arial" w:hAnsi="Arial"/>
                <w:sz w:val="24"/>
                <w:szCs w:val="24"/>
                <w:b w:val="1"/>
                <w:bCs w:val="1"/>
                <w:color w:val="466EA5"/>
              </w:rPr>
              <w:t>Earnings</w:t>
            </w:r>
          </w:p>
        </w:tc>
        <w:tc>
          <w:tcPr>
            <w:tcW w:w="1300" w:type="dxa"/>
            <w:vAlign w:val="bottom"/>
            <w:gridSpan w:val="2"/>
          </w:tcPr>
          <w:p>
            <w:pPr>
              <w:jc w:val="right"/>
              <w:ind w:right="75"/>
              <w:spacing w:after="0"/>
              <w:rPr>
                <w:sz w:val="20"/>
                <w:szCs w:val="20"/>
                <w:color w:val="auto"/>
              </w:rPr>
            </w:pPr>
            <w:r>
              <w:rPr>
                <w:rFonts w:ascii="Arial" w:cs="Arial" w:eastAsia="Arial" w:hAnsi="Arial"/>
                <w:sz w:val="24"/>
                <w:szCs w:val="24"/>
                <w:b w:val="1"/>
                <w:bCs w:val="1"/>
                <w:color w:val="466EA5"/>
              </w:rPr>
              <w:t>Earnings</w:t>
            </w:r>
          </w:p>
        </w:tc>
        <w:tc>
          <w:tcPr>
            <w:tcW w:w="1040" w:type="dxa"/>
            <w:vAlign w:val="bottom"/>
            <w:gridSpan w:val="2"/>
          </w:tcPr>
          <w:p>
            <w:pPr>
              <w:ind w:left="100"/>
              <w:spacing w:after="0"/>
              <w:rPr>
                <w:sz w:val="20"/>
                <w:szCs w:val="20"/>
                <w:color w:val="auto"/>
              </w:rPr>
            </w:pPr>
            <w:r>
              <w:rPr>
                <w:rFonts w:ascii="Arial" w:cs="Arial" w:eastAsia="Arial" w:hAnsi="Arial"/>
                <w:sz w:val="24"/>
                <w:szCs w:val="24"/>
                <w:b w:val="1"/>
                <w:bCs w:val="1"/>
                <w:color w:val="466EA5"/>
              </w:rPr>
              <w:t>Diluted</w:t>
            </w:r>
          </w:p>
        </w:tc>
      </w:tr>
      <w:tr>
        <w:trPr>
          <w:trHeight w:val="743"/>
        </w:trPr>
        <w:tc>
          <w:tcPr>
            <w:tcW w:w="3000" w:type="dxa"/>
            <w:vAlign w:val="bottom"/>
          </w:tcPr>
          <w:p>
            <w:pPr>
              <w:spacing w:after="0"/>
              <w:rPr>
                <w:sz w:val="20"/>
                <w:szCs w:val="20"/>
                <w:color w:val="auto"/>
              </w:rPr>
            </w:pPr>
            <w:r>
              <w:rPr>
                <w:rFonts w:ascii="Arial" w:cs="Arial" w:eastAsia="Arial" w:hAnsi="Arial"/>
                <w:sz w:val="24"/>
                <w:szCs w:val="24"/>
                <w:b w:val="1"/>
                <w:bCs w:val="1"/>
                <w:color w:val="466EA5"/>
              </w:rPr>
              <w:t>Earnings, As Reported</w:t>
            </w:r>
          </w:p>
        </w:tc>
        <w:tc>
          <w:tcPr>
            <w:tcW w:w="48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780" w:type="dxa"/>
            <w:vAlign w:val="bottom"/>
          </w:tcPr>
          <w:p>
            <w:pPr>
              <w:jc w:val="right"/>
              <w:spacing w:after="0"/>
              <w:rPr>
                <w:sz w:val="20"/>
                <w:szCs w:val="20"/>
                <w:color w:val="auto"/>
              </w:rPr>
            </w:pPr>
            <w:r>
              <w:rPr>
                <w:rFonts w:ascii="Arial" w:cs="Arial" w:eastAsia="Arial" w:hAnsi="Arial"/>
                <w:sz w:val="25"/>
                <w:szCs w:val="25"/>
                <w:b w:val="1"/>
                <w:bCs w:val="1"/>
                <w:color w:val="C46D24"/>
              </w:rPr>
              <w:t>83.1</w:t>
            </w:r>
          </w:p>
        </w:tc>
        <w:tc>
          <w:tcPr>
            <w:tcW w:w="38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41.0</w:t>
            </w:r>
          </w:p>
        </w:tc>
        <w:tc>
          <w:tcPr>
            <w:tcW w:w="400" w:type="dxa"/>
            <w:vAlign w:val="bottom"/>
          </w:tcPr>
          <w:p>
            <w:pPr>
              <w:ind w:left="120"/>
              <w:spacing w:after="0"/>
              <w:rPr>
                <w:sz w:val="20"/>
                <w:szCs w:val="20"/>
                <w:color w:val="auto"/>
              </w:rPr>
            </w:pPr>
            <w:r>
              <w:rPr>
                <w:rFonts w:ascii="Arial" w:cs="Arial" w:eastAsia="Arial" w:hAnsi="Arial"/>
                <w:sz w:val="25"/>
                <w:szCs w:val="25"/>
                <w:b w:val="1"/>
                <w:bCs w:val="1"/>
                <w:color w:val="C46D24"/>
              </w:rPr>
              <w:t>$</w:t>
            </w:r>
          </w:p>
        </w:tc>
        <w:tc>
          <w:tcPr>
            <w:tcW w:w="640" w:type="dxa"/>
            <w:vAlign w:val="bottom"/>
          </w:tcPr>
          <w:p>
            <w:pPr>
              <w:jc w:val="right"/>
              <w:spacing w:after="0"/>
              <w:rPr>
                <w:sz w:val="20"/>
                <w:szCs w:val="20"/>
                <w:color w:val="auto"/>
              </w:rPr>
            </w:pPr>
            <w:r>
              <w:rPr>
                <w:rFonts w:ascii="Arial" w:cs="Arial" w:eastAsia="Arial" w:hAnsi="Arial"/>
                <w:sz w:val="25"/>
                <w:szCs w:val="25"/>
                <w:b w:val="1"/>
                <w:bCs w:val="1"/>
                <w:color w:val="C46D24"/>
              </w:rPr>
              <w:t>0.51</w:t>
            </w:r>
          </w:p>
        </w:tc>
      </w:tr>
      <w:tr>
        <w:trPr>
          <w:trHeight w:val="571"/>
        </w:trPr>
        <w:tc>
          <w:tcPr>
            <w:tcW w:w="3000" w:type="dxa"/>
            <w:vAlign w:val="bottom"/>
          </w:tcPr>
          <w:p>
            <w:pPr>
              <w:spacing w:after="0"/>
              <w:rPr>
                <w:sz w:val="20"/>
                <w:szCs w:val="20"/>
                <w:color w:val="auto"/>
              </w:rPr>
            </w:pPr>
            <w:r>
              <w:rPr>
                <w:rFonts w:ascii="Arial" w:cs="Arial" w:eastAsia="Arial" w:hAnsi="Arial"/>
                <w:sz w:val="24"/>
                <w:szCs w:val="24"/>
                <w:b w:val="1"/>
                <w:bCs w:val="1"/>
                <w:color w:val="466EA5"/>
              </w:rPr>
              <w:t>Reorganization Charges</w:t>
            </w:r>
            <w:r>
              <w:rPr>
                <w:rFonts w:ascii="Arial" w:cs="Arial" w:eastAsia="Arial" w:hAnsi="Arial"/>
                <w:sz w:val="15"/>
                <w:szCs w:val="15"/>
                <w:b w:val="1"/>
                <w:bCs w:val="1"/>
                <w:color w:val="466EA5"/>
              </w:rPr>
              <w:t>(1)</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5"/>
                <w:szCs w:val="25"/>
                <w:b w:val="1"/>
                <w:bCs w:val="1"/>
                <w:color w:val="C46D24"/>
              </w:rPr>
              <w:t>18.7</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13.9</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5"/>
                <w:szCs w:val="25"/>
                <w:b w:val="1"/>
                <w:bCs w:val="1"/>
                <w:color w:val="C46D24"/>
              </w:rPr>
              <w:t>0.17</w:t>
            </w:r>
          </w:p>
        </w:tc>
      </w:tr>
      <w:tr>
        <w:trPr>
          <w:trHeight w:val="571"/>
        </w:trPr>
        <w:tc>
          <w:tcPr>
            <w:tcW w:w="3000" w:type="dxa"/>
            <w:vAlign w:val="bottom"/>
          </w:tcPr>
          <w:p>
            <w:pPr>
              <w:spacing w:after="0"/>
              <w:rPr>
                <w:sz w:val="20"/>
                <w:szCs w:val="20"/>
                <w:color w:val="auto"/>
              </w:rPr>
            </w:pPr>
            <w:r>
              <w:rPr>
                <w:rFonts w:ascii="Arial" w:cs="Arial" w:eastAsia="Arial" w:hAnsi="Arial"/>
                <w:sz w:val="24"/>
                <w:szCs w:val="24"/>
                <w:b w:val="1"/>
                <w:bCs w:val="1"/>
                <w:color w:val="466EA5"/>
              </w:rPr>
              <w:t>Legal Costs - US</w:t>
            </w:r>
          </w:p>
        </w:tc>
        <w:tc>
          <w:tcPr>
            <w:tcW w:w="4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25"/>
                <w:szCs w:val="25"/>
                <w:b w:val="1"/>
                <w:bCs w:val="1"/>
                <w:color w:val="C46D24"/>
              </w:rPr>
              <w:t>10.0</w:t>
            </w: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6.5</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5"/>
                <w:szCs w:val="25"/>
                <w:b w:val="1"/>
                <w:bCs w:val="1"/>
                <w:color w:val="C46D24"/>
              </w:rPr>
              <w:t>0.08</w:t>
            </w:r>
          </w:p>
        </w:tc>
      </w:tr>
      <w:tr>
        <w:trPr>
          <w:trHeight w:val="654"/>
        </w:trPr>
        <w:tc>
          <w:tcPr>
            <w:tcW w:w="3000" w:type="dxa"/>
            <w:vAlign w:val="bottom"/>
          </w:tcPr>
          <w:p>
            <w:pPr>
              <w:spacing w:after="0"/>
              <w:rPr>
                <w:sz w:val="20"/>
                <w:szCs w:val="20"/>
                <w:color w:val="auto"/>
              </w:rPr>
            </w:pPr>
            <w:r>
              <w:rPr>
                <w:rFonts w:ascii="Arial" w:cs="Arial" w:eastAsia="Arial" w:hAnsi="Arial"/>
                <w:sz w:val="24"/>
                <w:szCs w:val="24"/>
                <w:b w:val="1"/>
                <w:bCs w:val="1"/>
                <w:color w:val="466EA5"/>
              </w:rPr>
              <w:t>Earnings, Excluding non-</w:t>
            </w:r>
          </w:p>
        </w:tc>
        <w:tc>
          <w:tcPr>
            <w:tcW w:w="480" w:type="dxa"/>
            <w:vAlign w:val="bottom"/>
          </w:tcPr>
          <w:p>
            <w:pPr>
              <w:ind w:left="200"/>
              <w:spacing w:after="0"/>
              <w:rPr>
                <w:sz w:val="20"/>
                <w:szCs w:val="20"/>
                <w:color w:val="auto"/>
              </w:rPr>
            </w:pPr>
            <w:r>
              <w:rPr>
                <w:rFonts w:ascii="Arial" w:cs="Arial" w:eastAsia="Arial" w:hAnsi="Arial"/>
                <w:sz w:val="25"/>
                <w:szCs w:val="25"/>
                <w:b w:val="1"/>
                <w:bCs w:val="1"/>
                <w:color w:val="C46D24"/>
              </w:rPr>
              <w:t>$</w:t>
            </w:r>
          </w:p>
        </w:tc>
        <w:tc>
          <w:tcPr>
            <w:tcW w:w="780" w:type="dxa"/>
            <w:vAlign w:val="bottom"/>
          </w:tcPr>
          <w:p>
            <w:pPr>
              <w:jc w:val="right"/>
              <w:spacing w:after="0"/>
              <w:rPr>
                <w:sz w:val="20"/>
                <w:szCs w:val="20"/>
                <w:color w:val="auto"/>
              </w:rPr>
            </w:pPr>
            <w:r>
              <w:rPr>
                <w:rFonts w:ascii="Arial" w:cs="Arial" w:eastAsia="Arial" w:hAnsi="Arial"/>
                <w:sz w:val="25"/>
                <w:szCs w:val="25"/>
                <w:b w:val="1"/>
                <w:bCs w:val="1"/>
                <w:color w:val="C46D24"/>
              </w:rPr>
              <w:t>111.8</w:t>
            </w:r>
          </w:p>
        </w:tc>
        <w:tc>
          <w:tcPr>
            <w:tcW w:w="380" w:type="dxa"/>
            <w:vAlign w:val="bottom"/>
          </w:tcPr>
          <w:p>
            <w:pPr>
              <w:jc w:val="right"/>
              <w:spacing w:after="0"/>
              <w:rPr>
                <w:sz w:val="20"/>
                <w:szCs w:val="20"/>
                <w:color w:val="auto"/>
              </w:rPr>
            </w:pPr>
            <w:r>
              <w:rPr>
                <w:rFonts w:ascii="Arial" w:cs="Arial" w:eastAsia="Arial" w:hAnsi="Arial"/>
                <w:sz w:val="25"/>
                <w:szCs w:val="25"/>
                <w:b w:val="1"/>
                <w:bCs w:val="1"/>
                <w:color w:val="C46D24"/>
              </w:rPr>
              <w:t>$</w:t>
            </w:r>
          </w:p>
        </w:tc>
        <w:tc>
          <w:tcPr>
            <w:tcW w:w="920" w:type="dxa"/>
            <w:vAlign w:val="bottom"/>
          </w:tcPr>
          <w:p>
            <w:pPr>
              <w:jc w:val="right"/>
              <w:spacing w:after="0"/>
              <w:rPr>
                <w:sz w:val="20"/>
                <w:szCs w:val="20"/>
                <w:color w:val="auto"/>
              </w:rPr>
            </w:pPr>
            <w:r>
              <w:rPr>
                <w:rFonts w:ascii="Arial" w:cs="Arial" w:eastAsia="Arial" w:hAnsi="Arial"/>
                <w:sz w:val="25"/>
                <w:szCs w:val="25"/>
                <w:b w:val="1"/>
                <w:bCs w:val="1"/>
                <w:color w:val="C46D24"/>
              </w:rPr>
              <w:t>61.4</w:t>
            </w:r>
          </w:p>
        </w:tc>
        <w:tc>
          <w:tcPr>
            <w:tcW w:w="400" w:type="dxa"/>
            <w:vAlign w:val="bottom"/>
          </w:tcPr>
          <w:p>
            <w:pPr>
              <w:ind w:left="120"/>
              <w:spacing w:after="0"/>
              <w:rPr>
                <w:sz w:val="20"/>
                <w:szCs w:val="20"/>
                <w:color w:val="auto"/>
              </w:rPr>
            </w:pPr>
            <w:r>
              <w:rPr>
                <w:rFonts w:ascii="Arial" w:cs="Arial" w:eastAsia="Arial" w:hAnsi="Arial"/>
                <w:sz w:val="25"/>
                <w:szCs w:val="25"/>
                <w:b w:val="1"/>
                <w:bCs w:val="1"/>
                <w:color w:val="C46D24"/>
              </w:rPr>
              <w:t>$</w:t>
            </w:r>
          </w:p>
        </w:tc>
        <w:tc>
          <w:tcPr>
            <w:tcW w:w="640" w:type="dxa"/>
            <w:vAlign w:val="bottom"/>
          </w:tcPr>
          <w:p>
            <w:pPr>
              <w:jc w:val="right"/>
              <w:spacing w:after="0"/>
              <w:rPr>
                <w:sz w:val="20"/>
                <w:szCs w:val="20"/>
                <w:color w:val="auto"/>
              </w:rPr>
            </w:pPr>
            <w:r>
              <w:rPr>
                <w:rFonts w:ascii="Arial" w:cs="Arial" w:eastAsia="Arial" w:hAnsi="Arial"/>
                <w:sz w:val="25"/>
                <w:szCs w:val="25"/>
                <w:b w:val="1"/>
                <w:bCs w:val="1"/>
                <w:color w:val="C46D24"/>
              </w:rPr>
              <w:t>0.76</w:t>
            </w:r>
          </w:p>
        </w:tc>
      </w:tr>
      <w:tr>
        <w:trPr>
          <w:trHeight w:val="315"/>
        </w:trPr>
        <w:tc>
          <w:tcPr>
            <w:tcW w:w="3000" w:type="dxa"/>
            <w:vAlign w:val="bottom"/>
          </w:tcPr>
          <w:p>
            <w:pPr>
              <w:ind w:left="240"/>
              <w:spacing w:after="0"/>
              <w:rPr>
                <w:sz w:val="20"/>
                <w:szCs w:val="20"/>
                <w:color w:val="auto"/>
              </w:rPr>
            </w:pPr>
            <w:r>
              <w:rPr>
                <w:rFonts w:ascii="Arial" w:cs="Arial" w:eastAsia="Arial" w:hAnsi="Arial"/>
                <w:sz w:val="24"/>
                <w:szCs w:val="24"/>
                <w:b w:val="1"/>
                <w:bCs w:val="1"/>
                <w:color w:val="466EA5"/>
              </w:rPr>
              <w:t>recurring items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282A32"/>
        </w:rPr>
        <w:t>(1)</w:t>
        <w:tab/>
        <w:t>Includes reorganization charges for the Americas ($8.3M) and Right Management ($10.4M).</w:t>
      </w:r>
    </w:p>
    <w:p>
      <w:pPr>
        <w:spacing w:after="0" w:line="200" w:lineRule="exact"/>
        <w:rPr>
          <w:sz w:val="20"/>
          <w:szCs w:val="20"/>
          <w:color w:val="auto"/>
        </w:rPr>
      </w:pPr>
    </w:p>
    <w:p>
      <w:pPr>
        <w:spacing w:after="0" w:line="282" w:lineRule="exact"/>
        <w:rPr>
          <w:sz w:val="20"/>
          <w:szCs w:val="20"/>
          <w:color w:val="auto"/>
        </w:rPr>
      </w:pPr>
    </w:p>
    <w:p>
      <w:pPr>
        <w:ind w:left="9880"/>
        <w:spacing w:after="0"/>
        <w:rPr>
          <w:sz w:val="20"/>
          <w:szCs w:val="20"/>
          <w:color w:val="auto"/>
        </w:rPr>
      </w:pPr>
      <w:r>
        <w:rPr>
          <w:rFonts w:ascii="Arial" w:cs="Arial" w:eastAsia="Arial" w:hAnsi="Arial"/>
          <w:sz w:val="17"/>
          <w:szCs w:val="17"/>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562610</wp:posOffset>
            </wp:positionV>
            <wp:extent cx="72682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20"/>
          </w:cols>
          <w:pgMar w:left="820" w:top="516" w:right="959" w:bottom="1440" w:gutter="0" w:footer="0" w:header="0"/>
        </w:sectPr>
      </w:pPr>
    </w:p>
    <w:bookmarkStart w:id="15" w:name="page16"/>
    <w:bookmarkEnd w:id="15"/>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Arial" w:cs="Arial" w:eastAsia="Arial" w:hAnsi="Arial"/>
          <w:sz w:val="48"/>
          <w:szCs w:val="48"/>
          <w:color w:val="5F81AA"/>
        </w:rPr>
        <w:t>Consolidated Gross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60"/>
          </w:cols>
          <w:pgMar w:left="820" w:top="516" w:right="719" w:bottom="1440" w:gutter="0" w:footer="0" w:header="0"/>
        </w:sectPr>
      </w:pPr>
    </w:p>
    <w:bookmarkStart w:id="16" w:name="page17"/>
    <w:bookmarkEnd w:id="16"/>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820" w:top="516" w:right="659" w:bottom="1440" w:gutter="0" w:footer="0" w:header="0"/>
        </w:sectPr>
      </w:pPr>
    </w:p>
    <w:bookmarkStart w:id="17" w:name="page18"/>
    <w:bookmarkEnd w:id="17"/>
    <w:p>
      <w:pPr>
        <w:ind w:left="580"/>
        <w:spacing w:after="0"/>
        <w:tabs>
          <w:tab w:leader="none" w:pos="960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327" w:lineRule="exact"/>
        <w:rPr>
          <w:sz w:val="20"/>
          <w:szCs w:val="20"/>
          <w:color w:val="auto"/>
        </w:rPr>
      </w:pPr>
    </w:p>
    <w:p>
      <w:pPr>
        <w:ind w:left="340"/>
        <w:spacing w:after="0"/>
        <w:rPr>
          <w:sz w:val="20"/>
          <w:szCs w:val="20"/>
          <w:color w:val="auto"/>
        </w:rPr>
      </w:pPr>
      <w:r>
        <w:rPr>
          <w:rFonts w:ascii="Arial" w:cs="Arial" w:eastAsia="Arial" w:hAnsi="Arial"/>
          <w:sz w:val="51"/>
          <w:szCs w:val="51"/>
          <w:color w:val="5F81AA"/>
        </w:rPr>
        <w:t>Business Line Gross Profit - Q2 2012</w:t>
      </w:r>
    </w:p>
    <w:p>
      <w:pPr>
        <w:spacing w:after="0" w:line="200" w:lineRule="exact"/>
        <w:rPr>
          <w:sz w:val="20"/>
          <w:szCs w:val="20"/>
          <w:color w:val="auto"/>
        </w:rPr>
      </w:pPr>
    </w:p>
    <w:p>
      <w:pPr>
        <w:spacing w:after="0" w:line="367" w:lineRule="exact"/>
        <w:rPr>
          <w:sz w:val="20"/>
          <w:szCs w:val="20"/>
          <w:color w:val="auto"/>
        </w:rPr>
      </w:pPr>
    </w:p>
    <w:p>
      <w:pPr>
        <w:ind w:left="2680"/>
        <w:spacing w:after="0"/>
        <w:rPr>
          <w:sz w:val="20"/>
          <w:szCs w:val="20"/>
          <w:color w:val="auto"/>
        </w:rPr>
      </w:pPr>
      <w:r>
        <w:rPr>
          <w:rFonts w:ascii="Arial" w:cs="Arial" w:eastAsia="Arial" w:hAnsi="Arial"/>
          <w:sz w:val="29"/>
          <w:szCs w:val="29"/>
          <w:b w:val="1"/>
          <w:bCs w:val="1"/>
          <w:color w:val="343537"/>
        </w:rPr>
        <w:t>$862M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Pr>
          <w:p>
            <w:pPr>
              <w:ind w:left="1500"/>
              <w:spacing w:after="0"/>
              <w:rPr>
                <w:sz w:val="20"/>
                <w:szCs w:val="20"/>
                <w:color w:val="auto"/>
              </w:rPr>
            </w:pPr>
            <w:r>
              <w:rPr>
                <w:rFonts w:ascii="Arial" w:cs="Arial" w:eastAsia="Arial" w:hAnsi="Arial"/>
                <w:sz w:val="17"/>
                <w:szCs w:val="17"/>
                <w:b w:val="1"/>
                <w:bCs w:val="1"/>
                <w:color w:val="306996"/>
              </w:rPr>
              <w:t xml:space="preserve">█ </w:t>
            </w:r>
            <w:r>
              <w:rPr>
                <w:rFonts w:ascii="Arial" w:cs="Arial" w:eastAsia="Arial" w:hAnsi="Arial"/>
                <w:sz w:val="15"/>
                <w:szCs w:val="15"/>
                <w:b w:val="1"/>
                <w:bCs w:val="1"/>
                <w:color w:val="343537"/>
              </w:rPr>
              <w:t>Manpower</w:t>
            </w:r>
          </w:p>
        </w:tc>
        <w:tc>
          <w:tcPr>
            <w:tcW w:w="2560" w:type="dxa"/>
            <w:vAlign w:val="bottom"/>
          </w:tcPr>
          <w:p>
            <w:pPr>
              <w:ind w:left="340"/>
              <w:spacing w:after="0"/>
              <w:rPr>
                <w:sz w:val="20"/>
                <w:szCs w:val="20"/>
                <w:color w:val="auto"/>
              </w:rPr>
            </w:pPr>
            <w:r>
              <w:rPr>
                <w:rFonts w:ascii="Arial" w:cs="Arial" w:eastAsia="Arial" w:hAnsi="Arial"/>
                <w:sz w:val="16"/>
                <w:szCs w:val="16"/>
                <w:b w:val="1"/>
                <w:bCs w:val="1"/>
                <w:color w:val="C46D24"/>
              </w:rPr>
              <w:t xml:space="preserve">█ </w:t>
            </w:r>
            <w:r>
              <w:rPr>
                <w:rFonts w:ascii="Arial" w:cs="Arial" w:eastAsia="Arial" w:hAnsi="Arial"/>
                <w:sz w:val="16"/>
                <w:szCs w:val="16"/>
                <w:b w:val="1"/>
                <w:bCs w:val="1"/>
                <w:color w:val="343537"/>
              </w:rPr>
              <w:t>Experis</w:t>
            </w:r>
          </w:p>
        </w:tc>
        <w:tc>
          <w:tcPr>
            <w:tcW w:w="4800" w:type="dxa"/>
            <w:vAlign w:val="bottom"/>
          </w:tcPr>
          <w:p>
            <w:pPr>
              <w:jc w:val="right"/>
              <w:ind w:right="2177"/>
              <w:spacing w:after="0"/>
              <w:rPr>
                <w:sz w:val="20"/>
                <w:szCs w:val="20"/>
                <w:color w:val="auto"/>
              </w:rPr>
            </w:pPr>
            <w:r>
              <w:rPr>
                <w:rFonts w:ascii="Arial" w:cs="Arial" w:eastAsia="Arial" w:hAnsi="Arial"/>
                <w:sz w:val="16"/>
                <w:szCs w:val="16"/>
                <w:b w:val="1"/>
                <w:bCs w:val="1"/>
                <w:color w:val="282A32"/>
              </w:rPr>
              <w:t xml:space="preserve">█ </w:t>
            </w:r>
            <w:r>
              <w:rPr>
                <w:rFonts w:ascii="Arial" w:cs="Arial" w:eastAsia="Arial" w:hAnsi="Arial"/>
                <w:sz w:val="16"/>
                <w:szCs w:val="16"/>
                <w:b w:val="1"/>
                <w:bCs w:val="1"/>
                <w:color w:val="343537"/>
              </w:rPr>
              <w:t>ManpowerGroup - Total</w:t>
            </w:r>
          </w:p>
        </w:tc>
        <w:tc>
          <w:tcPr>
            <w:tcW w:w="0" w:type="dxa"/>
            <w:vAlign w:val="bottom"/>
          </w:tcPr>
          <w:p>
            <w:pPr>
              <w:spacing w:after="0"/>
              <w:rPr>
                <w:sz w:val="1"/>
                <w:szCs w:val="1"/>
                <w:color w:val="auto"/>
              </w:rPr>
            </w:pPr>
          </w:p>
        </w:tc>
      </w:tr>
      <w:tr>
        <w:trPr>
          <w:trHeight w:val="422"/>
        </w:trPr>
        <w:tc>
          <w:tcPr>
            <w:tcW w:w="4080" w:type="dxa"/>
            <w:vAlign w:val="bottom"/>
          </w:tcPr>
          <w:p>
            <w:pPr>
              <w:ind w:left="1500"/>
              <w:spacing w:after="0"/>
              <w:rPr>
                <w:sz w:val="20"/>
                <w:szCs w:val="20"/>
                <w:color w:val="auto"/>
              </w:rPr>
            </w:pPr>
            <w:r>
              <w:rPr>
                <w:rFonts w:ascii="Arial" w:cs="Arial" w:eastAsia="Arial" w:hAnsi="Arial"/>
                <w:sz w:val="16"/>
                <w:szCs w:val="16"/>
                <w:b w:val="1"/>
                <w:bCs w:val="1"/>
                <w:color w:val="7EA190"/>
              </w:rPr>
              <w:t xml:space="preserve">█ </w:t>
            </w:r>
            <w:r>
              <w:rPr>
                <w:rFonts w:ascii="Arial" w:cs="Arial" w:eastAsia="Arial" w:hAnsi="Arial"/>
                <w:sz w:val="16"/>
                <w:szCs w:val="16"/>
                <w:b w:val="1"/>
                <w:bCs w:val="1"/>
                <w:color w:val="343537"/>
              </w:rPr>
              <w:t>ManpowerGroup Solutions</w:t>
            </w:r>
          </w:p>
        </w:tc>
        <w:tc>
          <w:tcPr>
            <w:tcW w:w="2560" w:type="dxa"/>
            <w:vAlign w:val="bottom"/>
          </w:tcPr>
          <w:p>
            <w:pPr>
              <w:ind w:left="360"/>
              <w:spacing w:after="0"/>
              <w:rPr>
                <w:sz w:val="20"/>
                <w:szCs w:val="20"/>
                <w:color w:val="auto"/>
              </w:rPr>
            </w:pPr>
            <w:r>
              <w:rPr>
                <w:rFonts w:ascii="Arial" w:cs="Arial" w:eastAsia="Arial" w:hAnsi="Arial"/>
                <w:sz w:val="16"/>
                <w:szCs w:val="16"/>
                <w:b w:val="1"/>
                <w:bCs w:val="1"/>
                <w:color w:val="C8504F"/>
              </w:rPr>
              <w:t xml:space="preserve">█ </w:t>
            </w:r>
            <w:r>
              <w:rPr>
                <w:rFonts w:ascii="Arial" w:cs="Arial" w:eastAsia="Arial" w:hAnsi="Arial"/>
                <w:sz w:val="16"/>
                <w:szCs w:val="16"/>
                <w:b w:val="1"/>
                <w:bCs w:val="1"/>
                <w:color w:val="343537"/>
              </w:rPr>
              <w:t>Right Management</w:t>
            </w:r>
          </w:p>
        </w:tc>
        <w:tc>
          <w:tcPr>
            <w:tcW w:w="4800" w:type="dxa"/>
            <w:vAlign w:val="bottom"/>
            <w:vMerge w:val="restart"/>
          </w:tcPr>
          <w:p>
            <w:pPr>
              <w:jc w:val="right"/>
              <w:ind w:right="337"/>
              <w:spacing w:after="0"/>
              <w:rPr>
                <w:sz w:val="20"/>
                <w:szCs w:val="20"/>
                <w:color w:val="auto"/>
              </w:rPr>
            </w:pPr>
            <w:r>
              <w:rPr>
                <w:rFonts w:ascii="Arial" w:cs="Arial" w:eastAsia="Arial" w:hAnsi="Arial"/>
                <w:sz w:val="17"/>
                <w:szCs w:val="17"/>
                <w:color w:val="7F7F7F"/>
              </w:rPr>
              <w:t>7</w:t>
            </w: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408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18" w:name="page19"/>
    <w:bookmarkEnd w:id="18"/>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Americas Segment</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(22% of Revenue)</w:t>
      </w:r>
    </w:p>
    <w:p>
      <w:pPr>
        <w:spacing w:after="0" w:line="383" w:lineRule="exact"/>
        <w:rPr>
          <w:sz w:val="20"/>
          <w:szCs w:val="20"/>
          <w:color w:val="auto"/>
        </w:rPr>
      </w:pPr>
    </w:p>
    <w:tbl>
      <w:tblPr>
        <w:tblLayout w:type="fixed"/>
        <w:tblInd w:w="260" w:type="dxa"/>
        <w:tblCellMar>
          <w:top w:w="0" w:type="dxa"/>
          <w:left w:w="0" w:type="dxa"/>
          <w:bottom w:w="0" w:type="dxa"/>
          <w:right w:w="0" w:type="dxa"/>
        </w:tblCellMar>
      </w:tblPr>
      <w:tr>
        <w:trPr>
          <w:trHeight w:val="36"/>
        </w:trPr>
        <w:tc>
          <w:tcPr>
            <w:tcW w:w="2100" w:type="dxa"/>
            <w:vAlign w:val="bottom"/>
            <w:vMerge w:val="restart"/>
          </w:tcPr>
          <w:p>
            <w:pPr>
              <w:ind w:left="900"/>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14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6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Q2 Financial Highlights</w:t>
            </w:r>
            <w:r>
              <w:rPr>
                <w:rFonts w:ascii="Arial" w:cs="Arial" w:eastAsia="Arial" w:hAnsi="Arial"/>
                <w:sz w:val="17"/>
                <w:szCs w:val="17"/>
                <w:b w:val="1"/>
                <w:bCs w:val="1"/>
                <w:color w:val="282A32"/>
              </w:rPr>
              <w:t>(1)</w:t>
            </w:r>
          </w:p>
        </w:tc>
        <w:tc>
          <w:tcPr>
            <w:tcW w:w="0" w:type="dxa"/>
            <w:vAlign w:val="bottom"/>
          </w:tcPr>
          <w:p>
            <w:pPr>
              <w:spacing w:after="0" w:line="20" w:lineRule="exact"/>
              <w:rPr>
                <w:sz w:val="1"/>
                <w:szCs w:val="1"/>
                <w:color w:val="auto"/>
              </w:rPr>
            </w:pPr>
          </w:p>
        </w:tc>
      </w:tr>
      <w:tr>
        <w:trPr>
          <w:trHeight w:val="262"/>
        </w:trPr>
        <w:tc>
          <w:tcPr>
            <w:tcW w:w="210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14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2100" w:type="dxa"/>
            <w:vAlign w:val="bottom"/>
          </w:tcPr>
          <w:p>
            <w:pPr>
              <w:ind w:left="500"/>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D47C18"/>
          </w:tcPr>
          <w:p>
            <w:pPr>
              <w:spacing w:after="0"/>
              <w:rPr>
                <w:sz w:val="24"/>
                <w:szCs w:val="24"/>
                <w:color w:val="auto"/>
              </w:rPr>
            </w:pP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40" w:type="dxa"/>
            <w:vAlign w:val="bottom"/>
            <w:shd w:val="clear" w:color="auto" w:fill="D47C18"/>
          </w:tcPr>
          <w:p>
            <w:pPr>
              <w:spacing w:after="0"/>
              <w:rPr>
                <w:sz w:val="24"/>
                <w:szCs w:val="24"/>
                <w:color w:val="auto"/>
              </w:rPr>
            </w:pPr>
          </w:p>
        </w:tc>
        <w:tc>
          <w:tcPr>
            <w:tcW w:w="2140" w:type="dxa"/>
            <w:vAlign w:val="bottom"/>
          </w:tcPr>
          <w:p>
            <w:pPr>
              <w:jc w:val="center"/>
              <w:ind w:left="94"/>
              <w:spacing w:after="0"/>
              <w:rPr>
                <w:sz w:val="20"/>
                <w:szCs w:val="20"/>
                <w:color w:val="auto"/>
              </w:rPr>
            </w:pPr>
            <w:r>
              <w:rPr>
                <w:rFonts w:ascii="Arial" w:cs="Arial" w:eastAsia="Arial" w:hAnsi="Arial"/>
                <w:sz w:val="25"/>
                <w:szCs w:val="25"/>
                <w:b w:val="1"/>
                <w:bCs w:val="1"/>
                <w:color w:val="282A32"/>
                <w:w w:val="98"/>
              </w:rPr>
              <w:t xml:space="preserve">Items </w:t>
            </w:r>
            <w:r>
              <w:rPr>
                <w:rFonts w:ascii="Arial" w:cs="Arial" w:eastAsia="Arial" w:hAnsi="Arial"/>
                <w:sz w:val="17"/>
                <w:szCs w:val="17"/>
                <w:b w:val="1"/>
                <w:bCs w:val="1"/>
                <w:color w:val="282A32"/>
                <w:w w:val="98"/>
              </w:rPr>
              <w:t>(2)</w:t>
            </w:r>
          </w:p>
        </w:tc>
        <w:tc>
          <w:tcPr>
            <w:tcW w:w="40" w:type="dxa"/>
            <w:vAlign w:val="bottom"/>
            <w:shd w:val="clear" w:color="auto" w:fill="D47C18"/>
          </w:tcPr>
          <w:p>
            <w:pPr>
              <w:spacing w:after="0"/>
              <w:rPr>
                <w:sz w:val="24"/>
                <w:szCs w:val="24"/>
                <w:color w:val="auto"/>
              </w:rPr>
            </w:pP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10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214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5260" w:type="dxa"/>
            <w:vAlign w:val="bottom"/>
            <w:tcBorders>
              <w:bottom w:val="single" w:sz="8" w:color="D47C18"/>
            </w:tcBorders>
          </w:tcPr>
          <w:p>
            <w:pPr>
              <w:spacing w:after="0"/>
              <w:rPr>
                <w:sz w:val="4"/>
                <w:szCs w:val="4"/>
                <w:color w:val="auto"/>
              </w:rPr>
            </w:pPr>
          </w:p>
        </w:tc>
        <w:tc>
          <w:tcPr>
            <w:tcW w:w="0" w:type="dxa"/>
            <w:vAlign w:val="bottom"/>
          </w:tcPr>
          <w:p>
            <w:pPr>
              <w:spacing w:after="0"/>
              <w:rPr>
                <w:sz w:val="1"/>
                <w:szCs w:val="1"/>
                <w:color w:val="auto"/>
              </w:rPr>
            </w:pPr>
          </w:p>
        </w:tc>
      </w:tr>
      <w:tr>
        <w:trPr>
          <w:trHeight w:val="571"/>
        </w:trPr>
        <w:tc>
          <w:tcPr>
            <w:tcW w:w="2100" w:type="dxa"/>
            <w:vAlign w:val="bottom"/>
          </w:tcPr>
          <w:p>
            <w:pPr>
              <w:jc w:val="right"/>
              <w:ind w:right="408"/>
              <w:spacing w:after="0"/>
              <w:rPr>
                <w:sz w:val="20"/>
                <w:szCs w:val="20"/>
                <w:color w:val="auto"/>
              </w:rPr>
            </w:pPr>
            <w:r>
              <w:rPr>
                <w:rFonts w:ascii="Arial" w:cs="Arial" w:eastAsia="Arial" w:hAnsi="Arial"/>
                <w:sz w:val="38"/>
                <w:szCs w:val="38"/>
                <w:color w:val="282A32"/>
              </w:rPr>
              <w:t>2%</w:t>
            </w:r>
          </w:p>
        </w:tc>
        <w:tc>
          <w:tcPr>
            <w:tcW w:w="40" w:type="dxa"/>
            <w:vAlign w:val="bottom"/>
            <w:shd w:val="clear" w:color="auto" w:fill="D47C18"/>
          </w:tcPr>
          <w:p>
            <w:pPr>
              <w:spacing w:after="0"/>
              <w:rPr>
                <w:sz w:val="24"/>
                <w:szCs w:val="24"/>
                <w:color w:val="auto"/>
              </w:rPr>
            </w:pPr>
          </w:p>
        </w:tc>
        <w:tc>
          <w:tcPr>
            <w:tcW w:w="2140" w:type="dxa"/>
            <w:vAlign w:val="bottom"/>
          </w:tcPr>
          <w:p>
            <w:pPr>
              <w:jc w:val="center"/>
              <w:ind w:left="194"/>
              <w:spacing w:after="0"/>
              <w:rPr>
                <w:sz w:val="20"/>
                <w:szCs w:val="20"/>
                <w:color w:val="auto"/>
              </w:rPr>
            </w:pPr>
            <w:r>
              <w:rPr>
                <w:rFonts w:ascii="Arial" w:cs="Arial" w:eastAsia="Arial" w:hAnsi="Arial"/>
                <w:sz w:val="38"/>
                <w:szCs w:val="38"/>
                <w:color w:val="282A32"/>
                <w:w w:val="98"/>
              </w:rPr>
              <w:t>2%</w:t>
            </w:r>
          </w:p>
        </w:tc>
        <w:tc>
          <w:tcPr>
            <w:tcW w:w="40" w:type="dxa"/>
            <w:vAlign w:val="bottom"/>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$1.2B</w:t>
            </w:r>
          </w:p>
        </w:tc>
        <w:tc>
          <w:tcPr>
            <w:tcW w:w="0" w:type="dxa"/>
            <w:vAlign w:val="bottom"/>
          </w:tcPr>
          <w:p>
            <w:pPr>
              <w:spacing w:after="0"/>
              <w:rPr>
                <w:sz w:val="1"/>
                <w:szCs w:val="1"/>
                <w:color w:val="auto"/>
              </w:rPr>
            </w:pPr>
          </w:p>
        </w:tc>
      </w:tr>
      <w:tr>
        <w:trPr>
          <w:trHeight w:val="265"/>
        </w:trPr>
        <w:tc>
          <w:tcPr>
            <w:tcW w:w="2100" w:type="dxa"/>
            <w:vAlign w:val="bottom"/>
            <w:vMerge w:val="restart"/>
          </w:tcPr>
          <w:p>
            <w:pPr>
              <w:ind w:left="640"/>
              <w:spacing w:after="0"/>
              <w:rPr>
                <w:sz w:val="20"/>
                <w:szCs w:val="20"/>
                <w:color w:val="auto"/>
              </w:rPr>
            </w:pPr>
            <w:r>
              <w:rPr>
                <w:rFonts w:ascii="Arial" w:cs="Arial" w:eastAsia="Arial" w:hAnsi="Arial"/>
                <w:sz w:val="38"/>
                <w:szCs w:val="38"/>
                <w:color w:val="282A32"/>
              </w:rPr>
              <w:t>1% CC</w:t>
            </w:r>
          </w:p>
        </w:tc>
        <w:tc>
          <w:tcPr>
            <w:tcW w:w="40" w:type="dxa"/>
            <w:vAlign w:val="bottom"/>
            <w:shd w:val="clear" w:color="auto" w:fill="D47C18"/>
          </w:tcPr>
          <w:p>
            <w:pPr>
              <w:spacing w:after="0"/>
              <w:rPr>
                <w:sz w:val="23"/>
                <w:szCs w:val="23"/>
                <w:color w:val="auto"/>
              </w:rPr>
            </w:pPr>
          </w:p>
        </w:tc>
        <w:tc>
          <w:tcPr>
            <w:tcW w:w="2140" w:type="dxa"/>
            <w:vAlign w:val="bottom"/>
            <w:vMerge w:val="restart"/>
          </w:tcPr>
          <w:p>
            <w:pPr>
              <w:jc w:val="center"/>
              <w:ind w:left="194"/>
              <w:spacing w:after="0"/>
              <w:rPr>
                <w:sz w:val="20"/>
                <w:szCs w:val="20"/>
                <w:color w:val="auto"/>
              </w:rPr>
            </w:pPr>
            <w:r>
              <w:rPr>
                <w:rFonts w:ascii="Arial" w:cs="Arial" w:eastAsia="Arial" w:hAnsi="Arial"/>
                <w:sz w:val="38"/>
                <w:szCs w:val="38"/>
                <w:color w:val="282A32"/>
              </w:rPr>
              <w:t>1%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40" w:type="dxa"/>
            <w:vAlign w:val="bottom"/>
            <w:shd w:val="clear" w:color="auto" w:fill="D47C18"/>
          </w:tcPr>
          <w:p>
            <w:pPr>
              <w:spacing w:after="0"/>
              <w:rPr>
                <w:sz w:val="17"/>
                <w:szCs w:val="17"/>
                <w:color w:val="auto"/>
              </w:rPr>
            </w:pPr>
          </w:p>
        </w:tc>
        <w:tc>
          <w:tcPr>
            <w:tcW w:w="2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Borders>
              <w:left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14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26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1"/>
        </w:trPr>
        <w:tc>
          <w:tcPr>
            <w:tcW w:w="2100" w:type="dxa"/>
            <w:vAlign w:val="bottom"/>
          </w:tcPr>
          <w:p>
            <w:pPr>
              <w:jc w:val="right"/>
              <w:ind w:right="308"/>
              <w:spacing w:after="0"/>
              <w:rPr>
                <w:sz w:val="20"/>
                <w:szCs w:val="20"/>
                <w:color w:val="auto"/>
              </w:rPr>
            </w:pPr>
            <w:r>
              <w:rPr>
                <w:rFonts w:ascii="Arial" w:cs="Arial" w:eastAsia="Arial" w:hAnsi="Arial"/>
                <w:sz w:val="38"/>
                <w:szCs w:val="38"/>
                <w:color w:val="282A32"/>
              </w:rPr>
              <w:t>54%</w:t>
            </w:r>
          </w:p>
        </w:tc>
        <w:tc>
          <w:tcPr>
            <w:tcW w:w="40" w:type="dxa"/>
            <w:vAlign w:val="bottom"/>
            <w:shd w:val="clear" w:color="auto" w:fill="D47C18"/>
          </w:tcPr>
          <w:p>
            <w:pPr>
              <w:spacing w:after="0"/>
              <w:rPr>
                <w:sz w:val="24"/>
                <w:szCs w:val="24"/>
                <w:color w:val="auto"/>
              </w:rPr>
            </w:pPr>
          </w:p>
        </w:tc>
        <w:tc>
          <w:tcPr>
            <w:tcW w:w="2140" w:type="dxa"/>
            <w:vAlign w:val="bottom"/>
          </w:tcPr>
          <w:p>
            <w:pPr>
              <w:jc w:val="center"/>
              <w:ind w:left="194"/>
              <w:spacing w:after="0"/>
              <w:rPr>
                <w:sz w:val="20"/>
                <w:szCs w:val="20"/>
                <w:color w:val="auto"/>
              </w:rPr>
            </w:pPr>
            <w:r>
              <w:rPr>
                <w:rFonts w:ascii="Arial" w:cs="Arial" w:eastAsia="Arial" w:hAnsi="Arial"/>
                <w:sz w:val="38"/>
                <w:szCs w:val="38"/>
                <w:color w:val="282A32"/>
                <w:w w:val="98"/>
              </w:rPr>
              <w:t>7%</w:t>
            </w:r>
          </w:p>
        </w:tc>
        <w:tc>
          <w:tcPr>
            <w:tcW w:w="40" w:type="dxa"/>
            <w:vAlign w:val="bottom"/>
            <w:shd w:val="clear" w:color="auto" w:fill="D47C18"/>
          </w:tcPr>
          <w:p>
            <w:pPr>
              <w:spacing w:after="0"/>
              <w:rPr>
                <w:sz w:val="24"/>
                <w:szCs w:val="24"/>
                <w:color w:val="auto"/>
              </w:rPr>
            </w:pPr>
          </w:p>
        </w:tc>
        <w:tc>
          <w:tcPr>
            <w:tcW w:w="526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$18M</w:t>
            </w:r>
          </w:p>
        </w:tc>
        <w:tc>
          <w:tcPr>
            <w:tcW w:w="0" w:type="dxa"/>
            <w:vAlign w:val="bottom"/>
          </w:tcPr>
          <w:p>
            <w:pPr>
              <w:spacing w:after="0"/>
              <w:rPr>
                <w:sz w:val="1"/>
                <w:szCs w:val="1"/>
                <w:color w:val="auto"/>
              </w:rPr>
            </w:pPr>
          </w:p>
        </w:tc>
      </w:tr>
      <w:tr>
        <w:trPr>
          <w:trHeight w:val="265"/>
        </w:trPr>
        <w:tc>
          <w:tcPr>
            <w:tcW w:w="2100" w:type="dxa"/>
            <w:vAlign w:val="bottom"/>
            <w:vMerge w:val="restart"/>
          </w:tcPr>
          <w:p>
            <w:pPr>
              <w:ind w:left="520"/>
              <w:spacing w:after="0"/>
              <w:rPr>
                <w:sz w:val="20"/>
                <w:szCs w:val="20"/>
                <w:color w:val="auto"/>
              </w:rPr>
            </w:pPr>
            <w:r>
              <w:rPr>
                <w:rFonts w:ascii="Arial" w:cs="Arial" w:eastAsia="Arial" w:hAnsi="Arial"/>
                <w:sz w:val="38"/>
                <w:szCs w:val="38"/>
                <w:color w:val="282A32"/>
              </w:rPr>
              <w:t>52% CC</w:t>
            </w:r>
          </w:p>
        </w:tc>
        <w:tc>
          <w:tcPr>
            <w:tcW w:w="40" w:type="dxa"/>
            <w:vAlign w:val="bottom"/>
            <w:shd w:val="clear" w:color="auto" w:fill="D47C18"/>
          </w:tcPr>
          <w:p>
            <w:pPr>
              <w:spacing w:after="0"/>
              <w:rPr>
                <w:sz w:val="23"/>
                <w:szCs w:val="23"/>
                <w:color w:val="auto"/>
              </w:rPr>
            </w:pPr>
          </w:p>
        </w:tc>
        <w:tc>
          <w:tcPr>
            <w:tcW w:w="2140" w:type="dxa"/>
            <w:vAlign w:val="bottom"/>
            <w:vMerge w:val="restart"/>
          </w:tcPr>
          <w:p>
            <w:pPr>
              <w:jc w:val="center"/>
              <w:ind w:left="194"/>
              <w:spacing w:after="0"/>
              <w:rPr>
                <w:sz w:val="20"/>
                <w:szCs w:val="20"/>
                <w:color w:val="auto"/>
              </w:rPr>
            </w:pPr>
            <w:r>
              <w:rPr>
                <w:rFonts w:ascii="Arial" w:cs="Arial" w:eastAsia="Arial" w:hAnsi="Arial"/>
                <w:sz w:val="38"/>
                <w:szCs w:val="38"/>
                <w:color w:val="282A32"/>
              </w:rPr>
              <w:t>5% CC</w:t>
            </w:r>
          </w:p>
        </w:tc>
        <w:tc>
          <w:tcPr>
            <w:tcW w:w="40" w:type="dxa"/>
            <w:vAlign w:val="bottom"/>
          </w:tcPr>
          <w:p>
            <w:pPr>
              <w:spacing w:after="0"/>
              <w:rPr>
                <w:sz w:val="23"/>
                <w:szCs w:val="23"/>
                <w:color w:val="auto"/>
              </w:rPr>
            </w:pPr>
          </w:p>
        </w:tc>
        <w:tc>
          <w:tcPr>
            <w:tcW w:w="526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100" w:type="dxa"/>
            <w:vAlign w:val="bottom"/>
            <w:vMerge w:val="continue"/>
          </w:tcPr>
          <w:p>
            <w:pPr>
              <w:spacing w:after="0"/>
              <w:rPr>
                <w:sz w:val="21"/>
                <w:szCs w:val="21"/>
                <w:color w:val="auto"/>
              </w:rPr>
            </w:pPr>
          </w:p>
        </w:tc>
        <w:tc>
          <w:tcPr>
            <w:tcW w:w="40" w:type="dxa"/>
            <w:vAlign w:val="bottom"/>
            <w:shd w:val="clear" w:color="auto" w:fill="D47C18"/>
          </w:tcPr>
          <w:p>
            <w:pPr>
              <w:spacing w:after="0"/>
              <w:rPr>
                <w:sz w:val="21"/>
                <w:szCs w:val="21"/>
                <w:color w:val="auto"/>
              </w:rPr>
            </w:pPr>
          </w:p>
        </w:tc>
        <w:tc>
          <w:tcPr>
            <w:tcW w:w="21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1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14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26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100" w:type="dxa"/>
            <w:vAlign w:val="bottom"/>
          </w:tcPr>
          <w:p>
            <w:pPr>
              <w:ind w:left="560"/>
              <w:spacing w:after="0"/>
              <w:rPr>
                <w:sz w:val="20"/>
                <w:szCs w:val="20"/>
                <w:color w:val="auto"/>
              </w:rPr>
            </w:pPr>
            <w:r>
              <w:rPr>
                <w:rFonts w:ascii="Arial" w:cs="Arial" w:eastAsia="Arial" w:hAnsi="Arial"/>
                <w:sz w:val="38"/>
                <w:szCs w:val="38"/>
                <w:color w:val="282A32"/>
              </w:rPr>
              <w:t>180 bps</w:t>
            </w:r>
          </w:p>
        </w:tc>
        <w:tc>
          <w:tcPr>
            <w:tcW w:w="40" w:type="dxa"/>
            <w:vAlign w:val="bottom"/>
            <w:shd w:val="clear" w:color="auto" w:fill="D47C18"/>
          </w:tcPr>
          <w:p>
            <w:pPr>
              <w:spacing w:after="0"/>
              <w:rPr>
                <w:sz w:val="24"/>
                <w:szCs w:val="24"/>
                <w:color w:val="auto"/>
              </w:rPr>
            </w:pPr>
          </w:p>
        </w:tc>
        <w:tc>
          <w:tcPr>
            <w:tcW w:w="2140" w:type="dxa"/>
            <w:vAlign w:val="bottom"/>
          </w:tcPr>
          <w:p>
            <w:pPr>
              <w:jc w:val="center"/>
              <w:ind w:left="194"/>
              <w:spacing w:after="0"/>
              <w:rPr>
                <w:sz w:val="20"/>
                <w:szCs w:val="20"/>
                <w:color w:val="auto"/>
              </w:rPr>
            </w:pPr>
            <w:r>
              <w:rPr>
                <w:rFonts w:ascii="Arial" w:cs="Arial" w:eastAsia="Arial" w:hAnsi="Arial"/>
                <w:sz w:val="38"/>
                <w:szCs w:val="38"/>
                <w:color w:val="282A32"/>
                <w:w w:val="99"/>
              </w:rPr>
              <w:t>20 bps</w:t>
            </w:r>
          </w:p>
        </w:tc>
        <w:tc>
          <w:tcPr>
            <w:tcW w:w="40" w:type="dxa"/>
            <w:vAlign w:val="bottom"/>
            <w:shd w:val="clear" w:color="auto" w:fill="D47C18"/>
          </w:tcPr>
          <w:p>
            <w:pPr>
              <w:spacing w:after="0"/>
              <w:rPr>
                <w:sz w:val="24"/>
                <w:szCs w:val="24"/>
                <w:color w:val="auto"/>
              </w:rPr>
            </w:pPr>
          </w:p>
        </w:tc>
        <w:tc>
          <w:tcPr>
            <w:tcW w:w="526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1.6%</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40" w:right="1440" w:hanging="283"/>
        <w:spacing w:after="0" w:line="265" w:lineRule="auto"/>
        <w:tabs>
          <w:tab w:leader="none" w:pos="839" w:val="left"/>
        </w:tabs>
        <w:numPr>
          <w:ilvl w:val="0"/>
          <w:numId w:val="5"/>
        </w:numPr>
        <w:rPr>
          <w:rFonts w:ascii="Arial" w:cs="Arial" w:eastAsia="Arial" w:hAnsi="Arial"/>
          <w:sz w:val="17"/>
          <w:szCs w:val="17"/>
          <w:color w:val="343537"/>
        </w:rPr>
      </w:pPr>
      <w:r>
        <w:rPr>
          <w:rFonts w:ascii="Arial" w:cs="Arial" w:eastAsia="Arial" w:hAnsi="Arial"/>
          <w:sz w:val="17"/>
          <w:szCs w:val="17"/>
          <w:color w:val="343537"/>
        </w:rPr>
        <w:t>Included in these amounts is the US, which had revenue of $763M (-4%) and OUP of $8M (-72%, or -10% excluding non-recurring items).</w:t>
      </w:r>
    </w:p>
    <w:p>
      <w:pPr>
        <w:spacing w:after="0" w:line="55" w:lineRule="exact"/>
        <w:rPr>
          <w:rFonts w:ascii="Arial" w:cs="Arial" w:eastAsia="Arial" w:hAnsi="Arial"/>
          <w:sz w:val="17"/>
          <w:szCs w:val="17"/>
          <w:color w:val="343537"/>
        </w:rPr>
      </w:pPr>
    </w:p>
    <w:p>
      <w:pPr>
        <w:ind w:left="840" w:hanging="283"/>
        <w:spacing w:after="0"/>
        <w:tabs>
          <w:tab w:leader="none" w:pos="840" w:val="left"/>
        </w:tabs>
        <w:numPr>
          <w:ilvl w:val="0"/>
          <w:numId w:val="5"/>
        </w:numPr>
        <w:rPr>
          <w:rFonts w:ascii="Arial" w:cs="Arial" w:eastAsia="Arial" w:hAnsi="Arial"/>
          <w:sz w:val="17"/>
          <w:szCs w:val="17"/>
          <w:color w:val="282A32"/>
        </w:rPr>
      </w:pPr>
      <w:r>
        <w:rPr>
          <w:rFonts w:ascii="Arial" w:cs="Arial" w:eastAsia="Arial" w:hAnsi="Arial"/>
          <w:sz w:val="17"/>
          <w:szCs w:val="17"/>
          <w:color w:val="282A32"/>
        </w:rPr>
        <w:t>Excludes the impact of non-recurring items of $18.3M in Q2 2012</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43537"/>
        </w:rPr>
        <w:t>Operating Unit Profit (OUP) is the measure that we use to evaluate segment performance. OUP is</w:t>
      </w:r>
    </w:p>
    <w:p>
      <w:pPr>
        <w:ind w:left="480"/>
        <w:spacing w:after="0"/>
        <w:rPr>
          <w:sz w:val="20"/>
          <w:szCs w:val="20"/>
          <w:color w:val="auto"/>
        </w:rPr>
      </w:pPr>
      <w:r>
        <w:rPr>
          <w:rFonts w:ascii="Arial" w:cs="Arial" w:eastAsia="Arial" w:hAnsi="Arial"/>
          <w:sz w:val="19"/>
          <w:szCs w:val="19"/>
          <w:b w:val="1"/>
          <w:bCs w:val="1"/>
          <w:color w:val="343537"/>
        </w:rPr>
        <w:t xml:space="preserve">equal to segment revenues less direct costs and branch and national headquarters operating </w:t>
      </w:r>
      <w:r>
        <w:rPr>
          <w:rFonts w:ascii="Arial" w:cs="Arial" w:eastAsia="Arial" w:hAnsi="Arial"/>
          <w:sz w:val="34"/>
          <w:szCs w:val="34"/>
          <w:color w:val="7F7F7F"/>
          <w:vertAlign w:val="superscript"/>
        </w:rPr>
        <w:t>8</w:t>
      </w:r>
      <w:r>
        <w:rPr>
          <w:rFonts w:ascii="Arial" w:cs="Arial" w:eastAsia="Arial" w:hAnsi="Arial"/>
          <w:sz w:val="19"/>
          <w:szCs w:val="19"/>
          <w:b w:val="1"/>
          <w:bCs w:val="1"/>
          <w:color w:val="343537"/>
        </w:rPr>
        <w:t xml:space="preser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340360</wp:posOffset>
            </wp:positionV>
            <wp:extent cx="726821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40"/>
          </w:cols>
          <w:pgMar w:left="820" w:top="516" w:right="639" w:bottom="1440" w:gutter="0" w:footer="0" w:header="0"/>
        </w:sectPr>
      </w:pPr>
    </w:p>
    <w:bookmarkStart w:id="19" w:name="page20"/>
    <w:bookmarkEnd w:id="19"/>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ectPr>
          <w:pgSz w:w="11900" w:h="16838" w:orient="portrait"/>
          <w:cols w:equalWidth="0" w:num="1">
            <w:col w:w="10120"/>
          </w:cols>
          <w:pgMar w:left="820" w:top="516"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47"/>
          <w:szCs w:val="47"/>
          <w:color w:val="5F81AA"/>
        </w:rPr>
        <w:t>Americas - Q2 Revenue Growth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4594860</wp:posOffset>
            </wp:positionV>
            <wp:extent cx="726821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20"/>
          </w:cols>
          <w:pgMar w:left="820" w:top="516" w:right="959" w:bottom="1440" w:gutter="0" w:footer="0" w:header="0"/>
          <w:type w:val="continuous"/>
        </w:sectPr>
      </w:pPr>
    </w:p>
    <w:bookmarkStart w:id="20" w:name="page21"/>
    <w:bookmarkEnd w:id="20"/>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Southern Europe Segment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(36% of Revenue)</w:t>
      </w:r>
    </w:p>
    <w:p>
      <w:pPr>
        <w:spacing w:after="0" w:line="200" w:lineRule="exact"/>
        <w:rPr>
          <w:sz w:val="20"/>
          <w:szCs w:val="20"/>
          <w:color w:val="auto"/>
        </w:rPr>
      </w:pPr>
    </w:p>
    <w:p>
      <w:pPr>
        <w:spacing w:after="0" w:line="351"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540" w:type="dxa"/>
            <w:vAlign w:val="bottom"/>
            <w:tcBorders>
              <w:right w:val="single" w:sz="8" w:color="D47C18"/>
            </w:tcBorders>
          </w:tcPr>
          <w:p>
            <w:pPr>
              <w:ind w:left="1060"/>
              <w:spacing w:after="0"/>
              <w:rPr>
                <w:sz w:val="20"/>
                <w:szCs w:val="20"/>
                <w:color w:val="auto"/>
              </w:rPr>
            </w:pPr>
            <w:r>
              <w:rPr>
                <w:rFonts w:ascii="Arial" w:cs="Arial" w:eastAsia="Arial" w:hAnsi="Arial"/>
                <w:sz w:val="29"/>
                <w:szCs w:val="29"/>
                <w:b w:val="1"/>
                <w:bCs w:val="1"/>
                <w:color w:val="282A32"/>
              </w:rPr>
              <w:t>As</w:t>
            </w:r>
          </w:p>
        </w:tc>
        <w:tc>
          <w:tcPr>
            <w:tcW w:w="5220" w:type="dxa"/>
            <w:vAlign w:val="bottom"/>
            <w:vMerge w:val="restart"/>
          </w:tcPr>
          <w:p>
            <w:pPr>
              <w:ind w:left="300"/>
              <w:spacing w:after="0"/>
              <w:rPr>
                <w:sz w:val="20"/>
                <w:szCs w:val="20"/>
                <w:color w:val="auto"/>
              </w:rPr>
            </w:pPr>
            <w:r>
              <w:rPr>
                <w:rFonts w:ascii="Arial" w:cs="Arial" w:eastAsia="Arial" w:hAnsi="Arial"/>
                <w:sz w:val="41"/>
                <w:szCs w:val="41"/>
                <w:b w:val="1"/>
                <w:bCs w:val="1"/>
                <w:color w:val="auto"/>
              </w:rPr>
              <w:t>Q2 Financial Highlights</w:t>
            </w:r>
            <w:r>
              <w:rPr>
                <w:rFonts w:ascii="Arial" w:cs="Arial" w:eastAsia="Arial" w:hAnsi="Arial"/>
                <w:sz w:val="34"/>
                <w:szCs w:val="34"/>
                <w:b w:val="1"/>
                <w:bCs w:val="1"/>
                <w:color w:val="282A32"/>
                <w:vertAlign w:val="superscript"/>
              </w:rPr>
              <w:t>(1)</w:t>
            </w:r>
          </w:p>
        </w:tc>
        <w:tc>
          <w:tcPr>
            <w:tcW w:w="0" w:type="dxa"/>
            <w:vAlign w:val="bottom"/>
          </w:tcPr>
          <w:p>
            <w:pPr>
              <w:spacing w:after="0"/>
              <w:rPr>
                <w:sz w:val="1"/>
                <w:szCs w:val="1"/>
                <w:color w:val="auto"/>
              </w:rPr>
            </w:pPr>
          </w:p>
        </w:tc>
      </w:tr>
      <w:tr>
        <w:trPr>
          <w:trHeight w:val="488"/>
        </w:trPr>
        <w:tc>
          <w:tcPr>
            <w:tcW w:w="2540" w:type="dxa"/>
            <w:vAlign w:val="bottom"/>
            <w:tcBorders>
              <w:right w:val="single" w:sz="8" w:color="D47C18"/>
            </w:tcBorders>
          </w:tcPr>
          <w:p>
            <w:pPr>
              <w:jc w:val="center"/>
              <w:ind w:left="43"/>
              <w:spacing w:after="0"/>
              <w:rPr>
                <w:sz w:val="20"/>
                <w:szCs w:val="20"/>
                <w:color w:val="auto"/>
              </w:rPr>
            </w:pPr>
            <w:r>
              <w:rPr>
                <w:rFonts w:ascii="Arial" w:cs="Arial" w:eastAsia="Arial" w:hAnsi="Arial"/>
                <w:sz w:val="29"/>
                <w:szCs w:val="29"/>
                <w:b w:val="1"/>
                <w:bCs w:val="1"/>
                <w:color w:val="282A32"/>
                <w:w w:val="93"/>
              </w:rPr>
              <w:t xml:space="preserve">Reported </w:t>
            </w:r>
            <w:r>
              <w:rPr>
                <w:rFonts w:ascii="Arial" w:cs="Arial" w:eastAsia="Arial" w:hAnsi="Arial"/>
                <w:sz w:val="34"/>
                <w:szCs w:val="34"/>
                <w:b w:val="1"/>
                <w:bCs w:val="1"/>
                <w:color w:val="282A32"/>
                <w:w w:val="93"/>
                <w:vertAlign w:val="superscript"/>
              </w:rPr>
              <w:t>(2)</w:t>
            </w: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40" w:type="dxa"/>
            <w:vAlign w:val="bottom"/>
            <w:tcBorders>
              <w:bottom w:val="single" w:sz="8" w:color="D47C18"/>
              <w:right w:val="single" w:sz="8" w:color="D47C18"/>
            </w:tcBorders>
          </w:tcPr>
          <w:p>
            <w:pPr>
              <w:spacing w:after="0"/>
              <w:rPr>
                <w:sz w:val="19"/>
                <w:szCs w:val="19"/>
                <w:color w:val="auto"/>
              </w:rPr>
            </w:pPr>
          </w:p>
        </w:tc>
        <w:tc>
          <w:tcPr>
            <w:tcW w:w="5220" w:type="dxa"/>
            <w:vAlign w:val="bottom"/>
            <w:tcBorders>
              <w:bottom w:val="single" w:sz="8" w:color="D47C18"/>
            </w:tcBorders>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w w:val="99"/>
              </w:rPr>
              <w:t>13%</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343537"/>
              </w:rPr>
              <w:t xml:space="preserve">Revenue </w:t>
            </w:r>
            <w:r>
              <w:rPr>
                <w:rFonts w:ascii="Arial" w:cs="Arial" w:eastAsia="Arial" w:hAnsi="Arial"/>
                <w:sz w:val="44"/>
                <w:szCs w:val="44"/>
                <w:b w:val="1"/>
                <w:bCs w:val="1"/>
                <w:color w:val="5F81AA"/>
              </w:rPr>
              <w:t>$1.9B</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343537"/>
                <w:w w:val="99"/>
              </w:rPr>
              <w:t>3%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540" w:type="dxa"/>
            <w:vAlign w:val="bottom"/>
            <w:tcBorders>
              <w:right w:val="single" w:sz="8" w:color="D47C18"/>
            </w:tcBorders>
            <w:vMerge w:val="continue"/>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40" w:type="dxa"/>
            <w:vAlign w:val="bottom"/>
            <w:tcBorders>
              <w:bottom w:val="single" w:sz="8" w:color="D47C18"/>
              <w:right w:val="single" w:sz="8" w:color="D47C18"/>
            </w:tcBorders>
          </w:tcPr>
          <w:p>
            <w:pPr>
              <w:spacing w:after="0"/>
              <w:rPr>
                <w:sz w:val="6"/>
                <w:szCs w:val="6"/>
                <w:color w:val="auto"/>
              </w:rPr>
            </w:pPr>
          </w:p>
        </w:tc>
        <w:tc>
          <w:tcPr>
            <w:tcW w:w="522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w w:val="99"/>
              </w:rPr>
              <w:t>38%</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343537"/>
              </w:rPr>
              <w:t xml:space="preserve">OUP </w:t>
            </w:r>
            <w:r>
              <w:rPr>
                <w:rFonts w:ascii="Arial" w:cs="Arial" w:eastAsia="Arial" w:hAnsi="Arial"/>
                <w:sz w:val="44"/>
                <w:szCs w:val="44"/>
                <w:b w:val="1"/>
                <w:bCs w:val="1"/>
                <w:color w:val="5F81AA"/>
              </w:rPr>
              <w:t>$31M</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343537"/>
                <w:w w:val="98"/>
              </w:rPr>
              <w:t>30%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540" w:type="dxa"/>
            <w:vAlign w:val="bottom"/>
            <w:tcBorders>
              <w:right w:val="single" w:sz="8" w:color="D47C18"/>
            </w:tcBorders>
            <w:vMerge w:val="continue"/>
          </w:tcPr>
          <w:p>
            <w:pPr>
              <w:spacing w:after="0"/>
              <w:rPr>
                <w:sz w:val="21"/>
                <w:szCs w:val="21"/>
                <w:color w:val="auto"/>
              </w:rPr>
            </w:pP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40" w:type="dxa"/>
            <w:vAlign w:val="bottom"/>
            <w:tcBorders>
              <w:bottom w:val="single" w:sz="8" w:color="D47C18"/>
              <w:right w:val="single" w:sz="8" w:color="D47C18"/>
            </w:tcBorders>
          </w:tcPr>
          <w:p>
            <w:pPr>
              <w:spacing w:after="0"/>
              <w:rPr>
                <w:sz w:val="3"/>
                <w:szCs w:val="3"/>
                <w:color w:val="auto"/>
              </w:rPr>
            </w:pPr>
          </w:p>
        </w:tc>
        <w:tc>
          <w:tcPr>
            <w:tcW w:w="522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rPr>
              <w:t>70 bps</w:t>
            </w:r>
          </w:p>
        </w:tc>
        <w:tc>
          <w:tcPr>
            <w:tcW w:w="5220" w:type="dxa"/>
            <w:vAlign w:val="bottom"/>
          </w:tcPr>
          <w:p>
            <w:pPr>
              <w:ind w:left="300"/>
              <w:spacing w:after="0"/>
              <w:rPr>
                <w:sz w:val="20"/>
                <w:szCs w:val="20"/>
                <w:color w:val="auto"/>
              </w:rPr>
            </w:pPr>
            <w:r>
              <w:rPr>
                <w:rFonts w:ascii="Arial" w:cs="Arial" w:eastAsia="Arial" w:hAnsi="Arial"/>
                <w:sz w:val="41"/>
                <w:szCs w:val="41"/>
                <w:b w:val="1"/>
                <w:bCs w:val="1"/>
                <w:color w:val="343537"/>
              </w:rPr>
              <w:t xml:space="preserve">OUP Margin </w:t>
            </w:r>
            <w:r>
              <w:rPr>
                <w:rFonts w:ascii="Arial" w:cs="Arial" w:eastAsia="Arial" w:hAnsi="Arial"/>
                <w:sz w:val="44"/>
                <w:szCs w:val="44"/>
                <w:b w:val="1"/>
                <w:bCs w:val="1"/>
                <w:color w:val="5F81AA"/>
              </w:rPr>
              <w:t>1.6%</w:t>
            </w:r>
          </w:p>
        </w:tc>
        <w:tc>
          <w:tcPr>
            <w:tcW w:w="0" w:type="dxa"/>
            <w:vAlign w:val="bottom"/>
          </w:tcPr>
          <w:p>
            <w:pPr>
              <w:spacing w:after="0"/>
              <w:rPr>
                <w:sz w:val="1"/>
                <w:szCs w:val="1"/>
                <w:color w:val="auto"/>
              </w:rPr>
            </w:pPr>
          </w:p>
        </w:tc>
      </w:tr>
      <w:tr>
        <w:trPr>
          <w:trHeight w:val="223"/>
        </w:trPr>
        <w:tc>
          <w:tcPr>
            <w:tcW w:w="2540" w:type="dxa"/>
            <w:vAlign w:val="bottom"/>
            <w:tcBorders>
              <w:right w:val="single" w:sz="8" w:color="D47C18"/>
            </w:tcBorders>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80" w:right="440" w:hanging="290"/>
        <w:spacing w:after="0" w:line="258" w:lineRule="auto"/>
        <w:tabs>
          <w:tab w:leader="none" w:pos="675" w:val="left"/>
        </w:tabs>
        <w:numPr>
          <w:ilvl w:val="0"/>
          <w:numId w:val="6"/>
        </w:numPr>
        <w:rPr>
          <w:rFonts w:ascii="Arial" w:cs="Arial" w:eastAsia="Arial" w:hAnsi="Arial"/>
          <w:sz w:val="19"/>
          <w:szCs w:val="19"/>
          <w:color w:val="343537"/>
        </w:rPr>
      </w:pPr>
      <w:r>
        <w:rPr>
          <w:rFonts w:ascii="Arial" w:cs="Arial" w:eastAsia="Arial" w:hAnsi="Arial"/>
          <w:sz w:val="19"/>
          <w:szCs w:val="19"/>
          <w:color w:val="343537"/>
        </w:rPr>
        <w:t>Included in these amounts is France, which had revenue of $1.4B (-3% CC) and OUP of $16M (-29% CC). On an organic basis, France revenue decreased 15% (-5% in CC).</w:t>
      </w:r>
    </w:p>
    <w:p>
      <w:pPr>
        <w:spacing w:after="0" w:line="15" w:lineRule="exact"/>
        <w:rPr>
          <w:rFonts w:ascii="Arial" w:cs="Arial" w:eastAsia="Arial" w:hAnsi="Arial"/>
          <w:sz w:val="19"/>
          <w:szCs w:val="19"/>
          <w:color w:val="343537"/>
        </w:rPr>
      </w:pPr>
    </w:p>
    <w:p>
      <w:pPr>
        <w:ind w:left="680" w:hanging="290"/>
        <w:spacing w:after="0"/>
        <w:tabs>
          <w:tab w:leader="none" w:pos="680" w:val="left"/>
        </w:tabs>
        <w:numPr>
          <w:ilvl w:val="0"/>
          <w:numId w:val="6"/>
        </w:numPr>
        <w:rPr>
          <w:rFonts w:ascii="Arial" w:cs="Arial" w:eastAsia="Arial" w:hAnsi="Arial"/>
          <w:sz w:val="19"/>
          <w:szCs w:val="19"/>
          <w:color w:val="343537"/>
        </w:rPr>
      </w:pPr>
      <w:r>
        <w:rPr>
          <w:rFonts w:ascii="Arial" w:cs="Arial" w:eastAsia="Arial" w:hAnsi="Arial"/>
          <w:sz w:val="19"/>
          <w:szCs w:val="19"/>
          <w:color w:val="343537"/>
        </w:rPr>
        <w:t>On an organic basis, Segment revenue decreased 15% (-4% in CC).</w:t>
      </w:r>
    </w:p>
    <w:p>
      <w:pPr>
        <w:jc w:val="right"/>
        <w:spacing w:after="0"/>
        <w:rPr>
          <w:sz w:val="20"/>
          <w:szCs w:val="20"/>
          <w:color w:val="auto"/>
        </w:rPr>
      </w:pPr>
      <w:r>
        <w:rPr>
          <w:rFonts w:ascii="Arial" w:cs="Arial" w:eastAsia="Arial" w:hAnsi="Arial"/>
          <w:sz w:val="17"/>
          <w:szCs w:val="17"/>
          <w:color w:val="7F7F7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820" w:top="516" w:right="659" w:bottom="1440" w:gutter="0" w:footer="0" w:header="0"/>
        </w:sectPr>
      </w:pPr>
    </w:p>
    <w:bookmarkStart w:id="21" w:name="page22"/>
    <w:bookmarkEnd w:id="21"/>
    <w:p>
      <w:pPr>
        <w:ind w:left="580"/>
        <w:spacing w:after="0"/>
        <w:tabs>
          <w:tab w:leader="none" w:pos="960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48"/>
          <w:szCs w:val="48"/>
          <w:color w:val="5F81AA"/>
        </w:rPr>
        <w:t>Southern Europe - Q2 Revenue Growth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9000" w:type="dxa"/>
            <w:vAlign w:val="bottom"/>
          </w:tcPr>
          <w:p>
            <w:pPr>
              <w:ind w:left="1260"/>
              <w:spacing w:after="0"/>
              <w:rPr>
                <w:sz w:val="20"/>
                <w:szCs w:val="20"/>
                <w:color w:val="auto"/>
              </w:rPr>
            </w:pPr>
            <w:r>
              <w:rPr>
                <w:rFonts w:ascii="Arial" w:cs="Arial" w:eastAsia="Arial" w:hAnsi="Arial"/>
                <w:sz w:val="19"/>
                <w:szCs w:val="19"/>
                <w:color w:val="343537"/>
              </w:rPr>
              <w:t>(1) On an organic basis, France revenue decreased 15% (-5% in CC).</w:t>
            </w:r>
          </w:p>
        </w:tc>
        <w:tc>
          <w:tcPr>
            <w:tcW w:w="2440" w:type="dxa"/>
            <w:vAlign w:val="bottom"/>
          </w:tcPr>
          <w:p>
            <w:pPr>
              <w:jc w:val="right"/>
              <w:ind w:right="333"/>
              <w:spacing w:after="0"/>
              <w:rPr>
                <w:sz w:val="20"/>
                <w:szCs w:val="20"/>
                <w:color w:val="auto"/>
              </w:rPr>
            </w:pPr>
            <w:r>
              <w:rPr>
                <w:rFonts w:ascii="Arial" w:cs="Arial" w:eastAsia="Arial" w:hAnsi="Arial"/>
                <w:sz w:val="17"/>
                <w:szCs w:val="17"/>
                <w:color w:val="7F7F7F"/>
              </w:rPr>
              <w:t>11</w:t>
            </w:r>
          </w:p>
        </w:tc>
      </w:tr>
      <w:tr>
        <w:trPr>
          <w:trHeight w:val="665"/>
        </w:trPr>
        <w:tc>
          <w:tcPr>
            <w:tcW w:w="9000" w:type="dxa"/>
            <w:vAlign w:val="bottom"/>
            <w:tcBorders>
              <w:bottom w:val="single" w:sz="8" w:color="808080"/>
            </w:tcBorders>
          </w:tcPr>
          <w:p>
            <w:pPr>
              <w:spacing w:after="0"/>
              <w:rPr>
                <w:sz w:val="24"/>
                <w:szCs w:val="24"/>
                <w:color w:val="auto"/>
              </w:rPr>
            </w:pPr>
          </w:p>
        </w:tc>
        <w:tc>
          <w:tcPr>
            <w:tcW w:w="2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16" w:right="219" w:bottom="1440" w:gutter="0" w:footer="0" w:header="0"/>
        </w:sectPr>
      </w:pPr>
    </w:p>
    <w:bookmarkStart w:id="22" w:name="page23"/>
    <w:bookmarkEnd w:id="22"/>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Northern Europe Segment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(27% of Revenue)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54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7"/>
              </w:rPr>
              <w:t>As</w:t>
            </w:r>
          </w:p>
        </w:tc>
        <w:tc>
          <w:tcPr>
            <w:tcW w:w="5220" w:type="dxa"/>
            <w:vAlign w:val="bottom"/>
            <w:vMerge w:val="restart"/>
          </w:tcPr>
          <w:p>
            <w:pPr>
              <w:ind w:left="3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454"/>
        </w:trPr>
        <w:tc>
          <w:tcPr>
            <w:tcW w:w="254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8"/>
              </w:rPr>
              <w:t>Reported</w:t>
            </w: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540" w:type="dxa"/>
            <w:vAlign w:val="bottom"/>
            <w:tcBorders>
              <w:bottom w:val="single" w:sz="8" w:color="D47C18"/>
              <w:right w:val="single" w:sz="8" w:color="D47C18"/>
            </w:tcBorders>
          </w:tcPr>
          <w:p>
            <w:pPr>
              <w:spacing w:after="0"/>
              <w:rPr>
                <w:sz w:val="22"/>
                <w:szCs w:val="22"/>
                <w:color w:val="auto"/>
              </w:rPr>
            </w:pPr>
          </w:p>
        </w:tc>
        <w:tc>
          <w:tcPr>
            <w:tcW w:w="5220" w:type="dxa"/>
            <w:vAlign w:val="bottom"/>
            <w:tcBorders>
              <w:bottom w:val="single" w:sz="8" w:color="D47C18"/>
            </w:tcBorders>
          </w:tcPr>
          <w:p>
            <w:pPr>
              <w:spacing w:after="0"/>
              <w:rPr>
                <w:sz w:val="22"/>
                <w:szCs w:val="22"/>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w w:val="99"/>
              </w:rPr>
              <w:t>10%</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343537"/>
              </w:rPr>
              <w:t xml:space="preserve">Revenue </w:t>
            </w:r>
            <w:r>
              <w:rPr>
                <w:rFonts w:ascii="Arial" w:cs="Arial" w:eastAsia="Arial" w:hAnsi="Arial"/>
                <w:sz w:val="44"/>
                <w:szCs w:val="44"/>
                <w:b w:val="1"/>
                <w:bCs w:val="1"/>
                <w:color w:val="5F81AA"/>
              </w:rPr>
              <w:t>$1.4B</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343537"/>
                <w:w w:val="99"/>
              </w:rPr>
              <w:t>1%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540" w:type="dxa"/>
            <w:vAlign w:val="bottom"/>
            <w:tcBorders>
              <w:right w:val="single" w:sz="8" w:color="D47C18"/>
            </w:tcBorders>
            <w:vMerge w:val="continue"/>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40" w:type="dxa"/>
            <w:vAlign w:val="bottom"/>
            <w:tcBorders>
              <w:bottom w:val="single" w:sz="8" w:color="D47C18"/>
              <w:right w:val="single" w:sz="8" w:color="D47C18"/>
            </w:tcBorders>
          </w:tcPr>
          <w:p>
            <w:pPr>
              <w:spacing w:after="0"/>
              <w:rPr>
                <w:sz w:val="6"/>
                <w:szCs w:val="6"/>
                <w:color w:val="auto"/>
              </w:rPr>
            </w:pPr>
          </w:p>
        </w:tc>
        <w:tc>
          <w:tcPr>
            <w:tcW w:w="522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w w:val="99"/>
              </w:rPr>
              <w:t>30%</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343537"/>
              </w:rPr>
              <w:t xml:space="preserve">OUP </w:t>
            </w:r>
            <w:r>
              <w:rPr>
                <w:rFonts w:ascii="Arial" w:cs="Arial" w:eastAsia="Arial" w:hAnsi="Arial"/>
                <w:sz w:val="44"/>
                <w:szCs w:val="44"/>
                <w:b w:val="1"/>
                <w:bCs w:val="1"/>
                <w:color w:val="5F81AA"/>
              </w:rPr>
              <w:t>$39M</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343537"/>
                <w:w w:val="98"/>
              </w:rPr>
              <w:t>24%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540" w:type="dxa"/>
            <w:vAlign w:val="bottom"/>
            <w:tcBorders>
              <w:right w:val="single" w:sz="8" w:color="D47C18"/>
            </w:tcBorders>
            <w:vMerge w:val="continue"/>
          </w:tcPr>
          <w:p>
            <w:pPr>
              <w:spacing w:after="0"/>
              <w:rPr>
                <w:sz w:val="21"/>
                <w:szCs w:val="21"/>
                <w:color w:val="auto"/>
              </w:rPr>
            </w:pP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40" w:type="dxa"/>
            <w:vAlign w:val="bottom"/>
            <w:tcBorders>
              <w:bottom w:val="single" w:sz="8" w:color="D47C18"/>
              <w:right w:val="single" w:sz="8" w:color="D47C18"/>
            </w:tcBorders>
          </w:tcPr>
          <w:p>
            <w:pPr>
              <w:spacing w:after="0"/>
              <w:rPr>
                <w:sz w:val="3"/>
                <w:szCs w:val="3"/>
                <w:color w:val="auto"/>
              </w:rPr>
            </w:pPr>
          </w:p>
        </w:tc>
        <w:tc>
          <w:tcPr>
            <w:tcW w:w="522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rPr>
              <w:t>80 bps</w:t>
            </w:r>
          </w:p>
        </w:tc>
        <w:tc>
          <w:tcPr>
            <w:tcW w:w="5220" w:type="dxa"/>
            <w:vAlign w:val="bottom"/>
          </w:tcPr>
          <w:p>
            <w:pPr>
              <w:ind w:left="300"/>
              <w:spacing w:after="0"/>
              <w:rPr>
                <w:sz w:val="20"/>
                <w:szCs w:val="20"/>
                <w:color w:val="auto"/>
              </w:rPr>
            </w:pPr>
            <w:r>
              <w:rPr>
                <w:rFonts w:ascii="Arial" w:cs="Arial" w:eastAsia="Arial" w:hAnsi="Arial"/>
                <w:sz w:val="41"/>
                <w:szCs w:val="41"/>
                <w:b w:val="1"/>
                <w:bCs w:val="1"/>
                <w:color w:val="343537"/>
              </w:rPr>
              <w:t xml:space="preserve">OUP Margin </w:t>
            </w:r>
            <w:r>
              <w:rPr>
                <w:rFonts w:ascii="Arial" w:cs="Arial" w:eastAsia="Arial" w:hAnsi="Arial"/>
                <w:sz w:val="44"/>
                <w:szCs w:val="44"/>
                <w:b w:val="1"/>
                <w:bCs w:val="1"/>
                <w:color w:val="5F81AA"/>
              </w:rPr>
              <w:t>2.8%</w:t>
            </w:r>
          </w:p>
        </w:tc>
        <w:tc>
          <w:tcPr>
            <w:tcW w:w="0" w:type="dxa"/>
            <w:vAlign w:val="bottom"/>
          </w:tcPr>
          <w:p>
            <w:pPr>
              <w:spacing w:after="0"/>
              <w:rPr>
                <w:sz w:val="1"/>
                <w:szCs w:val="1"/>
                <w:color w:val="auto"/>
              </w:rPr>
            </w:pPr>
          </w:p>
        </w:tc>
      </w:tr>
      <w:tr>
        <w:trPr>
          <w:trHeight w:val="223"/>
        </w:trPr>
        <w:tc>
          <w:tcPr>
            <w:tcW w:w="2540" w:type="dxa"/>
            <w:vAlign w:val="bottom"/>
            <w:tcBorders>
              <w:right w:val="single" w:sz="8" w:color="D47C18"/>
            </w:tcBorders>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40"/>
          </w:cols>
          <w:pgMar w:left="820" w:top="516" w:right="639" w:bottom="1440" w:gutter="0" w:footer="0" w:header="0"/>
        </w:sectPr>
      </w:pPr>
    </w:p>
    <w:bookmarkStart w:id="23" w:name="page24"/>
    <w:bookmarkEnd w:id="23"/>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ectPr>
          <w:pgSz w:w="11900" w:h="16838" w:orient="portrait"/>
          <w:cols w:equalWidth="0" w:num="1">
            <w:col w:w="10120"/>
          </w:cols>
          <w:pgMar w:left="820" w:top="516" w:right="9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Arial" w:cs="Arial" w:eastAsia="Arial" w:hAnsi="Arial"/>
          <w:sz w:val="47"/>
          <w:szCs w:val="47"/>
          <w:color w:val="5F81AA"/>
        </w:rPr>
        <w:t>Northern Europe - Q2 Revenue Growth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4647565</wp:posOffset>
            </wp:positionV>
            <wp:extent cx="726821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20"/>
          </w:cols>
          <w:pgMar w:left="820" w:top="516" w:right="959" w:bottom="1440" w:gutter="0" w:footer="0" w:header="0"/>
          <w:type w:val="continuous"/>
        </w:sectPr>
      </w:pPr>
    </w:p>
    <w:bookmarkStart w:id="24" w:name="page25"/>
    <w:bookmarkEnd w:id="24"/>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51"/>
          <w:szCs w:val="51"/>
          <w:color w:val="5F81AA"/>
        </w:rPr>
        <w:t>APME Segment</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32"/>
          <w:szCs w:val="32"/>
          <w:color w:val="5F81AA"/>
        </w:rPr>
        <w:t>(13% of Revenue)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54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7"/>
              </w:rPr>
              <w:t>As</w:t>
            </w:r>
          </w:p>
        </w:tc>
        <w:tc>
          <w:tcPr>
            <w:tcW w:w="5220" w:type="dxa"/>
            <w:vAlign w:val="bottom"/>
            <w:vMerge w:val="restart"/>
          </w:tcPr>
          <w:p>
            <w:pPr>
              <w:ind w:left="3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454"/>
        </w:trPr>
        <w:tc>
          <w:tcPr>
            <w:tcW w:w="254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8"/>
              </w:rPr>
              <w:t>Reported</w:t>
            </w:r>
          </w:p>
        </w:tc>
        <w:tc>
          <w:tcPr>
            <w:tcW w:w="5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540" w:type="dxa"/>
            <w:vAlign w:val="bottom"/>
            <w:tcBorders>
              <w:bottom w:val="single" w:sz="8" w:color="D47C18"/>
              <w:right w:val="single" w:sz="8" w:color="D47C18"/>
            </w:tcBorders>
          </w:tcPr>
          <w:p>
            <w:pPr>
              <w:spacing w:after="0"/>
              <w:rPr>
                <w:sz w:val="22"/>
                <w:szCs w:val="22"/>
                <w:color w:val="auto"/>
              </w:rPr>
            </w:pPr>
          </w:p>
        </w:tc>
        <w:tc>
          <w:tcPr>
            <w:tcW w:w="5220" w:type="dxa"/>
            <w:vAlign w:val="bottom"/>
            <w:tcBorders>
              <w:bottom w:val="single" w:sz="8" w:color="D47C18"/>
            </w:tcBorders>
          </w:tcPr>
          <w:p>
            <w:pPr>
              <w:spacing w:after="0"/>
              <w:rPr>
                <w:sz w:val="22"/>
                <w:szCs w:val="22"/>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right"/>
              <w:ind w:right="663"/>
              <w:spacing w:after="0"/>
              <w:rPr>
                <w:sz w:val="20"/>
                <w:szCs w:val="20"/>
                <w:color w:val="auto"/>
              </w:rPr>
            </w:pPr>
            <w:r>
              <w:rPr>
                <w:rFonts w:ascii="Arial" w:cs="Arial" w:eastAsia="Arial" w:hAnsi="Arial"/>
                <w:sz w:val="38"/>
                <w:szCs w:val="38"/>
                <w:color w:val="343537"/>
              </w:rPr>
              <w:t>0%</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343537"/>
              </w:rPr>
              <w:t xml:space="preserve">Revenue </w:t>
            </w:r>
            <w:r>
              <w:rPr>
                <w:rFonts w:ascii="Arial" w:cs="Arial" w:eastAsia="Arial" w:hAnsi="Arial"/>
                <w:sz w:val="44"/>
                <w:szCs w:val="44"/>
                <w:b w:val="1"/>
                <w:bCs w:val="1"/>
                <w:color w:val="5F81AA"/>
              </w:rPr>
              <w:t>$663M</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343537"/>
                <w:w w:val="99"/>
              </w:rPr>
              <w:t>2%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540" w:type="dxa"/>
            <w:vAlign w:val="bottom"/>
            <w:tcBorders>
              <w:right w:val="single" w:sz="8" w:color="D47C18"/>
            </w:tcBorders>
            <w:vMerge w:val="continue"/>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40" w:type="dxa"/>
            <w:vAlign w:val="bottom"/>
            <w:tcBorders>
              <w:bottom w:val="single" w:sz="8" w:color="D47C18"/>
              <w:right w:val="single" w:sz="8" w:color="D47C18"/>
            </w:tcBorders>
          </w:tcPr>
          <w:p>
            <w:pPr>
              <w:spacing w:after="0"/>
              <w:rPr>
                <w:sz w:val="6"/>
                <w:szCs w:val="6"/>
                <w:color w:val="auto"/>
              </w:rPr>
            </w:pPr>
          </w:p>
        </w:tc>
        <w:tc>
          <w:tcPr>
            <w:tcW w:w="522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1"/>
        </w:trPr>
        <w:tc>
          <w:tcPr>
            <w:tcW w:w="2540" w:type="dxa"/>
            <w:vAlign w:val="bottom"/>
            <w:tcBorders>
              <w:right w:val="single" w:sz="8" w:color="D47C18"/>
            </w:tcBorders>
          </w:tcPr>
          <w:p>
            <w:pPr>
              <w:jc w:val="right"/>
              <w:ind w:right="563"/>
              <w:spacing w:after="0"/>
              <w:rPr>
                <w:sz w:val="20"/>
                <w:szCs w:val="20"/>
                <w:color w:val="auto"/>
              </w:rPr>
            </w:pPr>
            <w:r>
              <w:rPr>
                <w:rFonts w:ascii="Arial" w:cs="Arial" w:eastAsia="Arial" w:hAnsi="Arial"/>
                <w:sz w:val="38"/>
                <w:szCs w:val="38"/>
                <w:color w:val="343537"/>
              </w:rPr>
              <w:t>16%</w:t>
            </w:r>
          </w:p>
        </w:tc>
        <w:tc>
          <w:tcPr>
            <w:tcW w:w="5220" w:type="dxa"/>
            <w:vAlign w:val="bottom"/>
            <w:vMerge w:val="restart"/>
          </w:tcPr>
          <w:p>
            <w:pPr>
              <w:ind w:left="340"/>
              <w:spacing w:after="0"/>
              <w:rPr>
                <w:sz w:val="20"/>
                <w:szCs w:val="20"/>
                <w:color w:val="auto"/>
              </w:rPr>
            </w:pPr>
            <w:r>
              <w:rPr>
                <w:rFonts w:ascii="Arial" w:cs="Arial" w:eastAsia="Arial" w:hAnsi="Arial"/>
                <w:sz w:val="41"/>
                <w:szCs w:val="41"/>
                <w:b w:val="1"/>
                <w:bCs w:val="1"/>
                <w:color w:val="343537"/>
              </w:rPr>
              <w:t xml:space="preserve">OUP </w:t>
            </w:r>
            <w:r>
              <w:rPr>
                <w:rFonts w:ascii="Arial" w:cs="Arial" w:eastAsia="Arial" w:hAnsi="Arial"/>
                <w:sz w:val="44"/>
                <w:szCs w:val="44"/>
                <w:b w:val="1"/>
                <w:bCs w:val="1"/>
                <w:color w:val="5F81AA"/>
              </w:rPr>
              <w:t>$22M</w:t>
            </w:r>
          </w:p>
        </w:tc>
        <w:tc>
          <w:tcPr>
            <w:tcW w:w="0" w:type="dxa"/>
            <w:vAlign w:val="bottom"/>
          </w:tcPr>
          <w:p>
            <w:pPr>
              <w:spacing w:after="0"/>
              <w:rPr>
                <w:sz w:val="1"/>
                <w:szCs w:val="1"/>
                <w:color w:val="auto"/>
              </w:rPr>
            </w:pPr>
          </w:p>
        </w:tc>
      </w:tr>
      <w:tr>
        <w:trPr>
          <w:trHeight w:val="265"/>
        </w:trPr>
        <w:tc>
          <w:tcPr>
            <w:tcW w:w="2540" w:type="dxa"/>
            <w:vAlign w:val="bottom"/>
            <w:tcBorders>
              <w:right w:val="single" w:sz="8" w:color="D47C18"/>
            </w:tcBorders>
            <w:vMerge w:val="restart"/>
          </w:tcPr>
          <w:p>
            <w:pPr>
              <w:jc w:val="center"/>
              <w:ind w:left="123"/>
              <w:spacing w:after="0"/>
              <w:rPr>
                <w:sz w:val="20"/>
                <w:szCs w:val="20"/>
                <w:color w:val="auto"/>
              </w:rPr>
            </w:pPr>
            <w:r>
              <w:rPr>
                <w:rFonts w:ascii="Arial" w:cs="Arial" w:eastAsia="Arial" w:hAnsi="Arial"/>
                <w:sz w:val="38"/>
                <w:szCs w:val="38"/>
                <w:color w:val="343537"/>
                <w:w w:val="98"/>
              </w:rPr>
              <w:t>18% CC</w:t>
            </w:r>
          </w:p>
        </w:tc>
        <w:tc>
          <w:tcPr>
            <w:tcW w:w="52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540" w:type="dxa"/>
            <w:vAlign w:val="bottom"/>
            <w:tcBorders>
              <w:right w:val="single" w:sz="8" w:color="D47C18"/>
            </w:tcBorders>
            <w:vMerge w:val="continue"/>
          </w:tcPr>
          <w:p>
            <w:pPr>
              <w:spacing w:after="0"/>
              <w:rPr>
                <w:sz w:val="21"/>
                <w:szCs w:val="21"/>
                <w:color w:val="auto"/>
              </w:rPr>
            </w:pPr>
          </w:p>
        </w:tc>
        <w:tc>
          <w:tcPr>
            <w:tcW w:w="5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40" w:type="dxa"/>
            <w:vAlign w:val="bottom"/>
            <w:tcBorders>
              <w:bottom w:val="single" w:sz="8" w:color="D47C18"/>
              <w:right w:val="single" w:sz="8" w:color="D47C18"/>
            </w:tcBorders>
          </w:tcPr>
          <w:p>
            <w:pPr>
              <w:spacing w:after="0"/>
              <w:rPr>
                <w:sz w:val="3"/>
                <w:szCs w:val="3"/>
                <w:color w:val="auto"/>
              </w:rPr>
            </w:pPr>
          </w:p>
        </w:tc>
        <w:tc>
          <w:tcPr>
            <w:tcW w:w="522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540" w:type="dxa"/>
            <w:vAlign w:val="bottom"/>
            <w:tcBorders>
              <w:right w:val="single" w:sz="8" w:color="D47C18"/>
            </w:tcBorders>
          </w:tcPr>
          <w:p>
            <w:pPr>
              <w:jc w:val="center"/>
              <w:ind w:left="123"/>
              <w:spacing w:after="0"/>
              <w:rPr>
                <w:sz w:val="20"/>
                <w:szCs w:val="20"/>
                <w:color w:val="auto"/>
              </w:rPr>
            </w:pPr>
            <w:r>
              <w:rPr>
                <w:rFonts w:ascii="Arial" w:cs="Arial" w:eastAsia="Arial" w:hAnsi="Arial"/>
                <w:sz w:val="38"/>
                <w:szCs w:val="38"/>
                <w:color w:val="343537"/>
              </w:rPr>
              <w:t>50 bps</w:t>
            </w:r>
          </w:p>
        </w:tc>
        <w:tc>
          <w:tcPr>
            <w:tcW w:w="5220" w:type="dxa"/>
            <w:vAlign w:val="bottom"/>
          </w:tcPr>
          <w:p>
            <w:pPr>
              <w:ind w:left="300"/>
              <w:spacing w:after="0"/>
              <w:rPr>
                <w:sz w:val="20"/>
                <w:szCs w:val="20"/>
                <w:color w:val="auto"/>
              </w:rPr>
            </w:pPr>
            <w:r>
              <w:rPr>
                <w:rFonts w:ascii="Arial" w:cs="Arial" w:eastAsia="Arial" w:hAnsi="Arial"/>
                <w:sz w:val="41"/>
                <w:szCs w:val="41"/>
                <w:b w:val="1"/>
                <w:bCs w:val="1"/>
                <w:color w:val="343537"/>
              </w:rPr>
              <w:t xml:space="preserve">OUP Margin </w:t>
            </w:r>
            <w:r>
              <w:rPr>
                <w:rFonts w:ascii="Arial" w:cs="Arial" w:eastAsia="Arial" w:hAnsi="Arial"/>
                <w:sz w:val="44"/>
                <w:szCs w:val="44"/>
                <w:b w:val="1"/>
                <w:bCs w:val="1"/>
                <w:color w:val="5F81AA"/>
              </w:rPr>
              <w:t>3.3%</w:t>
            </w:r>
          </w:p>
        </w:tc>
        <w:tc>
          <w:tcPr>
            <w:tcW w:w="0" w:type="dxa"/>
            <w:vAlign w:val="bottom"/>
          </w:tcPr>
          <w:p>
            <w:pPr>
              <w:spacing w:after="0"/>
              <w:rPr>
                <w:sz w:val="1"/>
                <w:szCs w:val="1"/>
                <w:color w:val="auto"/>
              </w:rPr>
            </w:pPr>
          </w:p>
        </w:tc>
      </w:tr>
      <w:tr>
        <w:trPr>
          <w:trHeight w:val="223"/>
        </w:trPr>
        <w:tc>
          <w:tcPr>
            <w:tcW w:w="2540" w:type="dxa"/>
            <w:vAlign w:val="bottom"/>
            <w:tcBorders>
              <w:right w:val="single" w:sz="8" w:color="D47C18"/>
            </w:tcBorders>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820" w:top="516" w:right="659" w:bottom="1440" w:gutter="0" w:footer="0" w:header="0"/>
        </w:sectPr>
      </w:pPr>
    </w:p>
    <w:bookmarkStart w:id="25" w:name="page26"/>
    <w:bookmarkEnd w:id="25"/>
    <w:p>
      <w:pPr>
        <w:ind w:left="152"/>
        <w:spacing w:after="0"/>
        <w:tabs>
          <w:tab w:leader="none" w:pos="9172"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96" w:lineRule="exact"/>
        <w:rPr>
          <w:sz w:val="20"/>
          <w:szCs w:val="20"/>
          <w:color w:val="auto"/>
        </w:rPr>
      </w:pPr>
    </w:p>
    <w:p>
      <w:pPr>
        <w:ind w:left="432"/>
        <w:spacing w:after="0"/>
        <w:rPr>
          <w:sz w:val="20"/>
          <w:szCs w:val="20"/>
          <w:color w:val="auto"/>
        </w:rPr>
      </w:pPr>
      <w:r>
        <w:rPr>
          <w:rFonts w:ascii="Arial" w:cs="Arial" w:eastAsia="Arial" w:hAnsi="Arial"/>
          <w:sz w:val="48"/>
          <w:szCs w:val="48"/>
          <w:color w:val="5F81AA"/>
        </w:rPr>
        <w:t>APME - Q2 Revenue Growth YoY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92" w:right="9000" w:hanging="292"/>
        <w:spacing w:after="0" w:line="304" w:lineRule="auto"/>
        <w:tabs>
          <w:tab w:leader="none" w:pos="279" w:val="left"/>
        </w:tabs>
        <w:numPr>
          <w:ilvl w:val="0"/>
          <w:numId w:val="7"/>
        </w:numPr>
        <w:rPr>
          <w:rFonts w:ascii="Arial" w:cs="Arial" w:eastAsia="Arial" w:hAnsi="Arial"/>
          <w:sz w:val="23"/>
          <w:szCs w:val="23"/>
          <w:b w:val="1"/>
          <w:bCs w:val="1"/>
          <w:color w:val="343537"/>
        </w:rPr>
      </w:pPr>
      <w:r>
        <w:rPr>
          <w:rFonts w:ascii="Arial" w:cs="Arial" w:eastAsia="Arial" w:hAnsi="Arial"/>
          <w:sz w:val="23"/>
          <w:szCs w:val="23"/>
          <w:b w:val="1"/>
          <w:bCs w:val="1"/>
          <w:color w:val="343537"/>
        </w:rPr>
        <w:t>of Segment Revenue</w:t>
      </w:r>
    </w:p>
    <w:p>
      <w:pPr>
        <w:spacing w:after="0" w:line="220" w:lineRule="exact"/>
        <w:rPr>
          <w:sz w:val="20"/>
          <w:szCs w:val="20"/>
          <w:color w:val="auto"/>
        </w:rPr>
      </w:pPr>
    </w:p>
    <w:p>
      <w:pPr>
        <w:ind w:left="532"/>
        <w:spacing w:after="0"/>
        <w:rPr>
          <w:sz w:val="20"/>
          <w:szCs w:val="20"/>
          <w:color w:val="auto"/>
        </w:rPr>
      </w:pPr>
      <w:r>
        <w:rPr>
          <w:rFonts w:ascii="Arial" w:cs="Arial" w:eastAsia="Arial" w:hAnsi="Arial"/>
          <w:sz w:val="29"/>
          <w:szCs w:val="29"/>
          <w:b w:val="1"/>
          <w:bCs w:val="1"/>
          <w:color w:val="6698C2"/>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2"/>
        <w:spacing w:after="0"/>
        <w:rPr>
          <w:sz w:val="20"/>
          <w:szCs w:val="20"/>
          <w:color w:val="auto"/>
        </w:rPr>
      </w:pPr>
      <w:r>
        <w:rPr>
          <w:rFonts w:ascii="Arial" w:cs="Arial" w:eastAsia="Arial" w:hAnsi="Arial"/>
          <w:sz w:val="29"/>
          <w:szCs w:val="29"/>
          <w:b w:val="1"/>
          <w:bCs w:val="1"/>
          <w:color w:val="6698C2"/>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2"/>
        <w:spacing w:after="0"/>
        <w:rPr>
          <w:sz w:val="20"/>
          <w:szCs w:val="20"/>
          <w:color w:val="auto"/>
        </w:rPr>
      </w:pPr>
      <w:r>
        <w:rPr>
          <w:rFonts w:ascii="Arial" w:cs="Arial" w:eastAsia="Arial" w:hAnsi="Arial"/>
          <w:sz w:val="29"/>
          <w:szCs w:val="29"/>
          <w:b w:val="1"/>
          <w:bCs w:val="1"/>
          <w:color w:val="6698C2"/>
        </w:rPr>
        <w:t>31%</w:t>
      </w:r>
    </w:p>
    <w:p>
      <w:pPr>
        <w:sectPr>
          <w:pgSz w:w="11900" w:h="16838" w:orient="portrait"/>
          <w:cols w:equalWidth="0" w:num="1">
            <w:col w:w="10572"/>
          </w:cols>
          <w:pgMar w:left="668" w:top="516"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952"/>
        <w:spacing w:after="0"/>
        <w:rPr>
          <w:sz w:val="20"/>
          <w:szCs w:val="20"/>
          <w:color w:val="auto"/>
        </w:rPr>
      </w:pPr>
      <w:r>
        <w:rPr>
          <w:rFonts w:ascii="Arial" w:cs="Arial" w:eastAsia="Arial" w:hAnsi="Arial"/>
          <w:sz w:val="22"/>
          <w:szCs w:val="22"/>
          <w:b w:val="1"/>
          <w:bCs w:val="1"/>
          <w:color w:val="343537"/>
        </w:rPr>
        <w:t>Revenue</w:t>
      </w:r>
    </w:p>
    <w:p>
      <w:pPr>
        <w:spacing w:after="0" w:line="37" w:lineRule="exact"/>
        <w:rPr>
          <w:sz w:val="20"/>
          <w:szCs w:val="20"/>
          <w:color w:val="auto"/>
        </w:rPr>
      </w:pPr>
    </w:p>
    <w:p>
      <w:pPr>
        <w:ind w:left="4012"/>
        <w:spacing w:after="0"/>
        <w:rPr>
          <w:sz w:val="20"/>
          <w:szCs w:val="20"/>
          <w:color w:val="auto"/>
        </w:rPr>
      </w:pPr>
      <w:r>
        <w:rPr>
          <w:rFonts w:ascii="Arial" w:cs="Arial" w:eastAsia="Arial" w:hAnsi="Arial"/>
          <w:sz w:val="22"/>
          <w:szCs w:val="22"/>
          <w:b w:val="1"/>
          <w:bCs w:val="1"/>
          <w:color w:val="343537"/>
        </w:rPr>
        <w:t>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343537"/>
        </w:rPr>
        <w:t>Revenue Growth - CC</w:t>
      </w:r>
    </w:p>
    <w:p>
      <w:pPr>
        <w:spacing w:after="0" w:line="376" w:lineRule="exact"/>
        <w:rPr>
          <w:sz w:val="20"/>
          <w:szCs w:val="20"/>
          <w:color w:val="auto"/>
        </w:rPr>
      </w:pPr>
    </w:p>
    <w:p>
      <w:pPr>
        <w:sectPr>
          <w:pgSz w:w="11900" w:h="16838" w:orient="portrait"/>
          <w:cols w:equalWidth="0" w:num="2">
            <w:col w:w="5092" w:space="720"/>
            <w:col w:w="4760"/>
          </w:cols>
          <w:pgMar w:left="668" w:top="516" w:right="659" w:bottom="1440" w:gutter="0" w:footer="0" w:header="0"/>
          <w:type w:val="continuous"/>
        </w:sectPr>
      </w:pPr>
    </w:p>
    <w:p>
      <w:pPr>
        <w:jc w:val="right"/>
        <w:spacing w:after="0"/>
        <w:rPr>
          <w:sz w:val="20"/>
          <w:szCs w:val="20"/>
          <w:color w:val="auto"/>
        </w:rPr>
      </w:pPr>
      <w:r>
        <w:rPr>
          <w:rFonts w:ascii="Arial" w:cs="Arial" w:eastAsia="Arial" w:hAnsi="Arial"/>
          <w:sz w:val="16"/>
          <w:szCs w:val="16"/>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471805</wp:posOffset>
            </wp:positionV>
            <wp:extent cx="726821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572"/>
          </w:cols>
          <w:pgMar w:left="668" w:top="516" w:right="659" w:bottom="1440" w:gutter="0" w:footer="0" w:header="0"/>
          <w:type w:val="continuous"/>
        </w:sectPr>
      </w:pPr>
    </w:p>
    <w:bookmarkStart w:id="26" w:name="page27"/>
    <w:bookmarkEnd w:id="26"/>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373"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Right Management Segment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(2% of Revenue)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36"/>
        </w:trPr>
        <w:tc>
          <w:tcPr>
            <w:tcW w:w="210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As</w:t>
            </w:r>
          </w:p>
        </w:tc>
        <w:tc>
          <w:tcPr>
            <w:tcW w:w="40" w:type="dxa"/>
            <w:vAlign w:val="bottom"/>
          </w:tcPr>
          <w:p>
            <w:pPr>
              <w:spacing w:after="0"/>
              <w:rPr>
                <w:sz w:val="3"/>
                <w:szCs w:val="3"/>
                <w:color w:val="auto"/>
              </w:rPr>
            </w:pPr>
          </w:p>
        </w:tc>
        <w:tc>
          <w:tcPr>
            <w:tcW w:w="2140" w:type="dxa"/>
            <w:vAlign w:val="bottom"/>
            <w:vMerge w:val="restart"/>
          </w:tcPr>
          <w:p>
            <w:pPr>
              <w:jc w:val="center"/>
              <w:spacing w:after="0"/>
              <w:rPr>
                <w:sz w:val="20"/>
                <w:szCs w:val="20"/>
                <w:color w:val="auto"/>
              </w:rPr>
            </w:pPr>
            <w:r>
              <w:rPr>
                <w:rFonts w:ascii="Arial" w:cs="Arial" w:eastAsia="Arial" w:hAnsi="Arial"/>
                <w:sz w:val="25"/>
                <w:szCs w:val="25"/>
                <w:b w:val="1"/>
                <w:bCs w:val="1"/>
                <w:color w:val="282A32"/>
              </w:rPr>
              <w:t>Excluding</w:t>
            </w:r>
          </w:p>
        </w:tc>
        <w:tc>
          <w:tcPr>
            <w:tcW w:w="40" w:type="dxa"/>
            <w:vAlign w:val="bottom"/>
          </w:tcPr>
          <w:p>
            <w:pPr>
              <w:spacing w:after="0"/>
              <w:rPr>
                <w:sz w:val="3"/>
                <w:szCs w:val="3"/>
                <w:color w:val="auto"/>
              </w:rPr>
            </w:pPr>
          </w:p>
        </w:tc>
        <w:tc>
          <w:tcPr>
            <w:tcW w:w="5240" w:type="dxa"/>
            <w:vAlign w:val="bottom"/>
            <w:vMerge w:val="restart"/>
          </w:tcPr>
          <w:p>
            <w:pPr>
              <w:ind w:left="32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line="20" w:lineRule="exact"/>
              <w:rPr>
                <w:sz w:val="1"/>
                <w:szCs w:val="1"/>
                <w:color w:val="auto"/>
              </w:rPr>
            </w:pPr>
          </w:p>
        </w:tc>
      </w:tr>
      <w:tr>
        <w:trPr>
          <w:trHeight w:val="262"/>
        </w:trPr>
        <w:tc>
          <w:tcPr>
            <w:tcW w:w="210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2140" w:type="dxa"/>
            <w:vAlign w:val="bottom"/>
            <w:vMerge w:val="continue"/>
          </w:tcPr>
          <w:p>
            <w:pPr>
              <w:spacing w:after="0"/>
              <w:rPr>
                <w:sz w:val="22"/>
                <w:szCs w:val="22"/>
                <w:color w:val="auto"/>
              </w:rPr>
            </w:pPr>
          </w:p>
        </w:tc>
        <w:tc>
          <w:tcPr>
            <w:tcW w:w="40" w:type="dxa"/>
            <w:vAlign w:val="bottom"/>
            <w:shd w:val="clear" w:color="auto" w:fill="D47C18"/>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69"/>
        </w:trPr>
        <w:tc>
          <w:tcPr>
            <w:tcW w:w="2100" w:type="dxa"/>
            <w:vAlign w:val="bottom"/>
          </w:tcPr>
          <w:p>
            <w:pPr>
              <w:jc w:val="center"/>
              <w:spacing w:after="0"/>
              <w:rPr>
                <w:sz w:val="20"/>
                <w:szCs w:val="20"/>
                <w:color w:val="auto"/>
              </w:rPr>
            </w:pPr>
            <w:r>
              <w:rPr>
                <w:rFonts w:ascii="Arial" w:cs="Arial" w:eastAsia="Arial" w:hAnsi="Arial"/>
                <w:sz w:val="25"/>
                <w:szCs w:val="25"/>
                <w:b w:val="1"/>
                <w:bCs w:val="1"/>
                <w:color w:val="282A32"/>
              </w:rPr>
              <w:t>Reported</w:t>
            </w:r>
          </w:p>
        </w:tc>
        <w:tc>
          <w:tcPr>
            <w:tcW w:w="40" w:type="dxa"/>
            <w:vAlign w:val="bottom"/>
            <w:shd w:val="clear" w:color="auto" w:fill="D47C18"/>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25"/>
                <w:szCs w:val="25"/>
                <w:b w:val="1"/>
                <w:bCs w:val="1"/>
                <w:color w:val="282A32"/>
              </w:rPr>
              <w:t>Non-recurring</w:t>
            </w:r>
          </w:p>
        </w:tc>
        <w:tc>
          <w:tcPr>
            <w:tcW w:w="40" w:type="dxa"/>
            <w:vAlign w:val="bottom"/>
            <w:shd w:val="clear" w:color="auto" w:fill="D47C18"/>
          </w:tcPr>
          <w:p>
            <w:pPr>
              <w:spacing w:after="0"/>
              <w:rPr>
                <w:sz w:val="24"/>
                <w:szCs w:val="24"/>
                <w:color w:val="auto"/>
              </w:rPr>
            </w:pPr>
          </w:p>
        </w:tc>
        <w:tc>
          <w:tcPr>
            <w:tcW w:w="5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00" w:type="dxa"/>
            <w:vAlign w:val="bottom"/>
          </w:tcPr>
          <w:p>
            <w:pPr>
              <w:spacing w:after="0"/>
              <w:rPr>
                <w:sz w:val="24"/>
                <w:szCs w:val="24"/>
                <w:color w:val="auto"/>
              </w:rPr>
            </w:pPr>
          </w:p>
        </w:tc>
        <w:tc>
          <w:tcPr>
            <w:tcW w:w="40" w:type="dxa"/>
            <w:vAlign w:val="bottom"/>
            <w:shd w:val="clear" w:color="auto" w:fill="D47C18"/>
          </w:tcPr>
          <w:p>
            <w:pPr>
              <w:spacing w:after="0"/>
              <w:rPr>
                <w:sz w:val="24"/>
                <w:szCs w:val="24"/>
                <w:color w:val="auto"/>
              </w:rPr>
            </w:pPr>
          </w:p>
        </w:tc>
        <w:tc>
          <w:tcPr>
            <w:tcW w:w="2140" w:type="dxa"/>
            <w:vAlign w:val="bottom"/>
          </w:tcPr>
          <w:p>
            <w:pPr>
              <w:jc w:val="center"/>
              <w:ind w:left="76"/>
              <w:spacing w:after="0"/>
              <w:rPr>
                <w:sz w:val="20"/>
                <w:szCs w:val="20"/>
                <w:color w:val="auto"/>
              </w:rPr>
            </w:pPr>
            <w:r>
              <w:rPr>
                <w:rFonts w:ascii="Arial" w:cs="Arial" w:eastAsia="Arial" w:hAnsi="Arial"/>
                <w:sz w:val="25"/>
                <w:szCs w:val="25"/>
                <w:b w:val="1"/>
                <w:bCs w:val="1"/>
                <w:color w:val="282A32"/>
                <w:w w:val="96"/>
              </w:rPr>
              <w:t xml:space="preserve">Items </w:t>
            </w:r>
            <w:r>
              <w:rPr>
                <w:rFonts w:ascii="Arial" w:cs="Arial" w:eastAsia="Arial" w:hAnsi="Arial"/>
                <w:sz w:val="17"/>
                <w:szCs w:val="17"/>
                <w:b w:val="1"/>
                <w:bCs w:val="1"/>
                <w:color w:val="282A32"/>
                <w:w w:val="96"/>
              </w:rPr>
              <w:t>(1)</w:t>
            </w:r>
          </w:p>
        </w:tc>
        <w:tc>
          <w:tcPr>
            <w:tcW w:w="40" w:type="dxa"/>
            <w:vAlign w:val="bottom"/>
            <w:shd w:val="clear" w:color="auto" w:fill="D47C18"/>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10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2140" w:type="dxa"/>
            <w:vAlign w:val="bottom"/>
            <w:tcBorders>
              <w:bottom w:val="single" w:sz="8" w:color="D47C18"/>
            </w:tcBorders>
          </w:tcPr>
          <w:p>
            <w:pPr>
              <w:spacing w:after="0"/>
              <w:rPr>
                <w:sz w:val="4"/>
                <w:szCs w:val="4"/>
                <w:color w:val="auto"/>
              </w:rPr>
            </w:pPr>
          </w:p>
        </w:tc>
        <w:tc>
          <w:tcPr>
            <w:tcW w:w="40" w:type="dxa"/>
            <w:vAlign w:val="bottom"/>
            <w:tcBorders>
              <w:bottom w:val="single" w:sz="8" w:color="D47C18"/>
            </w:tcBorders>
            <w:shd w:val="clear" w:color="auto" w:fill="D47C18"/>
          </w:tcPr>
          <w:p>
            <w:pPr>
              <w:spacing w:after="0"/>
              <w:rPr>
                <w:sz w:val="4"/>
                <w:szCs w:val="4"/>
                <w:color w:val="auto"/>
              </w:rPr>
            </w:pPr>
          </w:p>
        </w:tc>
        <w:tc>
          <w:tcPr>
            <w:tcW w:w="5240" w:type="dxa"/>
            <w:vAlign w:val="bottom"/>
            <w:tcBorders>
              <w:bottom w:val="single" w:sz="8" w:color="D47C18"/>
            </w:tcBorders>
          </w:tcPr>
          <w:p>
            <w:pPr>
              <w:spacing w:after="0"/>
              <w:rPr>
                <w:sz w:val="4"/>
                <w:szCs w:val="4"/>
                <w:color w:val="auto"/>
              </w:rPr>
            </w:pPr>
          </w:p>
        </w:tc>
        <w:tc>
          <w:tcPr>
            <w:tcW w:w="0" w:type="dxa"/>
            <w:vAlign w:val="bottom"/>
          </w:tcPr>
          <w:p>
            <w:pPr>
              <w:spacing w:after="0"/>
              <w:rPr>
                <w:sz w:val="1"/>
                <w:szCs w:val="1"/>
                <w:color w:val="auto"/>
              </w:rPr>
            </w:pPr>
          </w:p>
        </w:tc>
      </w:tr>
      <w:tr>
        <w:trPr>
          <w:trHeight w:val="583"/>
        </w:trPr>
        <w:tc>
          <w:tcPr>
            <w:tcW w:w="2100" w:type="dxa"/>
            <w:vAlign w:val="bottom"/>
          </w:tcPr>
          <w:p>
            <w:pPr>
              <w:jc w:val="center"/>
              <w:ind w:left="190"/>
              <w:spacing w:after="0"/>
              <w:rPr>
                <w:sz w:val="20"/>
                <w:szCs w:val="20"/>
                <w:color w:val="auto"/>
              </w:rPr>
            </w:pPr>
            <w:r>
              <w:rPr>
                <w:rFonts w:ascii="Arial" w:cs="Arial" w:eastAsia="Arial" w:hAnsi="Arial"/>
                <w:sz w:val="38"/>
                <w:szCs w:val="38"/>
                <w:color w:val="282A32"/>
                <w:w w:val="98"/>
              </w:rPr>
              <w:t>1%</w:t>
            </w:r>
          </w:p>
        </w:tc>
        <w:tc>
          <w:tcPr>
            <w:tcW w:w="40" w:type="dxa"/>
            <w:vAlign w:val="bottom"/>
            <w:shd w:val="clear" w:color="auto" w:fill="D47C18"/>
          </w:tcPr>
          <w:p>
            <w:pPr>
              <w:spacing w:after="0"/>
              <w:rPr>
                <w:sz w:val="24"/>
                <w:szCs w:val="24"/>
                <w:color w:val="auto"/>
              </w:rPr>
            </w:pPr>
          </w:p>
        </w:tc>
        <w:tc>
          <w:tcPr>
            <w:tcW w:w="2140" w:type="dxa"/>
            <w:vAlign w:val="bottom"/>
          </w:tcPr>
          <w:p>
            <w:pPr>
              <w:jc w:val="right"/>
              <w:ind w:right="456"/>
              <w:spacing w:after="0"/>
              <w:rPr>
                <w:sz w:val="20"/>
                <w:szCs w:val="20"/>
                <w:color w:val="auto"/>
              </w:rPr>
            </w:pPr>
            <w:r>
              <w:rPr>
                <w:rFonts w:ascii="Arial" w:cs="Arial" w:eastAsia="Arial" w:hAnsi="Arial"/>
                <w:sz w:val="38"/>
                <w:szCs w:val="38"/>
                <w:color w:val="282A32"/>
              </w:rPr>
              <w:t>1%</w:t>
            </w:r>
          </w:p>
        </w:tc>
        <w:tc>
          <w:tcPr>
            <w:tcW w:w="40" w:type="dxa"/>
            <w:vAlign w:val="bottom"/>
            <w:shd w:val="clear" w:color="auto" w:fill="D47C18"/>
          </w:tcPr>
          <w:p>
            <w:pPr>
              <w:spacing w:after="0"/>
              <w:rPr>
                <w:sz w:val="24"/>
                <w:szCs w:val="24"/>
                <w:color w:val="auto"/>
              </w:rPr>
            </w:pPr>
          </w:p>
        </w:tc>
        <w:tc>
          <w:tcPr>
            <w:tcW w:w="524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Revenue </w:t>
            </w:r>
            <w:r>
              <w:rPr>
                <w:rFonts w:ascii="Arial" w:cs="Arial" w:eastAsia="Arial" w:hAnsi="Arial"/>
                <w:sz w:val="44"/>
                <w:szCs w:val="44"/>
                <w:b w:val="1"/>
                <w:bCs w:val="1"/>
                <w:color w:val="5F81AA"/>
              </w:rPr>
              <w:t>$84M</w:t>
            </w:r>
          </w:p>
        </w:tc>
        <w:tc>
          <w:tcPr>
            <w:tcW w:w="0" w:type="dxa"/>
            <w:vAlign w:val="bottom"/>
          </w:tcPr>
          <w:p>
            <w:pPr>
              <w:spacing w:after="0"/>
              <w:rPr>
                <w:sz w:val="1"/>
                <w:szCs w:val="1"/>
                <w:color w:val="auto"/>
              </w:rPr>
            </w:pPr>
          </w:p>
        </w:tc>
      </w:tr>
      <w:tr>
        <w:trPr>
          <w:trHeight w:val="265"/>
        </w:trPr>
        <w:tc>
          <w:tcPr>
            <w:tcW w:w="2100" w:type="dxa"/>
            <w:vAlign w:val="bottom"/>
            <w:vMerge w:val="restart"/>
          </w:tcPr>
          <w:p>
            <w:pPr>
              <w:jc w:val="center"/>
              <w:ind w:left="190"/>
              <w:spacing w:after="0"/>
              <w:rPr>
                <w:sz w:val="20"/>
                <w:szCs w:val="20"/>
                <w:color w:val="auto"/>
              </w:rPr>
            </w:pPr>
            <w:r>
              <w:rPr>
                <w:rFonts w:ascii="Arial" w:cs="Arial" w:eastAsia="Arial" w:hAnsi="Arial"/>
                <w:sz w:val="38"/>
                <w:szCs w:val="38"/>
                <w:color w:val="282A32"/>
              </w:rPr>
              <w:t>3% CC</w:t>
            </w:r>
          </w:p>
        </w:tc>
        <w:tc>
          <w:tcPr>
            <w:tcW w:w="40" w:type="dxa"/>
            <w:vAlign w:val="bottom"/>
            <w:shd w:val="clear" w:color="auto" w:fill="D47C18"/>
          </w:tcPr>
          <w:p>
            <w:pPr>
              <w:spacing w:after="0"/>
              <w:rPr>
                <w:sz w:val="23"/>
                <w:szCs w:val="23"/>
                <w:color w:val="auto"/>
              </w:rPr>
            </w:pPr>
          </w:p>
        </w:tc>
        <w:tc>
          <w:tcPr>
            <w:tcW w:w="2140" w:type="dxa"/>
            <w:vAlign w:val="bottom"/>
            <w:vMerge w:val="restart"/>
          </w:tcPr>
          <w:p>
            <w:pPr>
              <w:jc w:val="center"/>
              <w:ind w:left="176"/>
              <w:spacing w:after="0"/>
              <w:rPr>
                <w:sz w:val="20"/>
                <w:szCs w:val="20"/>
                <w:color w:val="auto"/>
              </w:rPr>
            </w:pPr>
            <w:r>
              <w:rPr>
                <w:rFonts w:ascii="Arial" w:cs="Arial" w:eastAsia="Arial" w:hAnsi="Arial"/>
                <w:sz w:val="38"/>
                <w:szCs w:val="38"/>
                <w:color w:val="282A32"/>
                <w:w w:val="99"/>
              </w:rPr>
              <w:t>3% CC</w:t>
            </w:r>
          </w:p>
        </w:tc>
        <w:tc>
          <w:tcPr>
            <w:tcW w:w="40" w:type="dxa"/>
            <w:vAlign w:val="bottom"/>
          </w:tcPr>
          <w:p>
            <w:pPr>
              <w:spacing w:after="0"/>
              <w:rPr>
                <w:sz w:val="23"/>
                <w:szCs w:val="23"/>
                <w:color w:val="auto"/>
              </w:rPr>
            </w:pPr>
          </w:p>
        </w:tc>
        <w:tc>
          <w:tcPr>
            <w:tcW w:w="524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100" w:type="dxa"/>
            <w:vAlign w:val="bottom"/>
            <w:vMerge w:val="continue"/>
          </w:tcPr>
          <w:p>
            <w:pPr>
              <w:spacing w:after="0"/>
              <w:rPr>
                <w:sz w:val="17"/>
                <w:szCs w:val="17"/>
                <w:color w:val="auto"/>
              </w:rPr>
            </w:pPr>
          </w:p>
        </w:tc>
        <w:tc>
          <w:tcPr>
            <w:tcW w:w="40" w:type="dxa"/>
            <w:vAlign w:val="bottom"/>
            <w:shd w:val="clear" w:color="auto" w:fill="D47C18"/>
          </w:tcPr>
          <w:p>
            <w:pPr>
              <w:spacing w:after="0"/>
              <w:rPr>
                <w:sz w:val="17"/>
                <w:szCs w:val="17"/>
                <w:color w:val="auto"/>
              </w:rPr>
            </w:pPr>
          </w:p>
        </w:tc>
        <w:tc>
          <w:tcPr>
            <w:tcW w:w="21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5240" w:type="dxa"/>
            <w:vAlign w:val="bottom"/>
            <w:tcBorders>
              <w:left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shd w:val="clear" w:color="auto" w:fill="D47C18"/>
          </w:tcPr>
          <w:p>
            <w:pPr>
              <w:spacing w:after="0"/>
              <w:rPr>
                <w:sz w:val="6"/>
                <w:szCs w:val="6"/>
                <w:color w:val="auto"/>
              </w:rPr>
            </w:pPr>
          </w:p>
        </w:tc>
        <w:tc>
          <w:tcPr>
            <w:tcW w:w="214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24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47"/>
        </w:trPr>
        <w:tc>
          <w:tcPr>
            <w:tcW w:w="2100" w:type="dxa"/>
            <w:vAlign w:val="bottom"/>
          </w:tcPr>
          <w:p>
            <w:pPr>
              <w:jc w:val="center"/>
              <w:spacing w:after="0"/>
              <w:rPr>
                <w:sz w:val="20"/>
                <w:szCs w:val="20"/>
                <w:color w:val="auto"/>
              </w:rPr>
            </w:pPr>
            <w:r>
              <w:rPr>
                <w:rFonts w:ascii="Arial" w:cs="Arial" w:eastAsia="Arial" w:hAnsi="Arial"/>
                <w:sz w:val="36"/>
                <w:szCs w:val="36"/>
                <w:color w:val="282A32"/>
                <w:w w:val="99"/>
              </w:rPr>
              <w:t>N/A</w:t>
            </w:r>
          </w:p>
        </w:tc>
        <w:tc>
          <w:tcPr>
            <w:tcW w:w="40" w:type="dxa"/>
            <w:vAlign w:val="bottom"/>
            <w:shd w:val="clear" w:color="auto" w:fill="D47C18"/>
          </w:tcPr>
          <w:p>
            <w:pPr>
              <w:spacing w:after="0"/>
              <w:rPr>
                <w:sz w:val="24"/>
                <w:szCs w:val="24"/>
                <w:color w:val="auto"/>
              </w:rPr>
            </w:pPr>
          </w:p>
        </w:tc>
        <w:tc>
          <w:tcPr>
            <w:tcW w:w="2140" w:type="dxa"/>
            <w:vAlign w:val="bottom"/>
          </w:tcPr>
          <w:p>
            <w:pPr>
              <w:jc w:val="right"/>
              <w:ind w:right="276"/>
              <w:spacing w:after="0"/>
              <w:rPr>
                <w:sz w:val="20"/>
                <w:szCs w:val="20"/>
                <w:color w:val="auto"/>
              </w:rPr>
            </w:pPr>
            <w:r>
              <w:rPr>
                <w:rFonts w:ascii="Arial" w:cs="Arial" w:eastAsia="Arial" w:hAnsi="Arial"/>
                <w:sz w:val="36"/>
                <w:szCs w:val="36"/>
                <w:color w:val="282A32"/>
              </w:rPr>
              <w:t>166%</w:t>
            </w:r>
          </w:p>
        </w:tc>
        <w:tc>
          <w:tcPr>
            <w:tcW w:w="40" w:type="dxa"/>
            <w:vAlign w:val="bottom"/>
            <w:shd w:val="clear" w:color="auto" w:fill="D47C18"/>
          </w:tcPr>
          <w:p>
            <w:pPr>
              <w:spacing w:after="0"/>
              <w:rPr>
                <w:sz w:val="24"/>
                <w:szCs w:val="24"/>
                <w:color w:val="auto"/>
              </w:rPr>
            </w:pPr>
          </w:p>
        </w:tc>
        <w:tc>
          <w:tcPr>
            <w:tcW w:w="524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1"/>
                <w:szCs w:val="41"/>
                <w:b w:val="1"/>
                <w:bCs w:val="1"/>
                <w:color w:val="282A32"/>
              </w:rPr>
              <w:t xml:space="preserve">OUP </w:t>
            </w:r>
            <w:r>
              <w:rPr>
                <w:rFonts w:ascii="Arial" w:cs="Arial" w:eastAsia="Arial" w:hAnsi="Arial"/>
                <w:sz w:val="44"/>
                <w:szCs w:val="44"/>
                <w:b w:val="1"/>
                <w:bCs w:val="1"/>
                <w:color w:val="5F81AA"/>
              </w:rPr>
              <w:t>($3M)</w:t>
            </w:r>
          </w:p>
        </w:tc>
        <w:tc>
          <w:tcPr>
            <w:tcW w:w="0" w:type="dxa"/>
            <w:vAlign w:val="bottom"/>
          </w:tcPr>
          <w:p>
            <w:pPr>
              <w:spacing w:after="0"/>
              <w:rPr>
                <w:sz w:val="1"/>
                <w:szCs w:val="1"/>
                <w:color w:val="auto"/>
              </w:rPr>
            </w:pPr>
          </w:p>
        </w:tc>
      </w:tr>
      <w:tr>
        <w:trPr>
          <w:trHeight w:val="265"/>
        </w:trPr>
        <w:tc>
          <w:tcPr>
            <w:tcW w:w="2100" w:type="dxa"/>
            <w:vAlign w:val="bottom"/>
            <w:vMerge w:val="restart"/>
          </w:tcPr>
          <w:p>
            <w:pPr>
              <w:jc w:val="center"/>
              <w:spacing w:after="0"/>
              <w:rPr>
                <w:sz w:val="20"/>
                <w:szCs w:val="20"/>
                <w:color w:val="auto"/>
              </w:rPr>
            </w:pPr>
            <w:r>
              <w:rPr>
                <w:rFonts w:ascii="Arial" w:cs="Arial" w:eastAsia="Arial" w:hAnsi="Arial"/>
                <w:sz w:val="36"/>
                <w:szCs w:val="36"/>
                <w:color w:val="282A32"/>
                <w:w w:val="99"/>
              </w:rPr>
              <w:t>N/A</w:t>
            </w:r>
          </w:p>
        </w:tc>
        <w:tc>
          <w:tcPr>
            <w:tcW w:w="40" w:type="dxa"/>
            <w:vAlign w:val="bottom"/>
            <w:shd w:val="clear" w:color="auto" w:fill="D47C18"/>
          </w:tcPr>
          <w:p>
            <w:pPr>
              <w:spacing w:after="0"/>
              <w:rPr>
                <w:sz w:val="23"/>
                <w:szCs w:val="23"/>
                <w:color w:val="auto"/>
              </w:rPr>
            </w:pPr>
          </w:p>
        </w:tc>
        <w:tc>
          <w:tcPr>
            <w:tcW w:w="2140" w:type="dxa"/>
            <w:vAlign w:val="bottom"/>
            <w:vMerge w:val="restart"/>
          </w:tcPr>
          <w:p>
            <w:pPr>
              <w:jc w:val="center"/>
              <w:ind w:left="176"/>
              <w:spacing w:after="0"/>
              <w:rPr>
                <w:sz w:val="20"/>
                <w:szCs w:val="20"/>
                <w:color w:val="auto"/>
              </w:rPr>
            </w:pPr>
            <w:r>
              <w:rPr>
                <w:rFonts w:ascii="Arial" w:cs="Arial" w:eastAsia="Arial" w:hAnsi="Arial"/>
                <w:sz w:val="36"/>
                <w:szCs w:val="36"/>
                <w:color w:val="282A32"/>
              </w:rPr>
              <w:t>172% CC</w:t>
            </w:r>
          </w:p>
        </w:tc>
        <w:tc>
          <w:tcPr>
            <w:tcW w:w="40" w:type="dxa"/>
            <w:vAlign w:val="bottom"/>
          </w:tcPr>
          <w:p>
            <w:pPr>
              <w:spacing w:after="0"/>
              <w:rPr>
                <w:sz w:val="23"/>
                <w:szCs w:val="23"/>
                <w:color w:val="auto"/>
              </w:rPr>
            </w:pPr>
          </w:p>
        </w:tc>
        <w:tc>
          <w:tcPr>
            <w:tcW w:w="524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100" w:type="dxa"/>
            <w:vAlign w:val="bottom"/>
            <w:vMerge w:val="continue"/>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1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Borders>
              <w:left w:val="single" w:sz="8" w:color="D47C18"/>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shd w:val="clear" w:color="auto" w:fill="D47C18"/>
          </w:tcPr>
          <w:p>
            <w:pPr>
              <w:spacing w:after="0"/>
              <w:rPr>
                <w:sz w:val="3"/>
                <w:szCs w:val="3"/>
                <w:color w:val="auto"/>
              </w:rPr>
            </w:pPr>
          </w:p>
        </w:tc>
        <w:tc>
          <w:tcPr>
            <w:tcW w:w="214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24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0"/>
        </w:trPr>
        <w:tc>
          <w:tcPr>
            <w:tcW w:w="2100" w:type="dxa"/>
            <w:vAlign w:val="bottom"/>
          </w:tcPr>
          <w:p>
            <w:pPr>
              <w:jc w:val="center"/>
              <w:ind w:left="190"/>
              <w:spacing w:after="0"/>
              <w:rPr>
                <w:sz w:val="20"/>
                <w:szCs w:val="20"/>
                <w:color w:val="auto"/>
              </w:rPr>
            </w:pPr>
            <w:r>
              <w:rPr>
                <w:rFonts w:ascii="Arial" w:cs="Arial" w:eastAsia="Arial" w:hAnsi="Arial"/>
                <w:sz w:val="38"/>
                <w:szCs w:val="38"/>
                <w:color w:val="282A32"/>
                <w:w w:val="99"/>
              </w:rPr>
              <w:t>680 bps</w:t>
            </w:r>
          </w:p>
        </w:tc>
        <w:tc>
          <w:tcPr>
            <w:tcW w:w="40" w:type="dxa"/>
            <w:vAlign w:val="bottom"/>
            <w:shd w:val="clear" w:color="auto" w:fill="D47C18"/>
          </w:tcPr>
          <w:p>
            <w:pPr>
              <w:spacing w:after="0"/>
              <w:rPr>
                <w:sz w:val="24"/>
                <w:szCs w:val="24"/>
                <w:color w:val="auto"/>
              </w:rPr>
            </w:pPr>
          </w:p>
        </w:tc>
        <w:tc>
          <w:tcPr>
            <w:tcW w:w="2140" w:type="dxa"/>
            <w:vAlign w:val="bottom"/>
          </w:tcPr>
          <w:p>
            <w:pPr>
              <w:jc w:val="center"/>
              <w:ind w:left="176"/>
              <w:spacing w:after="0"/>
              <w:rPr>
                <w:sz w:val="20"/>
                <w:szCs w:val="20"/>
                <w:color w:val="auto"/>
              </w:rPr>
            </w:pPr>
            <w:r>
              <w:rPr>
                <w:rFonts w:ascii="Arial" w:cs="Arial" w:eastAsia="Arial" w:hAnsi="Arial"/>
                <w:sz w:val="38"/>
                <w:szCs w:val="38"/>
                <w:color w:val="282A32"/>
              </w:rPr>
              <w:t>550 bps</w:t>
            </w:r>
          </w:p>
        </w:tc>
        <w:tc>
          <w:tcPr>
            <w:tcW w:w="40" w:type="dxa"/>
            <w:vAlign w:val="bottom"/>
            <w:shd w:val="clear" w:color="auto" w:fill="D47C18"/>
          </w:tcPr>
          <w:p>
            <w:pPr>
              <w:spacing w:after="0"/>
              <w:rPr>
                <w:sz w:val="24"/>
                <w:szCs w:val="24"/>
                <w:color w:val="auto"/>
              </w:rPr>
            </w:pPr>
          </w:p>
        </w:tc>
        <w:tc>
          <w:tcPr>
            <w:tcW w:w="5240" w:type="dxa"/>
            <w:vAlign w:val="bottom"/>
          </w:tcPr>
          <w:p>
            <w:pPr>
              <w:ind w:left="320"/>
              <w:spacing w:after="0"/>
              <w:rPr>
                <w:sz w:val="20"/>
                <w:szCs w:val="20"/>
                <w:color w:val="auto"/>
              </w:rPr>
            </w:pPr>
            <w:r>
              <w:rPr>
                <w:rFonts w:ascii="Arial" w:cs="Arial" w:eastAsia="Arial" w:hAnsi="Arial"/>
                <w:sz w:val="41"/>
                <w:szCs w:val="41"/>
                <w:b w:val="1"/>
                <w:bCs w:val="1"/>
                <w:color w:val="282A32"/>
              </w:rPr>
              <w:t xml:space="preserve">OUP Margin </w:t>
            </w:r>
            <w:r>
              <w:rPr>
                <w:rFonts w:ascii="Arial" w:cs="Arial" w:eastAsia="Arial" w:hAnsi="Arial"/>
                <w:sz w:val="44"/>
                <w:szCs w:val="44"/>
                <w:b w:val="1"/>
                <w:bCs w:val="1"/>
                <w:color w:val="5F81AA"/>
              </w:rPr>
              <w:t>(3.5%)</w:t>
            </w:r>
          </w:p>
        </w:tc>
        <w:tc>
          <w:tcPr>
            <w:tcW w:w="0" w:type="dxa"/>
            <w:vAlign w:val="bottom"/>
          </w:tcPr>
          <w:p>
            <w:pPr>
              <w:spacing w:after="0"/>
              <w:rPr>
                <w:sz w:val="1"/>
                <w:szCs w:val="1"/>
                <w:color w:val="auto"/>
              </w:rPr>
            </w:pPr>
          </w:p>
        </w:tc>
      </w:tr>
      <w:tr>
        <w:trPr>
          <w:trHeight w:val="223"/>
        </w:trPr>
        <w:tc>
          <w:tcPr>
            <w:tcW w:w="21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380"/>
        <w:spacing w:after="0"/>
        <w:rPr>
          <w:sz w:val="20"/>
          <w:szCs w:val="20"/>
          <w:color w:val="auto"/>
        </w:rPr>
      </w:pPr>
      <w:r>
        <w:rPr>
          <w:rFonts w:ascii="Arial" w:cs="Arial" w:eastAsia="Arial" w:hAnsi="Arial"/>
          <w:sz w:val="19"/>
          <w:szCs w:val="19"/>
          <w:color w:val="282A32"/>
        </w:rPr>
        <w:t>(1) Excludes the impact of reorganization charges of $10.4M in Q2 2012.</w:t>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80"/>
          </w:cols>
          <w:pgMar w:left="820" w:top="516" w:right="699" w:bottom="1440" w:gutter="0" w:footer="0" w:header="0"/>
        </w:sectPr>
      </w:pPr>
    </w:p>
    <w:bookmarkStart w:id="27" w:name="page28"/>
    <w:bookmarkEnd w:id="27"/>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51"/>
          <w:szCs w:val="51"/>
          <w:color w:val="5F81AA"/>
        </w:rPr>
        <w:t>Cash Flow Summary - First Half</w:t>
      </w:r>
    </w:p>
    <w:p>
      <w:pPr>
        <w:spacing w:after="0" w:line="368" w:lineRule="exact"/>
        <w:rPr>
          <w:sz w:val="20"/>
          <w:szCs w:val="20"/>
          <w:color w:val="auto"/>
        </w:rPr>
      </w:pPr>
    </w:p>
    <w:tbl>
      <w:tblPr>
        <w:tblLayout w:type="fixed"/>
        <w:tblInd w:w="400" w:type="dxa"/>
        <w:tblCellMar>
          <w:top w:w="0" w:type="dxa"/>
          <w:left w:w="0" w:type="dxa"/>
          <w:bottom w:w="0" w:type="dxa"/>
          <w:right w:w="0" w:type="dxa"/>
        </w:tblCellMar>
      </w:tblPr>
      <w:tr>
        <w:trPr>
          <w:trHeight w:val="421"/>
        </w:trPr>
        <w:tc>
          <w:tcPr>
            <w:tcW w:w="5600" w:type="dxa"/>
            <w:vAlign w:val="bottom"/>
          </w:tcPr>
          <w:p>
            <w:pPr>
              <w:spacing w:after="0"/>
              <w:rPr>
                <w:sz w:val="20"/>
                <w:szCs w:val="20"/>
                <w:color w:val="auto"/>
              </w:rPr>
            </w:pPr>
            <w:r>
              <w:rPr>
                <w:rFonts w:ascii="Arial" w:cs="Arial" w:eastAsia="Arial" w:hAnsi="Arial"/>
                <w:sz w:val="29"/>
                <w:szCs w:val="29"/>
                <w:color w:val="5F81AA"/>
              </w:rPr>
              <w:t>($ in millions)</w:t>
            </w:r>
          </w:p>
        </w:tc>
        <w:tc>
          <w:tcPr>
            <w:tcW w:w="1580" w:type="dxa"/>
            <w:vAlign w:val="bottom"/>
          </w:tcPr>
          <w:p>
            <w:pPr>
              <w:jc w:val="right"/>
              <w:spacing w:after="0"/>
              <w:rPr>
                <w:sz w:val="20"/>
                <w:szCs w:val="20"/>
                <w:color w:val="auto"/>
              </w:rPr>
            </w:pPr>
            <w:r>
              <w:rPr>
                <w:rFonts w:ascii="Arial" w:cs="Arial" w:eastAsia="Arial" w:hAnsi="Arial"/>
                <w:sz w:val="32"/>
                <w:szCs w:val="32"/>
                <w:b w:val="1"/>
                <w:bCs w:val="1"/>
                <w:color w:val="5F81AA"/>
              </w:rPr>
              <w:t>2012</w:t>
            </w:r>
          </w:p>
        </w:tc>
        <w:tc>
          <w:tcPr>
            <w:tcW w:w="1980" w:type="dxa"/>
            <w:vAlign w:val="bottom"/>
            <w:gridSpan w:val="2"/>
          </w:tcPr>
          <w:p>
            <w:pPr>
              <w:jc w:val="right"/>
              <w:spacing w:after="0"/>
              <w:rPr>
                <w:sz w:val="20"/>
                <w:szCs w:val="20"/>
                <w:color w:val="auto"/>
              </w:rPr>
            </w:pPr>
            <w:r>
              <w:rPr>
                <w:rFonts w:ascii="Arial" w:cs="Arial" w:eastAsia="Arial" w:hAnsi="Arial"/>
                <w:sz w:val="32"/>
                <w:szCs w:val="32"/>
                <w:b w:val="1"/>
                <w:bCs w:val="1"/>
                <w:color w:val="5F81AA"/>
              </w:rPr>
              <w:t>2011</w:t>
            </w:r>
          </w:p>
        </w:tc>
        <w:tc>
          <w:tcPr>
            <w:tcW w:w="0" w:type="dxa"/>
            <w:vAlign w:val="bottom"/>
          </w:tcPr>
          <w:p>
            <w:pPr>
              <w:spacing w:after="0"/>
              <w:rPr>
                <w:sz w:val="1"/>
                <w:szCs w:val="1"/>
                <w:color w:val="auto"/>
              </w:rPr>
            </w:pPr>
          </w:p>
        </w:tc>
      </w:tr>
      <w:tr>
        <w:trPr>
          <w:trHeight w:val="622"/>
        </w:trPr>
        <w:tc>
          <w:tcPr>
            <w:tcW w:w="5600" w:type="dxa"/>
            <w:vAlign w:val="bottom"/>
          </w:tcPr>
          <w:p>
            <w:pPr>
              <w:spacing w:after="0"/>
              <w:rPr>
                <w:sz w:val="20"/>
                <w:szCs w:val="20"/>
                <w:color w:val="auto"/>
              </w:rPr>
            </w:pPr>
            <w:r>
              <w:rPr>
                <w:rFonts w:ascii="Arial" w:cs="Arial" w:eastAsia="Arial" w:hAnsi="Arial"/>
                <w:sz w:val="29"/>
                <w:szCs w:val="29"/>
                <w:b w:val="1"/>
                <w:bCs w:val="1"/>
                <w:color w:val="282A32"/>
              </w:rPr>
              <w:t>Cash used in operating activities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(40)</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(192)</w:t>
            </w:r>
          </w:p>
        </w:tc>
        <w:tc>
          <w:tcPr>
            <w:tcW w:w="0" w:type="dxa"/>
            <w:vAlign w:val="bottom"/>
          </w:tcPr>
          <w:p>
            <w:pPr>
              <w:spacing w:after="0"/>
              <w:rPr>
                <w:sz w:val="1"/>
                <w:szCs w:val="1"/>
                <w:color w:val="auto"/>
              </w:rPr>
            </w:pPr>
          </w:p>
        </w:tc>
      </w:tr>
      <w:tr>
        <w:trPr>
          <w:trHeight w:val="511"/>
        </w:trPr>
        <w:tc>
          <w:tcPr>
            <w:tcW w:w="5600" w:type="dxa"/>
            <w:vAlign w:val="bottom"/>
          </w:tcPr>
          <w:p>
            <w:pPr>
              <w:spacing w:after="0"/>
              <w:rPr>
                <w:sz w:val="20"/>
                <w:szCs w:val="20"/>
                <w:color w:val="auto"/>
              </w:rPr>
            </w:pPr>
            <w:r>
              <w:rPr>
                <w:rFonts w:ascii="Arial" w:cs="Arial" w:eastAsia="Arial" w:hAnsi="Arial"/>
                <w:sz w:val="29"/>
                <w:szCs w:val="29"/>
                <w:b w:val="1"/>
                <w:bCs w:val="1"/>
                <w:color w:val="282A32"/>
              </w:rPr>
              <w:t>Capital Expenditures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(34)</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(28)</w:t>
            </w:r>
          </w:p>
        </w:tc>
        <w:tc>
          <w:tcPr>
            <w:tcW w:w="0" w:type="dxa"/>
            <w:vAlign w:val="bottom"/>
          </w:tcPr>
          <w:p>
            <w:pPr>
              <w:spacing w:after="0"/>
              <w:rPr>
                <w:sz w:val="1"/>
                <w:szCs w:val="1"/>
                <w:color w:val="auto"/>
              </w:rPr>
            </w:pPr>
          </w:p>
        </w:tc>
      </w:tr>
      <w:tr>
        <w:trPr>
          <w:trHeight w:val="152"/>
        </w:trPr>
        <w:tc>
          <w:tcPr>
            <w:tcW w:w="5600" w:type="dxa"/>
            <w:vAlign w:val="bottom"/>
            <w:vMerge w:val="restart"/>
          </w:tcPr>
          <w:p>
            <w:pPr>
              <w:ind w:left="560"/>
              <w:spacing w:after="0"/>
              <w:rPr>
                <w:sz w:val="20"/>
                <w:szCs w:val="20"/>
                <w:color w:val="auto"/>
              </w:rPr>
            </w:pPr>
            <w:r>
              <w:rPr>
                <w:rFonts w:ascii="Arial" w:cs="Arial" w:eastAsia="Arial" w:hAnsi="Arial"/>
                <w:sz w:val="29"/>
                <w:szCs w:val="29"/>
                <w:b w:val="1"/>
                <w:bCs w:val="1"/>
                <w:color w:val="282A32"/>
              </w:rPr>
              <w:t>Free Cash Flow</w:t>
            </w:r>
          </w:p>
        </w:tc>
        <w:tc>
          <w:tcPr>
            <w:tcW w:w="1580" w:type="dxa"/>
            <w:vAlign w:val="bottom"/>
            <w:tcBorders>
              <w:bottom w:val="single" w:sz="8" w:color="282A32"/>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580" w:type="dxa"/>
            <w:vAlign w:val="bottom"/>
            <w:tcBorders>
              <w:bottom w:val="single" w:sz="8" w:color="282A32"/>
            </w:tcBorders>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56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(74)</w:t>
            </w:r>
          </w:p>
        </w:tc>
        <w:tc>
          <w:tcPr>
            <w:tcW w:w="4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(220)</w:t>
            </w:r>
          </w:p>
        </w:tc>
        <w:tc>
          <w:tcPr>
            <w:tcW w:w="0" w:type="dxa"/>
            <w:vAlign w:val="bottom"/>
          </w:tcPr>
          <w:p>
            <w:pPr>
              <w:spacing w:after="0"/>
              <w:rPr>
                <w:sz w:val="1"/>
                <w:szCs w:val="1"/>
                <w:color w:val="auto"/>
              </w:rPr>
            </w:pPr>
          </w:p>
        </w:tc>
      </w:tr>
      <w:tr>
        <w:trPr>
          <w:trHeight w:val="479"/>
        </w:trPr>
        <w:tc>
          <w:tcPr>
            <w:tcW w:w="5600" w:type="dxa"/>
            <w:vAlign w:val="bottom"/>
          </w:tcPr>
          <w:p>
            <w:pPr>
              <w:spacing w:after="0"/>
              <w:rPr>
                <w:sz w:val="20"/>
                <w:szCs w:val="20"/>
                <w:color w:val="auto"/>
              </w:rPr>
            </w:pPr>
            <w:r>
              <w:rPr>
                <w:rFonts w:ascii="Arial" w:cs="Arial" w:eastAsia="Arial" w:hAnsi="Arial"/>
                <w:sz w:val="29"/>
                <w:szCs w:val="29"/>
                <w:b w:val="1"/>
                <w:bCs w:val="1"/>
                <w:color w:val="282A32"/>
              </w:rPr>
              <w:t>Change in Debt</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56</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4</w:t>
            </w:r>
          </w:p>
        </w:tc>
        <w:tc>
          <w:tcPr>
            <w:tcW w:w="0" w:type="dxa"/>
            <w:vAlign w:val="bottom"/>
          </w:tcPr>
          <w:p>
            <w:pPr>
              <w:spacing w:after="0"/>
              <w:rPr>
                <w:sz w:val="1"/>
                <w:szCs w:val="1"/>
                <w:color w:val="auto"/>
              </w:rPr>
            </w:pPr>
          </w:p>
        </w:tc>
      </w:tr>
      <w:tr>
        <w:trPr>
          <w:trHeight w:val="511"/>
        </w:trPr>
        <w:tc>
          <w:tcPr>
            <w:tcW w:w="5600" w:type="dxa"/>
            <w:vAlign w:val="bottom"/>
          </w:tcPr>
          <w:p>
            <w:pPr>
              <w:spacing w:after="0"/>
              <w:rPr>
                <w:sz w:val="20"/>
                <w:szCs w:val="20"/>
                <w:color w:val="auto"/>
              </w:rPr>
            </w:pPr>
            <w:r>
              <w:rPr>
                <w:rFonts w:ascii="Arial" w:cs="Arial" w:eastAsia="Arial" w:hAnsi="Arial"/>
                <w:sz w:val="29"/>
                <w:szCs w:val="29"/>
                <w:b w:val="1"/>
                <w:bCs w:val="1"/>
                <w:color w:val="282A32"/>
              </w:rPr>
              <w:t>Share Repurchases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(33)</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(19)</w:t>
            </w:r>
          </w:p>
        </w:tc>
        <w:tc>
          <w:tcPr>
            <w:tcW w:w="0" w:type="dxa"/>
            <w:vAlign w:val="bottom"/>
          </w:tcPr>
          <w:p>
            <w:pPr>
              <w:spacing w:after="0"/>
              <w:rPr>
                <w:sz w:val="1"/>
                <w:szCs w:val="1"/>
                <w:color w:val="auto"/>
              </w:rPr>
            </w:pPr>
          </w:p>
        </w:tc>
      </w:tr>
      <w:tr>
        <w:trPr>
          <w:trHeight w:val="583"/>
        </w:trPr>
        <w:tc>
          <w:tcPr>
            <w:tcW w:w="5600" w:type="dxa"/>
            <w:vAlign w:val="bottom"/>
          </w:tcPr>
          <w:p>
            <w:pPr>
              <w:spacing w:after="0"/>
              <w:rPr>
                <w:sz w:val="20"/>
                <w:szCs w:val="20"/>
                <w:color w:val="auto"/>
              </w:rPr>
            </w:pPr>
            <w:r>
              <w:rPr>
                <w:rFonts w:ascii="Arial" w:cs="Arial" w:eastAsia="Arial" w:hAnsi="Arial"/>
                <w:sz w:val="29"/>
                <w:szCs w:val="29"/>
                <w:b w:val="1"/>
                <w:bCs w:val="1"/>
                <w:color w:val="282A32"/>
              </w:rPr>
              <w:t>Dividends paid</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(34)</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(33)</w:t>
            </w:r>
          </w:p>
        </w:tc>
        <w:tc>
          <w:tcPr>
            <w:tcW w:w="0" w:type="dxa"/>
            <w:vAlign w:val="bottom"/>
          </w:tcPr>
          <w:p>
            <w:pPr>
              <w:spacing w:after="0"/>
              <w:rPr>
                <w:sz w:val="1"/>
                <w:szCs w:val="1"/>
                <w:color w:val="auto"/>
              </w:rPr>
            </w:pPr>
          </w:p>
        </w:tc>
      </w:tr>
      <w:tr>
        <w:trPr>
          <w:trHeight w:val="369"/>
        </w:trPr>
        <w:tc>
          <w:tcPr>
            <w:tcW w:w="5600" w:type="dxa"/>
            <w:vAlign w:val="bottom"/>
          </w:tcPr>
          <w:p>
            <w:pPr>
              <w:spacing w:after="0"/>
              <w:rPr>
                <w:sz w:val="20"/>
                <w:szCs w:val="20"/>
                <w:color w:val="auto"/>
              </w:rPr>
            </w:pPr>
            <w:r>
              <w:rPr>
                <w:rFonts w:ascii="Arial" w:cs="Arial" w:eastAsia="Arial" w:hAnsi="Arial"/>
                <w:sz w:val="29"/>
                <w:szCs w:val="29"/>
                <w:b w:val="1"/>
                <w:bCs w:val="1"/>
                <w:color w:val="282A32"/>
              </w:rPr>
              <w:t>Acquisitions of Businesses</w:t>
            </w:r>
          </w:p>
        </w:tc>
        <w:tc>
          <w:tcPr>
            <w:tcW w:w="1580" w:type="dxa"/>
            <w:vAlign w:val="bottom"/>
            <w:vMerge w:val="restart"/>
          </w:tcPr>
          <w:p>
            <w:pPr>
              <w:jc w:val="right"/>
              <w:spacing w:after="0"/>
              <w:rPr>
                <w:sz w:val="20"/>
                <w:szCs w:val="20"/>
                <w:color w:val="auto"/>
              </w:rPr>
            </w:pPr>
            <w:r>
              <w:rPr>
                <w:rFonts w:ascii="Arial" w:cs="Arial" w:eastAsia="Arial" w:hAnsi="Arial"/>
                <w:sz w:val="29"/>
                <w:szCs w:val="29"/>
                <w:b w:val="1"/>
                <w:bCs w:val="1"/>
                <w:color w:val="282A32"/>
              </w:rPr>
              <w:t>(34)</w:t>
            </w:r>
          </w:p>
        </w:tc>
        <w:tc>
          <w:tcPr>
            <w:tcW w:w="1980" w:type="dxa"/>
            <w:vAlign w:val="bottom"/>
            <w:gridSpan w:val="2"/>
            <w:vMerge w:val="restart"/>
          </w:tcPr>
          <w:p>
            <w:pPr>
              <w:jc w:val="right"/>
              <w:spacing w:after="0"/>
              <w:rPr>
                <w:sz w:val="20"/>
                <w:szCs w:val="20"/>
                <w:color w:val="auto"/>
              </w:rPr>
            </w:pPr>
            <w:r>
              <w:rPr>
                <w:rFonts w:ascii="Arial" w:cs="Arial" w:eastAsia="Arial" w:hAnsi="Arial"/>
                <w:sz w:val="29"/>
                <w:szCs w:val="29"/>
                <w:b w:val="1"/>
                <w:bCs w:val="1"/>
                <w:color w:val="282A32"/>
              </w:rPr>
              <w:t>(15)</w:t>
            </w:r>
          </w:p>
        </w:tc>
        <w:tc>
          <w:tcPr>
            <w:tcW w:w="0" w:type="dxa"/>
            <w:vAlign w:val="bottom"/>
          </w:tcPr>
          <w:p>
            <w:pPr>
              <w:spacing w:after="0"/>
              <w:rPr>
                <w:sz w:val="1"/>
                <w:szCs w:val="1"/>
                <w:color w:val="auto"/>
              </w:rPr>
            </w:pPr>
          </w:p>
        </w:tc>
      </w:tr>
      <w:tr>
        <w:trPr>
          <w:trHeight w:val="273"/>
        </w:trPr>
        <w:tc>
          <w:tcPr>
            <w:tcW w:w="5600" w:type="dxa"/>
            <w:vAlign w:val="bottom"/>
            <w:vMerge w:val="restart"/>
          </w:tcPr>
          <w:p>
            <w:pPr>
              <w:ind w:left="140"/>
              <w:spacing w:after="0"/>
              <w:rPr>
                <w:sz w:val="20"/>
                <w:szCs w:val="20"/>
                <w:color w:val="auto"/>
              </w:rPr>
            </w:pPr>
            <w:r>
              <w:rPr>
                <w:rFonts w:ascii="Arial" w:cs="Arial" w:eastAsia="Arial" w:hAnsi="Arial"/>
                <w:sz w:val="29"/>
                <w:szCs w:val="29"/>
                <w:b w:val="1"/>
                <w:bCs w:val="1"/>
                <w:color w:val="282A32"/>
              </w:rPr>
              <w:t>net of cash acquired</w:t>
            </w:r>
          </w:p>
        </w:tc>
        <w:tc>
          <w:tcPr>
            <w:tcW w:w="1580" w:type="dxa"/>
            <w:vAlign w:val="bottom"/>
            <w:vMerge w:val="continue"/>
          </w:tcPr>
          <w:p>
            <w:pPr>
              <w:spacing w:after="0"/>
              <w:rPr>
                <w:sz w:val="23"/>
                <w:szCs w:val="23"/>
                <w:color w:val="auto"/>
              </w:rPr>
            </w:pPr>
          </w:p>
        </w:tc>
        <w:tc>
          <w:tcPr>
            <w:tcW w:w="19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56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600" w:type="dxa"/>
            <w:vAlign w:val="bottom"/>
          </w:tcPr>
          <w:p>
            <w:pPr>
              <w:spacing w:after="0"/>
              <w:rPr>
                <w:sz w:val="20"/>
                <w:szCs w:val="20"/>
                <w:color w:val="auto"/>
              </w:rPr>
            </w:pPr>
            <w:r>
              <w:rPr>
                <w:rFonts w:ascii="Arial" w:cs="Arial" w:eastAsia="Arial" w:hAnsi="Arial"/>
                <w:sz w:val="29"/>
                <w:szCs w:val="29"/>
                <w:b w:val="1"/>
                <w:bCs w:val="1"/>
                <w:color w:val="282A32"/>
              </w:rPr>
              <w:t>Effect of Exchange Rate Changes</w:t>
            </w: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(7)</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31</w:t>
            </w:r>
          </w:p>
        </w:tc>
        <w:tc>
          <w:tcPr>
            <w:tcW w:w="0" w:type="dxa"/>
            <w:vAlign w:val="bottom"/>
          </w:tcPr>
          <w:p>
            <w:pPr>
              <w:spacing w:after="0"/>
              <w:rPr>
                <w:sz w:val="1"/>
                <w:szCs w:val="1"/>
                <w:color w:val="auto"/>
              </w:rPr>
            </w:pPr>
          </w:p>
        </w:tc>
      </w:tr>
      <w:tr>
        <w:trPr>
          <w:trHeight w:val="511"/>
        </w:trPr>
        <w:tc>
          <w:tcPr>
            <w:tcW w:w="5600" w:type="dxa"/>
            <w:vAlign w:val="bottom"/>
          </w:tcPr>
          <w:p>
            <w:pPr>
              <w:spacing w:after="0"/>
              <w:rPr>
                <w:sz w:val="20"/>
                <w:szCs w:val="20"/>
                <w:color w:val="auto"/>
              </w:rPr>
            </w:pPr>
            <w:r>
              <w:rPr>
                <w:rFonts w:ascii="Arial" w:cs="Arial" w:eastAsia="Arial" w:hAnsi="Arial"/>
                <w:sz w:val="29"/>
                <w:szCs w:val="29"/>
                <w:b w:val="1"/>
                <w:bCs w:val="1"/>
                <w:color w:val="282A32"/>
              </w:rPr>
              <w:t>Other</w:t>
            </w:r>
          </w:p>
        </w:tc>
        <w:tc>
          <w:tcPr>
            <w:tcW w:w="1580" w:type="dxa"/>
            <w:vAlign w:val="bottom"/>
          </w:tcPr>
          <w:p>
            <w:pPr>
              <w:jc w:val="right"/>
              <w:ind w:right="136"/>
              <w:spacing w:after="0"/>
              <w:rPr>
                <w:sz w:val="20"/>
                <w:szCs w:val="20"/>
                <w:color w:val="auto"/>
              </w:rPr>
            </w:pPr>
            <w:r>
              <w:rPr>
                <w:rFonts w:ascii="Arial" w:cs="Arial" w:eastAsia="Arial" w:hAnsi="Arial"/>
                <w:sz w:val="29"/>
                <w:szCs w:val="29"/>
                <w:b w:val="1"/>
                <w:bCs w:val="1"/>
                <w:color w:val="282A32"/>
              </w:rPr>
              <w:t>-</w:t>
            </w:r>
          </w:p>
        </w:tc>
        <w:tc>
          <w:tcPr>
            <w:tcW w:w="1980" w:type="dxa"/>
            <w:vAlign w:val="bottom"/>
            <w:gridSpan w:val="2"/>
          </w:tcPr>
          <w:p>
            <w:pPr>
              <w:jc w:val="right"/>
              <w:spacing w:after="0"/>
              <w:rPr>
                <w:sz w:val="20"/>
                <w:szCs w:val="20"/>
                <w:color w:val="auto"/>
              </w:rPr>
            </w:pPr>
            <w:r>
              <w:rPr>
                <w:rFonts w:ascii="Arial" w:cs="Arial" w:eastAsia="Arial" w:hAnsi="Arial"/>
                <w:sz w:val="29"/>
                <w:szCs w:val="29"/>
                <w:b w:val="1"/>
                <w:bCs w:val="1"/>
                <w:color w:val="282A32"/>
              </w:rPr>
              <w:t>23</w:t>
            </w:r>
          </w:p>
        </w:tc>
        <w:tc>
          <w:tcPr>
            <w:tcW w:w="0" w:type="dxa"/>
            <w:vAlign w:val="bottom"/>
          </w:tcPr>
          <w:p>
            <w:pPr>
              <w:spacing w:after="0"/>
              <w:rPr>
                <w:sz w:val="1"/>
                <w:szCs w:val="1"/>
                <w:color w:val="auto"/>
              </w:rPr>
            </w:pPr>
          </w:p>
        </w:tc>
      </w:tr>
      <w:tr>
        <w:trPr>
          <w:trHeight w:val="152"/>
        </w:trPr>
        <w:tc>
          <w:tcPr>
            <w:tcW w:w="5600" w:type="dxa"/>
            <w:vAlign w:val="bottom"/>
            <w:vMerge w:val="restart"/>
          </w:tcPr>
          <w:p>
            <w:pPr>
              <w:ind w:left="560"/>
              <w:spacing w:after="0"/>
              <w:rPr>
                <w:sz w:val="20"/>
                <w:szCs w:val="20"/>
                <w:color w:val="auto"/>
              </w:rPr>
            </w:pPr>
            <w:r>
              <w:rPr>
                <w:rFonts w:ascii="Arial" w:cs="Arial" w:eastAsia="Arial" w:hAnsi="Arial"/>
                <w:sz w:val="29"/>
                <w:szCs w:val="29"/>
                <w:b w:val="1"/>
                <w:bCs w:val="1"/>
                <w:color w:val="282A32"/>
              </w:rPr>
              <w:t>Change in Cash</w:t>
            </w:r>
          </w:p>
        </w:tc>
        <w:tc>
          <w:tcPr>
            <w:tcW w:w="1580" w:type="dxa"/>
            <w:vAlign w:val="bottom"/>
            <w:tcBorders>
              <w:bottom w:val="single" w:sz="8" w:color="282A32"/>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580" w:type="dxa"/>
            <w:vAlign w:val="bottom"/>
            <w:tcBorders>
              <w:bottom w:val="single" w:sz="8" w:color="282A32"/>
            </w:tcBorders>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56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(126)</w:t>
            </w:r>
          </w:p>
        </w:tc>
        <w:tc>
          <w:tcPr>
            <w:tcW w:w="40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9"/>
                <w:szCs w:val="29"/>
                <w:b w:val="1"/>
                <w:bCs w:val="1"/>
                <w:color w:val="282A32"/>
              </w:rPr>
              <w:t>(229)</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426720</wp:posOffset>
            </wp:positionV>
            <wp:extent cx="726821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80"/>
          </w:cols>
          <w:pgMar w:left="820" w:top="516" w:right="699" w:bottom="1440" w:gutter="0" w:footer="0" w:header="0"/>
        </w:sectPr>
      </w:pPr>
    </w:p>
    <w:bookmarkStart w:id="28" w:name="page29"/>
    <w:bookmarkEnd w:id="28"/>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94" w:lineRule="exact"/>
        <w:rPr>
          <w:sz w:val="20"/>
          <w:szCs w:val="20"/>
          <w:color w:val="auto"/>
        </w:rPr>
      </w:pPr>
    </w:p>
    <w:p>
      <w:pPr>
        <w:ind w:left="280"/>
        <w:spacing w:after="0"/>
        <w:rPr>
          <w:sz w:val="20"/>
          <w:szCs w:val="20"/>
          <w:color w:val="auto"/>
        </w:rPr>
      </w:pPr>
      <w:r>
        <w:rPr>
          <w:rFonts w:ascii="Arial" w:cs="Arial" w:eastAsia="Arial" w:hAnsi="Arial"/>
          <w:sz w:val="48"/>
          <w:szCs w:val="48"/>
          <w:color w:val="5F81AA"/>
        </w:rPr>
        <w:t>Balance Sheet Highlights</w:t>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343537"/>
        </w:rPr>
        <w:t>Total Debt</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9"/>
          <w:szCs w:val="19"/>
          <w:color w:val="343537"/>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343537"/>
        </w:rPr>
        <w:t>Total Debt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2397760</wp:posOffset>
            </wp:positionV>
            <wp:extent cx="726821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120"/>
          </w:cols>
          <w:pgMar w:left="820" w:top="516" w:right="959" w:bottom="1440" w:gutter="0" w:footer="0" w:header="0"/>
        </w:sectPr>
      </w:pPr>
    </w:p>
    <w:bookmarkStart w:id="29" w:name="page30"/>
    <w:bookmarkEnd w:id="29"/>
    <w:p>
      <w:pPr>
        <w:ind w:left="200"/>
        <w:spacing w:after="0"/>
        <w:tabs>
          <w:tab w:leader="none" w:pos="92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354" w:lineRule="exact"/>
        <w:rPr>
          <w:sz w:val="20"/>
          <w:szCs w:val="20"/>
          <w:color w:val="auto"/>
        </w:rPr>
      </w:pPr>
    </w:p>
    <w:p>
      <w:pPr>
        <w:ind w:left="260"/>
        <w:spacing w:after="0"/>
        <w:rPr>
          <w:sz w:val="20"/>
          <w:szCs w:val="20"/>
          <w:color w:val="auto"/>
        </w:rPr>
      </w:pPr>
      <w:r>
        <w:rPr>
          <w:rFonts w:ascii="Arial" w:cs="Arial" w:eastAsia="Arial" w:hAnsi="Arial"/>
          <w:sz w:val="48"/>
          <w:szCs w:val="48"/>
          <w:color w:val="5F81AA"/>
        </w:rPr>
        <w:t>Credit Facilities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22"/>
          <w:szCs w:val="22"/>
          <w:color w:val="5F81AA"/>
        </w:rPr>
        <w:t>($ in millions)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7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60" w:type="dxa"/>
            <w:vAlign w:val="bottom"/>
          </w:tcPr>
          <w:p>
            <w:pPr>
              <w:jc w:val="center"/>
              <w:spacing w:after="0"/>
              <w:rPr>
                <w:sz w:val="20"/>
                <w:szCs w:val="20"/>
                <w:color w:val="auto"/>
              </w:rPr>
            </w:pPr>
            <w:r>
              <w:rPr>
                <w:rFonts w:ascii="Arial" w:cs="Arial" w:eastAsia="Arial" w:hAnsi="Arial"/>
                <w:sz w:val="22"/>
                <w:szCs w:val="22"/>
                <w:b w:val="1"/>
                <w:bCs w:val="1"/>
                <w:color w:val="7F7F7F"/>
                <w:w w:val="95"/>
              </w:rPr>
              <w:t>Total</w:t>
            </w:r>
          </w:p>
        </w:tc>
        <w:tc>
          <w:tcPr>
            <w:tcW w:w="300" w:type="dxa"/>
            <w:vAlign w:val="bottom"/>
          </w:tcPr>
          <w:p>
            <w:pPr>
              <w:spacing w:after="0"/>
              <w:rPr>
                <w:sz w:val="22"/>
                <w:szCs w:val="22"/>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7F7F7F"/>
              </w:rPr>
              <w:t>Remaining</w:t>
            </w:r>
          </w:p>
        </w:tc>
        <w:tc>
          <w:tcPr>
            <w:tcW w:w="0" w:type="dxa"/>
            <w:vAlign w:val="bottom"/>
          </w:tcPr>
          <w:p>
            <w:pPr>
              <w:spacing w:after="0"/>
              <w:rPr>
                <w:sz w:val="1"/>
                <w:szCs w:val="1"/>
                <w:color w:val="auto"/>
              </w:rPr>
            </w:pPr>
          </w:p>
        </w:tc>
      </w:tr>
      <w:tr>
        <w:trPr>
          <w:trHeight w:val="262"/>
        </w:trPr>
        <w:tc>
          <w:tcPr>
            <w:tcW w:w="376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2"/>
                <w:szCs w:val="22"/>
                <w:b w:val="1"/>
                <w:bCs w:val="1"/>
                <w:color w:val="7F7F7F"/>
              </w:rPr>
              <w:t>Interest</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7F7F7F"/>
              </w:rPr>
              <w:t>Maturity</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7F7F7F"/>
              </w:rPr>
              <w:t>Outstanding</w:t>
            </w:r>
          </w:p>
        </w:tc>
        <w:tc>
          <w:tcPr>
            <w:tcW w:w="300" w:type="dxa"/>
            <w:vAlign w:val="bottom"/>
          </w:tcPr>
          <w:p>
            <w:pPr>
              <w:spacing w:after="0"/>
              <w:rPr>
                <w:sz w:val="22"/>
                <w:szCs w:val="22"/>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7F7F7F"/>
              </w:rPr>
              <w:t>Available</w:t>
            </w:r>
          </w:p>
        </w:tc>
        <w:tc>
          <w:tcPr>
            <w:tcW w:w="0" w:type="dxa"/>
            <w:vAlign w:val="bottom"/>
          </w:tcPr>
          <w:p>
            <w:pPr>
              <w:spacing w:after="0"/>
              <w:rPr>
                <w:sz w:val="1"/>
                <w:szCs w:val="1"/>
                <w:color w:val="auto"/>
              </w:rPr>
            </w:pPr>
          </w:p>
        </w:tc>
      </w:tr>
      <w:tr>
        <w:trPr>
          <w:trHeight w:val="304"/>
        </w:trPr>
        <w:tc>
          <w:tcPr>
            <w:tcW w:w="3760" w:type="dxa"/>
            <w:vAlign w:val="bottom"/>
            <w:tcBorders>
              <w:bottom w:val="single" w:sz="8" w:color="282A32"/>
            </w:tcBorders>
          </w:tcPr>
          <w:p>
            <w:pPr>
              <w:spacing w:after="0"/>
              <w:rPr>
                <w:sz w:val="24"/>
                <w:szCs w:val="24"/>
                <w:color w:val="auto"/>
              </w:rPr>
            </w:pPr>
          </w:p>
        </w:tc>
        <w:tc>
          <w:tcPr>
            <w:tcW w:w="138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Rate</w:t>
            </w:r>
          </w:p>
        </w:tc>
        <w:tc>
          <w:tcPr>
            <w:tcW w:w="150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Date</w:t>
            </w:r>
          </w:p>
        </w:tc>
        <w:tc>
          <w:tcPr>
            <w:tcW w:w="176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w w:val="98"/>
              </w:rPr>
              <w:t>at 6/30/12</w:t>
            </w:r>
          </w:p>
        </w:tc>
        <w:tc>
          <w:tcPr>
            <w:tcW w:w="300" w:type="dxa"/>
            <w:vAlign w:val="bottom"/>
            <w:tcBorders>
              <w:bottom w:val="single" w:sz="8" w:color="282A32"/>
            </w:tcBorders>
          </w:tcPr>
          <w:p>
            <w:pPr>
              <w:spacing w:after="0"/>
              <w:rPr>
                <w:sz w:val="24"/>
                <w:szCs w:val="24"/>
                <w:color w:val="auto"/>
              </w:rPr>
            </w:pPr>
          </w:p>
        </w:tc>
        <w:tc>
          <w:tcPr>
            <w:tcW w:w="1920" w:type="dxa"/>
            <w:vAlign w:val="bottom"/>
            <w:tcBorders>
              <w:bottom w:val="single" w:sz="8" w:color="282A32"/>
            </w:tcBorders>
            <w:gridSpan w:val="2"/>
          </w:tcPr>
          <w:p>
            <w:pPr>
              <w:jc w:val="center"/>
              <w:ind w:right="320"/>
              <w:spacing w:after="0"/>
              <w:rPr>
                <w:sz w:val="20"/>
                <w:szCs w:val="20"/>
                <w:color w:val="auto"/>
              </w:rPr>
            </w:pPr>
            <w:r>
              <w:rPr>
                <w:rFonts w:ascii="Arial" w:cs="Arial" w:eastAsia="Arial" w:hAnsi="Arial"/>
                <w:sz w:val="22"/>
                <w:szCs w:val="22"/>
                <w:b w:val="1"/>
                <w:bCs w:val="1"/>
                <w:color w:val="7F7F7F"/>
              </w:rPr>
              <w:t>at 6/30/12</w:t>
            </w:r>
          </w:p>
        </w:tc>
        <w:tc>
          <w:tcPr>
            <w:tcW w:w="0" w:type="dxa"/>
            <w:vAlign w:val="bottom"/>
          </w:tcPr>
          <w:p>
            <w:pPr>
              <w:spacing w:after="0"/>
              <w:rPr>
                <w:sz w:val="1"/>
                <w:szCs w:val="1"/>
                <w:color w:val="auto"/>
              </w:rPr>
            </w:pPr>
          </w:p>
        </w:tc>
      </w:tr>
      <w:tr>
        <w:trPr>
          <w:trHeight w:val="295"/>
        </w:trPr>
        <w:tc>
          <w:tcPr>
            <w:tcW w:w="3760" w:type="dxa"/>
            <w:vAlign w:val="bottom"/>
          </w:tcPr>
          <w:p>
            <w:pPr>
              <w:ind w:left="100"/>
              <w:spacing w:after="0"/>
              <w:rPr>
                <w:sz w:val="20"/>
                <w:szCs w:val="20"/>
                <w:color w:val="auto"/>
              </w:rPr>
            </w:pPr>
            <w:r>
              <w:rPr>
                <w:rFonts w:ascii="Arial" w:cs="Arial" w:eastAsia="Arial" w:hAnsi="Arial"/>
                <w:sz w:val="22"/>
                <w:szCs w:val="22"/>
                <w:b w:val="1"/>
                <w:bCs w:val="1"/>
                <w:color w:val="343537"/>
              </w:rPr>
              <w:t>Euro Notes:</w:t>
            </w: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3760" w:type="dxa"/>
            <w:vAlign w:val="bottom"/>
          </w:tcPr>
          <w:p>
            <w:pPr>
              <w:ind w:left="320"/>
              <w:spacing w:after="0"/>
              <w:rPr>
                <w:sz w:val="20"/>
                <w:szCs w:val="20"/>
                <w:color w:val="auto"/>
              </w:rPr>
            </w:pPr>
            <w:r>
              <w:rPr>
                <w:rFonts w:ascii="Arial" w:cs="Arial" w:eastAsia="Arial" w:hAnsi="Arial"/>
                <w:sz w:val="22"/>
                <w:szCs w:val="22"/>
                <w:b w:val="1"/>
                <w:bCs w:val="1"/>
                <w:color w:val="343537"/>
              </w:rPr>
              <w:t>- Euro 200M</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rPr>
              <w:t>4.86%</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343537"/>
                <w:w w:val="99"/>
              </w:rPr>
              <w:t>Jun 2013</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343537"/>
              </w:rPr>
              <w:t>253</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343537"/>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760" w:type="dxa"/>
            <w:vAlign w:val="bottom"/>
          </w:tcPr>
          <w:p>
            <w:pPr>
              <w:ind w:left="320"/>
              <w:spacing w:after="0"/>
              <w:rPr>
                <w:sz w:val="20"/>
                <w:szCs w:val="20"/>
                <w:color w:val="auto"/>
              </w:rPr>
            </w:pPr>
            <w:r>
              <w:rPr>
                <w:rFonts w:ascii="Arial" w:cs="Arial" w:eastAsia="Arial" w:hAnsi="Arial"/>
                <w:sz w:val="22"/>
                <w:szCs w:val="22"/>
                <w:b w:val="1"/>
                <w:bCs w:val="1"/>
                <w:color w:val="343537"/>
              </w:rPr>
              <w:t>- Euro 350M</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rPr>
              <w:t>4.505%</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343537"/>
                <w:w w:val="99"/>
              </w:rPr>
              <w:t>Jun 2018</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343537"/>
              </w:rPr>
              <w:t>443</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343537"/>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760" w:type="dxa"/>
            <w:vAlign w:val="bottom"/>
          </w:tcPr>
          <w:p>
            <w:pPr>
              <w:ind w:left="100"/>
              <w:spacing w:after="0"/>
              <w:rPr>
                <w:sz w:val="20"/>
                <w:szCs w:val="20"/>
                <w:color w:val="auto"/>
              </w:rPr>
            </w:pPr>
            <w:r>
              <w:rPr>
                <w:rFonts w:ascii="Arial" w:cs="Arial" w:eastAsia="Arial" w:hAnsi="Arial"/>
                <w:sz w:val="22"/>
                <w:szCs w:val="22"/>
                <w:b w:val="1"/>
                <w:bCs w:val="1"/>
                <w:color w:val="343537"/>
              </w:rPr>
              <w:t xml:space="preserve">Revolving Credit Agreement </w:t>
            </w:r>
            <w:r>
              <w:rPr>
                <w:rFonts w:ascii="Arial" w:cs="Arial" w:eastAsia="Arial" w:hAnsi="Arial"/>
                <w:sz w:val="14"/>
                <w:szCs w:val="14"/>
                <w:color w:val="343537"/>
              </w:rPr>
              <w:t>(1)</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rPr>
              <w:t>1.52%</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343537"/>
              </w:rPr>
              <w:t>Oct 2016</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343537"/>
              </w:rPr>
              <w:t>-</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343537"/>
              </w:rPr>
              <w:t>798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760" w:type="dxa"/>
            <w:vAlign w:val="bottom"/>
          </w:tcPr>
          <w:p>
            <w:pPr>
              <w:ind w:left="100"/>
              <w:spacing w:after="0"/>
              <w:rPr>
                <w:sz w:val="20"/>
                <w:szCs w:val="20"/>
                <w:color w:val="auto"/>
              </w:rPr>
            </w:pPr>
            <w:r>
              <w:rPr>
                <w:rFonts w:ascii="Arial" w:cs="Arial" w:eastAsia="Arial" w:hAnsi="Arial"/>
                <w:sz w:val="22"/>
                <w:szCs w:val="22"/>
                <w:b w:val="1"/>
                <w:bCs w:val="1"/>
                <w:color w:val="343537"/>
              </w:rPr>
              <w:t xml:space="preserve">Uncommitted lines and Other </w:t>
            </w:r>
            <w:r>
              <w:rPr>
                <w:rFonts w:ascii="Arial" w:cs="Arial" w:eastAsia="Arial" w:hAnsi="Arial"/>
                <w:sz w:val="14"/>
                <w:szCs w:val="14"/>
                <w:color w:val="343537"/>
              </w:rPr>
              <w:t>(2)</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w w:val="99"/>
              </w:rPr>
              <w:t>Various</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343537"/>
                <w:w w:val="99"/>
              </w:rPr>
              <w:t>Various</w:t>
            </w: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343537"/>
              </w:rPr>
              <w:t>59</w:t>
            </w:r>
          </w:p>
        </w:tc>
        <w:tc>
          <w:tcPr>
            <w:tcW w:w="1920" w:type="dxa"/>
            <w:vAlign w:val="bottom"/>
            <w:gridSpan w:val="2"/>
          </w:tcPr>
          <w:p>
            <w:pPr>
              <w:jc w:val="right"/>
              <w:ind w:right="9"/>
              <w:spacing w:after="0"/>
              <w:rPr>
                <w:sz w:val="20"/>
                <w:szCs w:val="20"/>
                <w:color w:val="auto"/>
              </w:rPr>
            </w:pPr>
            <w:r>
              <w:rPr>
                <w:rFonts w:ascii="Arial" w:cs="Arial" w:eastAsia="Arial" w:hAnsi="Arial"/>
                <w:sz w:val="22"/>
                <w:szCs w:val="22"/>
                <w:b w:val="1"/>
                <w:bCs w:val="1"/>
                <w:color w:val="343537"/>
              </w:rPr>
              <w:t>325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760" w:type="dxa"/>
            <w:vAlign w:val="bottom"/>
            <w:vMerge w:val="restart"/>
          </w:tcPr>
          <w:p>
            <w:pPr>
              <w:ind w:left="100"/>
              <w:spacing w:after="0"/>
              <w:rPr>
                <w:sz w:val="20"/>
                <w:szCs w:val="20"/>
                <w:color w:val="auto"/>
              </w:rPr>
            </w:pPr>
            <w:r>
              <w:rPr>
                <w:rFonts w:ascii="Arial" w:cs="Arial" w:eastAsia="Arial" w:hAnsi="Arial"/>
                <w:sz w:val="22"/>
                <w:szCs w:val="22"/>
                <w:b w:val="1"/>
                <w:bCs w:val="1"/>
                <w:color w:val="343537"/>
              </w:rPr>
              <w:t>Total Debt</w:t>
            </w: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60" w:type="dxa"/>
            <w:vAlign w:val="bottom"/>
            <w:tcBorders>
              <w:bottom w:val="single" w:sz="8" w:color="282A32"/>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1620" w:type="dxa"/>
            <w:vAlign w:val="bottom"/>
            <w:tcBorders>
              <w:bottom w:val="single" w:sz="8" w:color="282A32"/>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7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tcPr>
          <w:p>
            <w:pPr>
              <w:jc w:val="right"/>
              <w:ind w:right="9"/>
              <w:spacing w:after="0"/>
              <w:rPr>
                <w:sz w:val="20"/>
                <w:szCs w:val="20"/>
                <w:color w:val="auto"/>
              </w:rPr>
            </w:pPr>
            <w:r>
              <w:rPr>
                <w:rFonts w:ascii="Arial" w:cs="Arial" w:eastAsia="Arial" w:hAnsi="Arial"/>
                <w:sz w:val="22"/>
                <w:szCs w:val="22"/>
                <w:b w:val="1"/>
                <w:bCs w:val="1"/>
                <w:color w:val="343537"/>
              </w:rPr>
              <w:t>755</w:t>
            </w:r>
          </w:p>
        </w:tc>
        <w:tc>
          <w:tcPr>
            <w:tcW w:w="300" w:type="dxa"/>
            <w:vAlign w:val="bottom"/>
            <w:vMerge w:val="continue"/>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22"/>
                <w:szCs w:val="22"/>
                <w:b w:val="1"/>
                <w:bCs w:val="1"/>
                <w:color w:val="343537"/>
              </w:rPr>
              <w:t>1,123</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60" w:type="dxa"/>
            <w:vAlign w:val="bottom"/>
            <w:tcBorders>
              <w:bottom w:val="single" w:sz="8" w:color="282A32"/>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bottom w:val="single" w:sz="8" w:color="282A32"/>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0" w:right="540" w:hanging="232"/>
        <w:spacing w:after="0" w:line="254" w:lineRule="auto"/>
        <w:tabs>
          <w:tab w:leader="none" w:pos="560" w:val="left"/>
        </w:tabs>
        <w:numPr>
          <w:ilvl w:val="1"/>
          <w:numId w:val="8"/>
        </w:numPr>
        <w:rPr>
          <w:rFonts w:ascii="Arial" w:cs="Arial" w:eastAsia="Arial" w:hAnsi="Arial"/>
          <w:sz w:val="14"/>
          <w:szCs w:val="14"/>
          <w:color w:val="282A32"/>
        </w:rPr>
      </w:pPr>
      <w:r>
        <w:rPr>
          <w:rFonts w:ascii="Arial" w:cs="Arial" w:eastAsia="Arial" w:hAnsi="Arial"/>
          <w:sz w:val="14"/>
          <w:szCs w:val="14"/>
          <w:color w:val="282A32"/>
        </w:rPr>
        <w:t>The $800M agreement requires that we comply with a Leverage Ratio (Debt-to-EBITDA) of not greater than 3.5 to 1 and a Fixed Charge Coverage Ratio of not less than 1.5 to 1, in addition to other customary restrictive covenants. As defined in the agreement, we had a Debt-to-EBITDA ratio of 1.13 and a fixed charge coverage ratio of 3.08 as of June 30, 2012. As of June 30, 2012, there were $1.6M of standby letters of credit issued under the agreement.</w:t>
      </w:r>
    </w:p>
    <w:p>
      <w:pPr>
        <w:spacing w:after="0" w:line="166" w:lineRule="exact"/>
        <w:rPr>
          <w:rFonts w:ascii="Arial" w:cs="Arial" w:eastAsia="Arial" w:hAnsi="Arial"/>
          <w:sz w:val="14"/>
          <w:szCs w:val="14"/>
          <w:color w:val="282A32"/>
        </w:rPr>
      </w:pPr>
    </w:p>
    <w:p>
      <w:pPr>
        <w:ind w:left="560" w:right="720" w:hanging="243"/>
        <w:spacing w:after="0" w:line="263" w:lineRule="auto"/>
        <w:tabs>
          <w:tab w:leader="none" w:pos="560" w:val="left"/>
        </w:tabs>
        <w:numPr>
          <w:ilvl w:val="0"/>
          <w:numId w:val="9"/>
        </w:numPr>
        <w:rPr>
          <w:rFonts w:ascii="Arial" w:cs="Arial" w:eastAsia="Arial" w:hAnsi="Arial"/>
          <w:sz w:val="14"/>
          <w:szCs w:val="14"/>
          <w:color w:val="282A32"/>
        </w:rPr>
      </w:pPr>
      <w:r>
        <w:rPr>
          <w:rFonts w:ascii="Arial" w:cs="Arial" w:eastAsia="Arial" w:hAnsi="Arial"/>
          <w:sz w:val="14"/>
          <w:szCs w:val="14"/>
          <w:color w:val="282A32"/>
        </w:rPr>
        <w:t>Represents subsidiary uncommitted lines of credit &amp; overdraft facilities, which total $383.7M. Total subsidiary borrowings are limited to $300M due to restrictions in our Revolving Credit Facility, with the exception of Q3 when subsidiary borrowings are limited to $600M.</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464185</wp:posOffset>
            </wp:positionV>
            <wp:extent cx="726821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620"/>
          </w:cols>
          <w:pgMar w:left="620" w:top="516" w:right="659" w:bottom="1440" w:gutter="0" w:footer="0" w:header="0"/>
        </w:sectPr>
      </w:pPr>
    </w:p>
    <w:bookmarkStart w:id="30" w:name="page31"/>
    <w:bookmarkEnd w:id="30"/>
    <w:p>
      <w:pPr>
        <w:ind w:left="120"/>
        <w:spacing w:after="0"/>
        <w:tabs>
          <w:tab w:leader="none" w:pos="914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51"/>
          <w:szCs w:val="51"/>
          <w:color w:val="5F81AA"/>
        </w:rPr>
        <w:t>Third Quarter Outlook</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86"/>
        </w:trPr>
        <w:tc>
          <w:tcPr>
            <w:tcW w:w="1860" w:type="dxa"/>
            <w:vAlign w:val="bottom"/>
            <w:tcBorders>
              <w:top w:val="single" w:sz="8" w:color="466EA5"/>
            </w:tcBorders>
          </w:tcPr>
          <w:p>
            <w:pPr>
              <w:ind w:left="100"/>
              <w:spacing w:after="0"/>
              <w:rPr>
                <w:sz w:val="20"/>
                <w:szCs w:val="20"/>
                <w:color w:val="auto"/>
              </w:rPr>
            </w:pPr>
            <w:r>
              <w:rPr>
                <w:rFonts w:ascii="Arial" w:cs="Arial" w:eastAsia="Arial" w:hAnsi="Arial"/>
                <w:sz w:val="32"/>
                <w:szCs w:val="32"/>
                <w:b w:val="1"/>
                <w:bCs w:val="1"/>
                <w:color w:val="343537"/>
              </w:rPr>
              <w:t>Revenue</w:t>
            </w:r>
          </w:p>
        </w:tc>
        <w:tc>
          <w:tcPr>
            <w:tcW w:w="2960" w:type="dxa"/>
            <w:vAlign w:val="bottom"/>
            <w:tcBorders>
              <w:top w:val="single" w:sz="8" w:color="466EA5"/>
              <w:right w:val="single" w:sz="8" w:color="466EA5"/>
            </w:tcBorders>
          </w:tcPr>
          <w:p>
            <w:pPr>
              <w:jc w:val="right"/>
              <w:spacing w:after="0"/>
              <w:rPr>
                <w:sz w:val="20"/>
                <w:szCs w:val="20"/>
                <w:color w:val="auto"/>
              </w:rPr>
            </w:pPr>
            <w:r>
              <w:rPr>
                <w:rFonts w:ascii="Arial" w:cs="Arial" w:eastAsia="Arial" w:hAnsi="Arial"/>
                <w:sz w:val="29"/>
                <w:szCs w:val="29"/>
                <w:b w:val="1"/>
                <w:bCs w:val="1"/>
                <w:color w:val="343537"/>
              </w:rPr>
              <w:t>Total</w:t>
            </w:r>
          </w:p>
        </w:tc>
        <w:tc>
          <w:tcPr>
            <w:tcW w:w="5820" w:type="dxa"/>
            <w:vAlign w:val="bottom"/>
            <w:tcBorders>
              <w:top w:val="single" w:sz="8" w:color="466EA5"/>
            </w:tcBorders>
            <w:gridSpan w:val="2"/>
          </w:tcPr>
          <w:p>
            <w:pPr>
              <w:ind w:left="220"/>
              <w:spacing w:after="0"/>
              <w:rPr>
                <w:sz w:val="20"/>
                <w:szCs w:val="20"/>
                <w:color w:val="auto"/>
              </w:rPr>
            </w:pPr>
            <w:r>
              <w:rPr>
                <w:rFonts w:ascii="Arial" w:cs="Arial" w:eastAsia="Arial" w:hAnsi="Arial"/>
                <w:sz w:val="29"/>
                <w:szCs w:val="29"/>
                <w:color w:val="343537"/>
              </w:rPr>
              <w:t>Down 11-13% (Down 3-5% CC)</w:t>
            </w:r>
          </w:p>
        </w:tc>
      </w:tr>
      <w:tr>
        <w:trPr>
          <w:trHeight w:val="72"/>
        </w:trPr>
        <w:tc>
          <w:tcPr>
            <w:tcW w:w="1860" w:type="dxa"/>
            <w:vAlign w:val="bottom"/>
          </w:tcPr>
          <w:p>
            <w:pPr>
              <w:spacing w:after="0"/>
              <w:rPr>
                <w:sz w:val="6"/>
                <w:szCs w:val="6"/>
                <w:color w:val="auto"/>
              </w:rPr>
            </w:pPr>
          </w:p>
        </w:tc>
        <w:tc>
          <w:tcPr>
            <w:tcW w:w="2960" w:type="dxa"/>
            <w:vAlign w:val="bottom"/>
            <w:tcBorders>
              <w:bottom w:val="single" w:sz="8" w:color="466EA5"/>
              <w:right w:val="single" w:sz="8" w:color="466EA5"/>
            </w:tcBorders>
          </w:tcPr>
          <w:p>
            <w:pPr>
              <w:spacing w:after="0"/>
              <w:rPr>
                <w:sz w:val="6"/>
                <w:szCs w:val="6"/>
                <w:color w:val="auto"/>
              </w:rPr>
            </w:pPr>
          </w:p>
        </w:tc>
        <w:tc>
          <w:tcPr>
            <w:tcW w:w="1740" w:type="dxa"/>
            <w:vAlign w:val="bottom"/>
            <w:tcBorders>
              <w:bottom w:val="single" w:sz="8" w:color="466EA5"/>
            </w:tcBorders>
          </w:tcPr>
          <w:p>
            <w:pPr>
              <w:spacing w:after="0"/>
              <w:rPr>
                <w:sz w:val="6"/>
                <w:szCs w:val="6"/>
                <w:color w:val="auto"/>
              </w:rPr>
            </w:pPr>
          </w:p>
        </w:tc>
        <w:tc>
          <w:tcPr>
            <w:tcW w:w="4080" w:type="dxa"/>
            <w:vAlign w:val="bottom"/>
            <w:tcBorders>
              <w:bottom w:val="single" w:sz="8" w:color="466EA5"/>
            </w:tcBorders>
          </w:tcPr>
          <w:p>
            <w:pPr>
              <w:spacing w:after="0"/>
              <w:rPr>
                <w:sz w:val="6"/>
                <w:szCs w:val="6"/>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343537"/>
              </w:rPr>
              <w:t>Americas</w:t>
            </w:r>
          </w:p>
        </w:tc>
        <w:tc>
          <w:tcPr>
            <w:tcW w:w="1740" w:type="dxa"/>
            <w:vAlign w:val="bottom"/>
          </w:tcPr>
          <w:p>
            <w:pPr>
              <w:ind w:left="220"/>
              <w:spacing w:after="0"/>
              <w:rPr>
                <w:sz w:val="20"/>
                <w:szCs w:val="20"/>
                <w:color w:val="auto"/>
              </w:rPr>
            </w:pPr>
            <w:r>
              <w:rPr>
                <w:rFonts w:ascii="Arial" w:cs="Arial" w:eastAsia="Arial" w:hAnsi="Arial"/>
                <w:sz w:val="29"/>
                <w:szCs w:val="29"/>
                <w:color w:val="343537"/>
              </w:rPr>
              <w:t>Down 3-5%</w:t>
            </w:r>
          </w:p>
        </w:tc>
        <w:tc>
          <w:tcPr>
            <w:tcW w:w="4080" w:type="dxa"/>
            <w:vAlign w:val="bottom"/>
          </w:tcPr>
          <w:p>
            <w:pPr>
              <w:ind w:left="40"/>
              <w:spacing w:after="0"/>
              <w:rPr>
                <w:sz w:val="20"/>
                <w:szCs w:val="20"/>
                <w:color w:val="auto"/>
              </w:rPr>
            </w:pPr>
            <w:r>
              <w:rPr>
                <w:rFonts w:ascii="Arial" w:cs="Arial" w:eastAsia="Arial" w:hAnsi="Arial"/>
                <w:sz w:val="29"/>
                <w:szCs w:val="29"/>
                <w:color w:val="343537"/>
              </w:rPr>
              <w:t>(Down 1-3%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466EA5"/>
              <w:right w:val="single" w:sz="8" w:color="466EA5"/>
            </w:tcBorders>
          </w:tcPr>
          <w:p>
            <w:pPr>
              <w:spacing w:after="0"/>
              <w:rPr>
                <w:sz w:val="8"/>
                <w:szCs w:val="8"/>
                <w:color w:val="auto"/>
              </w:rPr>
            </w:pPr>
          </w:p>
        </w:tc>
        <w:tc>
          <w:tcPr>
            <w:tcW w:w="5820" w:type="dxa"/>
            <w:vAlign w:val="bottom"/>
            <w:tcBorders>
              <w:bottom w:val="single" w:sz="8" w:color="466EA5"/>
            </w:tcBorders>
            <w:gridSpan w:val="2"/>
          </w:tcPr>
          <w:p>
            <w:pPr>
              <w:spacing w:after="0"/>
              <w:rPr>
                <w:sz w:val="8"/>
                <w:szCs w:val="8"/>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343537"/>
              </w:rPr>
              <w:t>Southern Europe</w:t>
            </w:r>
          </w:p>
        </w:tc>
        <w:tc>
          <w:tcPr>
            <w:tcW w:w="5820" w:type="dxa"/>
            <w:vAlign w:val="bottom"/>
            <w:gridSpan w:val="2"/>
          </w:tcPr>
          <w:p>
            <w:pPr>
              <w:ind w:left="220"/>
              <w:spacing w:after="0"/>
              <w:rPr>
                <w:sz w:val="20"/>
                <w:szCs w:val="20"/>
                <w:color w:val="auto"/>
              </w:rPr>
            </w:pPr>
            <w:r>
              <w:rPr>
                <w:rFonts w:ascii="Arial" w:cs="Arial" w:eastAsia="Arial" w:hAnsi="Arial"/>
                <w:sz w:val="29"/>
                <w:szCs w:val="29"/>
                <w:color w:val="343537"/>
              </w:rPr>
              <w:t>Down 18-20% (Down 6-8%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466EA5"/>
              <w:right w:val="single" w:sz="8" w:color="466EA5"/>
            </w:tcBorders>
          </w:tcPr>
          <w:p>
            <w:pPr>
              <w:spacing w:after="0"/>
              <w:rPr>
                <w:sz w:val="8"/>
                <w:szCs w:val="8"/>
                <w:color w:val="auto"/>
              </w:rPr>
            </w:pPr>
          </w:p>
        </w:tc>
        <w:tc>
          <w:tcPr>
            <w:tcW w:w="5820" w:type="dxa"/>
            <w:vAlign w:val="bottom"/>
            <w:tcBorders>
              <w:bottom w:val="single" w:sz="8" w:color="466EA5"/>
            </w:tcBorders>
            <w:gridSpan w:val="2"/>
          </w:tcPr>
          <w:p>
            <w:pPr>
              <w:spacing w:after="0"/>
              <w:rPr>
                <w:sz w:val="8"/>
                <w:szCs w:val="8"/>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343537"/>
              </w:rPr>
              <w:t>Northern Europe</w:t>
            </w:r>
          </w:p>
        </w:tc>
        <w:tc>
          <w:tcPr>
            <w:tcW w:w="5820" w:type="dxa"/>
            <w:vAlign w:val="bottom"/>
            <w:gridSpan w:val="2"/>
          </w:tcPr>
          <w:p>
            <w:pPr>
              <w:ind w:left="220"/>
              <w:spacing w:after="0"/>
              <w:rPr>
                <w:sz w:val="20"/>
                <w:szCs w:val="20"/>
                <w:color w:val="auto"/>
              </w:rPr>
            </w:pPr>
            <w:r>
              <w:rPr>
                <w:rFonts w:ascii="Arial" w:cs="Arial" w:eastAsia="Arial" w:hAnsi="Arial"/>
                <w:sz w:val="29"/>
                <w:szCs w:val="29"/>
                <w:color w:val="343537"/>
              </w:rPr>
              <w:t>Down 11-13% (Down 2-4%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466EA5"/>
              <w:right w:val="single" w:sz="8" w:color="466EA5"/>
            </w:tcBorders>
          </w:tcPr>
          <w:p>
            <w:pPr>
              <w:spacing w:after="0"/>
              <w:rPr>
                <w:sz w:val="8"/>
                <w:szCs w:val="8"/>
                <w:color w:val="auto"/>
              </w:rPr>
            </w:pPr>
          </w:p>
        </w:tc>
        <w:tc>
          <w:tcPr>
            <w:tcW w:w="1740" w:type="dxa"/>
            <w:vAlign w:val="bottom"/>
            <w:tcBorders>
              <w:bottom w:val="single" w:sz="8" w:color="466EA5"/>
            </w:tcBorders>
          </w:tcPr>
          <w:p>
            <w:pPr>
              <w:spacing w:after="0"/>
              <w:rPr>
                <w:sz w:val="8"/>
                <w:szCs w:val="8"/>
                <w:color w:val="auto"/>
              </w:rPr>
            </w:pPr>
          </w:p>
        </w:tc>
        <w:tc>
          <w:tcPr>
            <w:tcW w:w="4080" w:type="dxa"/>
            <w:vAlign w:val="bottom"/>
            <w:tcBorders>
              <w:bottom w:val="single" w:sz="8" w:color="466EA5"/>
            </w:tcBorders>
          </w:tcPr>
          <w:p>
            <w:pPr>
              <w:spacing w:after="0"/>
              <w:rPr>
                <w:sz w:val="8"/>
                <w:szCs w:val="8"/>
                <w:color w:val="auto"/>
              </w:rPr>
            </w:pPr>
          </w:p>
        </w:tc>
      </w:tr>
      <w:tr>
        <w:trPr>
          <w:trHeight w:val="458"/>
        </w:trPr>
        <w:tc>
          <w:tcPr>
            <w:tcW w:w="1860" w:type="dxa"/>
            <w:vAlign w:val="bottom"/>
          </w:tcPr>
          <w:p>
            <w:pPr>
              <w:spacing w:after="0"/>
              <w:rPr>
                <w:sz w:val="24"/>
                <w:szCs w:val="24"/>
                <w:color w:val="auto"/>
              </w:rPr>
            </w:pPr>
          </w:p>
        </w:tc>
        <w:tc>
          <w:tcPr>
            <w:tcW w:w="296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343537"/>
              </w:rPr>
              <w:t>APME</w:t>
            </w:r>
          </w:p>
        </w:tc>
        <w:tc>
          <w:tcPr>
            <w:tcW w:w="1740" w:type="dxa"/>
            <w:vAlign w:val="bottom"/>
          </w:tcPr>
          <w:p>
            <w:pPr>
              <w:ind w:left="220"/>
              <w:spacing w:after="0"/>
              <w:rPr>
                <w:sz w:val="20"/>
                <w:szCs w:val="20"/>
                <w:color w:val="auto"/>
              </w:rPr>
            </w:pPr>
            <w:r>
              <w:rPr>
                <w:rFonts w:ascii="Arial" w:cs="Arial" w:eastAsia="Arial" w:hAnsi="Arial"/>
                <w:sz w:val="29"/>
                <w:szCs w:val="29"/>
                <w:color w:val="343537"/>
              </w:rPr>
              <w:t>Down 2-4%</w:t>
            </w:r>
          </w:p>
        </w:tc>
        <w:tc>
          <w:tcPr>
            <w:tcW w:w="4080" w:type="dxa"/>
            <w:vAlign w:val="bottom"/>
          </w:tcPr>
          <w:p>
            <w:pPr>
              <w:ind w:left="40"/>
              <w:spacing w:after="0"/>
              <w:rPr>
                <w:sz w:val="20"/>
                <w:szCs w:val="20"/>
                <w:color w:val="auto"/>
              </w:rPr>
            </w:pPr>
            <w:r>
              <w:rPr>
                <w:rFonts w:ascii="Arial" w:cs="Arial" w:eastAsia="Arial" w:hAnsi="Arial"/>
                <w:sz w:val="29"/>
                <w:szCs w:val="29"/>
                <w:color w:val="343537"/>
              </w:rPr>
              <w:t>(Up 0-2% CC)</w:t>
            </w:r>
          </w:p>
        </w:tc>
      </w:tr>
      <w:tr>
        <w:trPr>
          <w:trHeight w:val="92"/>
        </w:trPr>
        <w:tc>
          <w:tcPr>
            <w:tcW w:w="1860" w:type="dxa"/>
            <w:vAlign w:val="bottom"/>
          </w:tcPr>
          <w:p>
            <w:pPr>
              <w:spacing w:after="0"/>
              <w:rPr>
                <w:sz w:val="8"/>
                <w:szCs w:val="8"/>
                <w:color w:val="auto"/>
              </w:rPr>
            </w:pPr>
          </w:p>
        </w:tc>
        <w:tc>
          <w:tcPr>
            <w:tcW w:w="2960" w:type="dxa"/>
            <w:vAlign w:val="bottom"/>
            <w:tcBorders>
              <w:bottom w:val="single" w:sz="8" w:color="466EA5"/>
              <w:right w:val="single" w:sz="8" w:color="466EA5"/>
            </w:tcBorders>
          </w:tcPr>
          <w:p>
            <w:pPr>
              <w:spacing w:after="0"/>
              <w:rPr>
                <w:sz w:val="8"/>
                <w:szCs w:val="8"/>
                <w:color w:val="auto"/>
              </w:rPr>
            </w:pPr>
          </w:p>
        </w:tc>
        <w:tc>
          <w:tcPr>
            <w:tcW w:w="1740" w:type="dxa"/>
            <w:vAlign w:val="bottom"/>
            <w:tcBorders>
              <w:bottom w:val="single" w:sz="8" w:color="466EA5"/>
            </w:tcBorders>
          </w:tcPr>
          <w:p>
            <w:pPr>
              <w:spacing w:after="0"/>
              <w:rPr>
                <w:sz w:val="8"/>
                <w:szCs w:val="8"/>
                <w:color w:val="auto"/>
              </w:rPr>
            </w:pPr>
          </w:p>
        </w:tc>
        <w:tc>
          <w:tcPr>
            <w:tcW w:w="4080" w:type="dxa"/>
            <w:vAlign w:val="bottom"/>
            <w:tcBorders>
              <w:bottom w:val="single" w:sz="8" w:color="466EA5"/>
            </w:tcBorders>
          </w:tcPr>
          <w:p>
            <w:pPr>
              <w:spacing w:after="0"/>
              <w:rPr>
                <w:sz w:val="8"/>
                <w:szCs w:val="8"/>
                <w:color w:val="auto"/>
              </w:rPr>
            </w:pPr>
          </w:p>
        </w:tc>
      </w:tr>
      <w:tr>
        <w:trPr>
          <w:trHeight w:val="446"/>
        </w:trPr>
        <w:tc>
          <w:tcPr>
            <w:tcW w:w="1860" w:type="dxa"/>
            <w:vAlign w:val="bottom"/>
          </w:tcPr>
          <w:p>
            <w:pPr>
              <w:spacing w:after="0"/>
              <w:rPr>
                <w:sz w:val="24"/>
                <w:szCs w:val="24"/>
                <w:color w:val="auto"/>
              </w:rPr>
            </w:pPr>
          </w:p>
        </w:tc>
        <w:tc>
          <w:tcPr>
            <w:tcW w:w="296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343537"/>
              </w:rPr>
              <w:t>Right Management</w:t>
            </w:r>
          </w:p>
        </w:tc>
        <w:tc>
          <w:tcPr>
            <w:tcW w:w="1740" w:type="dxa"/>
            <w:vAlign w:val="bottom"/>
          </w:tcPr>
          <w:p>
            <w:pPr>
              <w:ind w:left="220"/>
              <w:spacing w:after="0"/>
              <w:rPr>
                <w:sz w:val="20"/>
                <w:szCs w:val="20"/>
                <w:color w:val="auto"/>
              </w:rPr>
            </w:pPr>
            <w:r>
              <w:rPr>
                <w:rFonts w:ascii="Arial" w:cs="Arial" w:eastAsia="Arial" w:hAnsi="Arial"/>
                <w:sz w:val="29"/>
                <w:szCs w:val="29"/>
                <w:color w:val="343537"/>
              </w:rPr>
              <w:t>Down 0-2%</w:t>
            </w:r>
          </w:p>
        </w:tc>
        <w:tc>
          <w:tcPr>
            <w:tcW w:w="4080" w:type="dxa"/>
            <w:vAlign w:val="bottom"/>
          </w:tcPr>
          <w:p>
            <w:pPr>
              <w:ind w:left="40"/>
              <w:spacing w:after="0"/>
              <w:rPr>
                <w:sz w:val="20"/>
                <w:szCs w:val="20"/>
                <w:color w:val="auto"/>
              </w:rPr>
            </w:pPr>
            <w:r>
              <w:rPr>
                <w:rFonts w:ascii="Arial" w:cs="Arial" w:eastAsia="Arial" w:hAnsi="Arial"/>
                <w:sz w:val="29"/>
                <w:szCs w:val="29"/>
                <w:color w:val="343537"/>
              </w:rPr>
              <w:t>(Up 2-4% CC)</w:t>
            </w:r>
          </w:p>
        </w:tc>
      </w:tr>
      <w:tr>
        <w:trPr>
          <w:trHeight w:val="96"/>
        </w:trPr>
        <w:tc>
          <w:tcPr>
            <w:tcW w:w="4820" w:type="dxa"/>
            <w:vAlign w:val="bottom"/>
            <w:tcBorders>
              <w:bottom w:val="single" w:sz="8" w:color="466EA5"/>
              <w:right w:val="single" w:sz="8" w:color="466EA5"/>
            </w:tcBorders>
            <w:gridSpan w:val="2"/>
          </w:tcPr>
          <w:p>
            <w:pPr>
              <w:spacing w:after="0"/>
              <w:rPr>
                <w:sz w:val="8"/>
                <w:szCs w:val="8"/>
                <w:color w:val="auto"/>
              </w:rPr>
            </w:pPr>
          </w:p>
        </w:tc>
        <w:tc>
          <w:tcPr>
            <w:tcW w:w="5820" w:type="dxa"/>
            <w:vAlign w:val="bottom"/>
            <w:tcBorders>
              <w:bottom w:val="single" w:sz="8" w:color="466EA5"/>
            </w:tcBorders>
            <w:gridSpan w:val="2"/>
          </w:tcPr>
          <w:p>
            <w:pPr>
              <w:spacing w:after="0"/>
              <w:rPr>
                <w:sz w:val="8"/>
                <w:szCs w:val="8"/>
                <w:color w:val="auto"/>
              </w:rPr>
            </w:pPr>
          </w:p>
        </w:tc>
      </w:tr>
      <w:tr>
        <w:trPr>
          <w:trHeight w:val="463"/>
        </w:trPr>
        <w:tc>
          <w:tcPr>
            <w:tcW w:w="4820" w:type="dxa"/>
            <w:vAlign w:val="bottom"/>
            <w:tcBorders>
              <w:right w:val="single" w:sz="8" w:color="466EA5"/>
            </w:tcBorders>
            <w:gridSpan w:val="2"/>
          </w:tcPr>
          <w:p>
            <w:pPr>
              <w:ind w:left="100"/>
              <w:spacing w:after="0"/>
              <w:rPr>
                <w:sz w:val="20"/>
                <w:szCs w:val="20"/>
                <w:color w:val="auto"/>
              </w:rPr>
            </w:pPr>
            <w:r>
              <w:rPr>
                <w:rFonts w:ascii="Arial" w:cs="Arial" w:eastAsia="Arial" w:hAnsi="Arial"/>
                <w:sz w:val="32"/>
                <w:szCs w:val="32"/>
                <w:b w:val="1"/>
                <w:bCs w:val="1"/>
                <w:color w:val="343537"/>
              </w:rPr>
              <w:t>Gross Profit Margin</w:t>
            </w:r>
          </w:p>
        </w:tc>
        <w:tc>
          <w:tcPr>
            <w:tcW w:w="5820" w:type="dxa"/>
            <w:vAlign w:val="bottom"/>
            <w:gridSpan w:val="2"/>
          </w:tcPr>
          <w:p>
            <w:pPr>
              <w:ind w:left="220"/>
              <w:spacing w:after="0"/>
              <w:rPr>
                <w:sz w:val="20"/>
                <w:szCs w:val="20"/>
                <w:color w:val="auto"/>
              </w:rPr>
            </w:pPr>
            <w:r>
              <w:rPr>
                <w:rFonts w:ascii="Arial" w:cs="Arial" w:eastAsia="Arial" w:hAnsi="Arial"/>
                <w:sz w:val="29"/>
                <w:szCs w:val="29"/>
                <w:color w:val="343537"/>
              </w:rPr>
              <w:t>16.3 - 16.5%</w:t>
            </w:r>
          </w:p>
        </w:tc>
      </w:tr>
      <w:tr>
        <w:trPr>
          <w:trHeight w:val="88"/>
        </w:trPr>
        <w:tc>
          <w:tcPr>
            <w:tcW w:w="4820" w:type="dxa"/>
            <w:vAlign w:val="bottom"/>
            <w:tcBorders>
              <w:bottom w:val="single" w:sz="8" w:color="466EA5"/>
              <w:right w:val="single" w:sz="8" w:color="466EA5"/>
            </w:tcBorders>
            <w:gridSpan w:val="2"/>
          </w:tcPr>
          <w:p>
            <w:pPr>
              <w:spacing w:after="0"/>
              <w:rPr>
                <w:sz w:val="7"/>
                <w:szCs w:val="7"/>
                <w:color w:val="auto"/>
              </w:rPr>
            </w:pPr>
          </w:p>
        </w:tc>
        <w:tc>
          <w:tcPr>
            <w:tcW w:w="1740" w:type="dxa"/>
            <w:vAlign w:val="bottom"/>
            <w:tcBorders>
              <w:bottom w:val="single" w:sz="8" w:color="466EA5"/>
            </w:tcBorders>
          </w:tcPr>
          <w:p>
            <w:pPr>
              <w:spacing w:after="0"/>
              <w:rPr>
                <w:sz w:val="7"/>
                <w:szCs w:val="7"/>
                <w:color w:val="auto"/>
              </w:rPr>
            </w:pPr>
          </w:p>
        </w:tc>
        <w:tc>
          <w:tcPr>
            <w:tcW w:w="4080" w:type="dxa"/>
            <w:vAlign w:val="bottom"/>
            <w:tcBorders>
              <w:bottom w:val="single" w:sz="8" w:color="466EA5"/>
            </w:tcBorders>
          </w:tcPr>
          <w:p>
            <w:pPr>
              <w:spacing w:after="0"/>
              <w:rPr>
                <w:sz w:val="7"/>
                <w:szCs w:val="7"/>
                <w:color w:val="auto"/>
              </w:rPr>
            </w:pPr>
          </w:p>
        </w:tc>
      </w:tr>
      <w:tr>
        <w:trPr>
          <w:trHeight w:val="463"/>
        </w:trPr>
        <w:tc>
          <w:tcPr>
            <w:tcW w:w="4820" w:type="dxa"/>
            <w:vAlign w:val="bottom"/>
            <w:tcBorders>
              <w:right w:val="single" w:sz="8" w:color="466EA5"/>
            </w:tcBorders>
            <w:gridSpan w:val="2"/>
          </w:tcPr>
          <w:p>
            <w:pPr>
              <w:ind w:left="100"/>
              <w:spacing w:after="0"/>
              <w:rPr>
                <w:sz w:val="20"/>
                <w:szCs w:val="20"/>
                <w:color w:val="auto"/>
              </w:rPr>
            </w:pPr>
            <w:r>
              <w:rPr>
                <w:rFonts w:ascii="Arial" w:cs="Arial" w:eastAsia="Arial" w:hAnsi="Arial"/>
                <w:sz w:val="32"/>
                <w:szCs w:val="32"/>
                <w:b w:val="1"/>
                <w:bCs w:val="1"/>
                <w:color w:val="343537"/>
              </w:rPr>
              <w:t>Operating Profit Margin</w:t>
            </w:r>
          </w:p>
        </w:tc>
        <w:tc>
          <w:tcPr>
            <w:tcW w:w="1740" w:type="dxa"/>
            <w:vAlign w:val="bottom"/>
          </w:tcPr>
          <w:p>
            <w:pPr>
              <w:ind w:left="220"/>
              <w:spacing w:after="0"/>
              <w:rPr>
                <w:sz w:val="20"/>
                <w:szCs w:val="20"/>
                <w:color w:val="auto"/>
              </w:rPr>
            </w:pPr>
            <w:r>
              <w:rPr>
                <w:rFonts w:ascii="Arial" w:cs="Arial" w:eastAsia="Arial" w:hAnsi="Arial"/>
                <w:sz w:val="29"/>
                <w:szCs w:val="29"/>
                <w:color w:val="343537"/>
              </w:rPr>
              <w:t>2.1 - 2.3%</w:t>
            </w:r>
          </w:p>
        </w:tc>
        <w:tc>
          <w:tcPr>
            <w:tcW w:w="4080" w:type="dxa"/>
            <w:vAlign w:val="bottom"/>
          </w:tcPr>
          <w:p>
            <w:pPr>
              <w:spacing w:after="0"/>
              <w:rPr>
                <w:sz w:val="24"/>
                <w:szCs w:val="24"/>
                <w:color w:val="auto"/>
              </w:rPr>
            </w:pPr>
          </w:p>
        </w:tc>
      </w:tr>
      <w:tr>
        <w:trPr>
          <w:trHeight w:val="88"/>
        </w:trPr>
        <w:tc>
          <w:tcPr>
            <w:tcW w:w="1860" w:type="dxa"/>
            <w:vAlign w:val="bottom"/>
            <w:tcBorders>
              <w:bottom w:val="single" w:sz="8" w:color="466EA5"/>
            </w:tcBorders>
          </w:tcPr>
          <w:p>
            <w:pPr>
              <w:spacing w:after="0"/>
              <w:rPr>
                <w:sz w:val="7"/>
                <w:szCs w:val="7"/>
                <w:color w:val="auto"/>
              </w:rPr>
            </w:pPr>
          </w:p>
        </w:tc>
        <w:tc>
          <w:tcPr>
            <w:tcW w:w="2960" w:type="dxa"/>
            <w:vAlign w:val="bottom"/>
            <w:tcBorders>
              <w:bottom w:val="single" w:sz="8" w:color="466EA5"/>
              <w:right w:val="single" w:sz="8" w:color="466EA5"/>
            </w:tcBorders>
          </w:tcPr>
          <w:p>
            <w:pPr>
              <w:spacing w:after="0"/>
              <w:rPr>
                <w:sz w:val="7"/>
                <w:szCs w:val="7"/>
                <w:color w:val="auto"/>
              </w:rPr>
            </w:pPr>
          </w:p>
        </w:tc>
        <w:tc>
          <w:tcPr>
            <w:tcW w:w="5820" w:type="dxa"/>
            <w:vAlign w:val="bottom"/>
            <w:tcBorders>
              <w:bottom w:val="single" w:sz="8" w:color="466EA5"/>
            </w:tcBorders>
            <w:gridSpan w:val="2"/>
          </w:tcPr>
          <w:p>
            <w:pPr>
              <w:spacing w:after="0"/>
              <w:rPr>
                <w:sz w:val="7"/>
                <w:szCs w:val="7"/>
                <w:color w:val="auto"/>
              </w:rPr>
            </w:pPr>
          </w:p>
        </w:tc>
      </w:tr>
      <w:tr>
        <w:trPr>
          <w:trHeight w:val="427"/>
        </w:trPr>
        <w:tc>
          <w:tcPr>
            <w:tcW w:w="1860" w:type="dxa"/>
            <w:vAlign w:val="bottom"/>
          </w:tcPr>
          <w:p>
            <w:pPr>
              <w:ind w:left="100"/>
              <w:spacing w:after="0"/>
              <w:rPr>
                <w:sz w:val="20"/>
                <w:szCs w:val="20"/>
                <w:color w:val="auto"/>
              </w:rPr>
            </w:pPr>
            <w:r>
              <w:rPr>
                <w:rFonts w:ascii="Arial" w:cs="Arial" w:eastAsia="Arial" w:hAnsi="Arial"/>
                <w:sz w:val="32"/>
                <w:szCs w:val="32"/>
                <w:b w:val="1"/>
                <w:bCs w:val="1"/>
                <w:color w:val="343537"/>
              </w:rPr>
              <w:t>Tax Rate</w:t>
            </w:r>
          </w:p>
        </w:tc>
        <w:tc>
          <w:tcPr>
            <w:tcW w:w="2960" w:type="dxa"/>
            <w:vAlign w:val="bottom"/>
            <w:tcBorders>
              <w:right w:val="single" w:sz="8" w:color="466EA5"/>
            </w:tcBorders>
          </w:tcPr>
          <w:p>
            <w:pPr>
              <w:spacing w:after="0"/>
              <w:rPr>
                <w:sz w:val="24"/>
                <w:szCs w:val="24"/>
                <w:color w:val="auto"/>
              </w:rPr>
            </w:pPr>
          </w:p>
        </w:tc>
        <w:tc>
          <w:tcPr>
            <w:tcW w:w="5820" w:type="dxa"/>
            <w:vAlign w:val="bottom"/>
            <w:gridSpan w:val="2"/>
          </w:tcPr>
          <w:p>
            <w:pPr>
              <w:ind w:left="220"/>
              <w:spacing w:after="0"/>
              <w:rPr>
                <w:sz w:val="20"/>
                <w:szCs w:val="20"/>
                <w:color w:val="auto"/>
              </w:rPr>
            </w:pPr>
            <w:r>
              <w:rPr>
                <w:rFonts w:ascii="Arial" w:cs="Arial" w:eastAsia="Arial" w:hAnsi="Arial"/>
                <w:sz w:val="29"/>
                <w:szCs w:val="29"/>
                <w:color w:val="343537"/>
              </w:rPr>
              <w:t xml:space="preserve">46% </w:t>
            </w:r>
            <w:r>
              <w:rPr>
                <w:rFonts w:ascii="Arial" w:cs="Arial" w:eastAsia="Arial" w:hAnsi="Arial"/>
                <w:sz w:val="19"/>
                <w:szCs w:val="19"/>
                <w:color w:val="282A32"/>
              </w:rPr>
              <w:t>(34% excl. reclassification of France business tax)</w:t>
            </w:r>
          </w:p>
        </w:tc>
      </w:tr>
      <w:tr>
        <w:trPr>
          <w:trHeight w:val="52"/>
        </w:trPr>
        <w:tc>
          <w:tcPr>
            <w:tcW w:w="1860" w:type="dxa"/>
            <w:vAlign w:val="bottom"/>
            <w:tcBorders>
              <w:bottom w:val="single" w:sz="8" w:color="466EA5"/>
            </w:tcBorders>
          </w:tcPr>
          <w:p>
            <w:pPr>
              <w:spacing w:after="0"/>
              <w:rPr>
                <w:sz w:val="4"/>
                <w:szCs w:val="4"/>
                <w:color w:val="auto"/>
              </w:rPr>
            </w:pPr>
          </w:p>
        </w:tc>
        <w:tc>
          <w:tcPr>
            <w:tcW w:w="2960" w:type="dxa"/>
            <w:vAlign w:val="bottom"/>
            <w:tcBorders>
              <w:bottom w:val="single" w:sz="8" w:color="466EA5"/>
              <w:right w:val="single" w:sz="8" w:color="466EA5"/>
            </w:tcBorders>
          </w:tcPr>
          <w:p>
            <w:pPr>
              <w:spacing w:after="0"/>
              <w:rPr>
                <w:sz w:val="4"/>
                <w:szCs w:val="4"/>
                <w:color w:val="auto"/>
              </w:rPr>
            </w:pPr>
          </w:p>
        </w:tc>
        <w:tc>
          <w:tcPr>
            <w:tcW w:w="5820" w:type="dxa"/>
            <w:vAlign w:val="bottom"/>
            <w:tcBorders>
              <w:bottom w:val="single" w:sz="8" w:color="466EA5"/>
            </w:tcBorders>
            <w:gridSpan w:val="2"/>
          </w:tcPr>
          <w:p>
            <w:pPr>
              <w:spacing w:after="0"/>
              <w:rPr>
                <w:sz w:val="4"/>
                <w:szCs w:val="4"/>
                <w:color w:val="auto"/>
              </w:rPr>
            </w:pPr>
          </w:p>
        </w:tc>
      </w:tr>
      <w:tr>
        <w:trPr>
          <w:trHeight w:val="463"/>
        </w:trPr>
        <w:tc>
          <w:tcPr>
            <w:tcW w:w="1860" w:type="dxa"/>
            <w:vAlign w:val="bottom"/>
          </w:tcPr>
          <w:p>
            <w:pPr>
              <w:ind w:left="100"/>
              <w:spacing w:after="0"/>
              <w:rPr>
                <w:sz w:val="20"/>
                <w:szCs w:val="20"/>
                <w:color w:val="auto"/>
              </w:rPr>
            </w:pPr>
            <w:r>
              <w:rPr>
                <w:rFonts w:ascii="Arial" w:cs="Arial" w:eastAsia="Arial" w:hAnsi="Arial"/>
                <w:sz w:val="32"/>
                <w:szCs w:val="32"/>
                <w:b w:val="1"/>
                <w:bCs w:val="1"/>
                <w:color w:val="343537"/>
              </w:rPr>
              <w:t>EPS</w:t>
            </w:r>
          </w:p>
        </w:tc>
        <w:tc>
          <w:tcPr>
            <w:tcW w:w="2960" w:type="dxa"/>
            <w:vAlign w:val="bottom"/>
            <w:tcBorders>
              <w:right w:val="single" w:sz="8" w:color="466EA5"/>
            </w:tcBorders>
          </w:tcPr>
          <w:p>
            <w:pPr>
              <w:spacing w:after="0"/>
              <w:rPr>
                <w:sz w:val="24"/>
                <w:szCs w:val="24"/>
                <w:color w:val="auto"/>
              </w:rPr>
            </w:pPr>
          </w:p>
        </w:tc>
        <w:tc>
          <w:tcPr>
            <w:tcW w:w="5820" w:type="dxa"/>
            <w:vAlign w:val="bottom"/>
            <w:gridSpan w:val="2"/>
          </w:tcPr>
          <w:p>
            <w:pPr>
              <w:ind w:left="220"/>
              <w:spacing w:after="0"/>
              <w:rPr>
                <w:sz w:val="20"/>
                <w:szCs w:val="20"/>
                <w:color w:val="auto"/>
              </w:rPr>
            </w:pPr>
            <w:r>
              <w:rPr>
                <w:rFonts w:ascii="Arial" w:cs="Arial" w:eastAsia="Arial" w:hAnsi="Arial"/>
                <w:sz w:val="29"/>
                <w:szCs w:val="29"/>
                <w:color w:val="343537"/>
              </w:rPr>
              <w:t>$0.64 - $0.72 (Neg. $.08 Currency)</w:t>
            </w:r>
          </w:p>
        </w:tc>
      </w:tr>
      <w:tr>
        <w:trPr>
          <w:trHeight w:val="88"/>
        </w:trPr>
        <w:tc>
          <w:tcPr>
            <w:tcW w:w="1860" w:type="dxa"/>
            <w:vAlign w:val="bottom"/>
            <w:tcBorders>
              <w:bottom w:val="single" w:sz="8" w:color="466EA5"/>
            </w:tcBorders>
          </w:tcPr>
          <w:p>
            <w:pPr>
              <w:spacing w:after="0"/>
              <w:rPr>
                <w:sz w:val="7"/>
                <w:szCs w:val="7"/>
                <w:color w:val="auto"/>
              </w:rPr>
            </w:pPr>
          </w:p>
        </w:tc>
        <w:tc>
          <w:tcPr>
            <w:tcW w:w="2960" w:type="dxa"/>
            <w:vAlign w:val="bottom"/>
            <w:tcBorders>
              <w:bottom w:val="single" w:sz="8" w:color="466EA5"/>
              <w:right w:val="single" w:sz="8" w:color="466EA5"/>
            </w:tcBorders>
          </w:tcPr>
          <w:p>
            <w:pPr>
              <w:spacing w:after="0"/>
              <w:rPr>
                <w:sz w:val="7"/>
                <w:szCs w:val="7"/>
                <w:color w:val="auto"/>
              </w:rPr>
            </w:pPr>
          </w:p>
        </w:tc>
        <w:tc>
          <w:tcPr>
            <w:tcW w:w="1740" w:type="dxa"/>
            <w:vAlign w:val="bottom"/>
            <w:tcBorders>
              <w:bottom w:val="single" w:sz="8" w:color="466EA5"/>
            </w:tcBorders>
          </w:tcPr>
          <w:p>
            <w:pPr>
              <w:spacing w:after="0"/>
              <w:rPr>
                <w:sz w:val="7"/>
                <w:szCs w:val="7"/>
                <w:color w:val="auto"/>
              </w:rPr>
            </w:pPr>
          </w:p>
        </w:tc>
        <w:tc>
          <w:tcPr>
            <w:tcW w:w="4080" w:type="dxa"/>
            <w:vAlign w:val="bottom"/>
            <w:tcBorders>
              <w:bottom w:val="single" w:sz="8" w:color="466EA5"/>
            </w:tcBorders>
          </w:tcPr>
          <w:p>
            <w:pPr>
              <w:spacing w:after="0"/>
              <w:rPr>
                <w:sz w:val="7"/>
                <w:szCs w:val="7"/>
                <w:color w:val="auto"/>
              </w:rPr>
            </w:pPr>
          </w:p>
        </w:tc>
      </w:tr>
    </w:tbl>
    <w:p>
      <w:pPr>
        <w:spacing w:after="0" w:line="282" w:lineRule="exact"/>
        <w:rPr>
          <w:sz w:val="20"/>
          <w:szCs w:val="20"/>
          <w:color w:val="auto"/>
        </w:rPr>
      </w:pPr>
    </w:p>
    <w:p>
      <w:pPr>
        <w:ind w:left="10340"/>
        <w:spacing w:after="0"/>
        <w:rPr>
          <w:sz w:val="20"/>
          <w:szCs w:val="20"/>
          <w:color w:val="auto"/>
        </w:rPr>
      </w:pPr>
      <w:r>
        <w:rPr>
          <w:rFonts w:ascii="Arial" w:cs="Arial" w:eastAsia="Arial" w:hAnsi="Arial"/>
          <w:sz w:val="17"/>
          <w:szCs w:val="17"/>
          <w:color w:val="7F7F7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464185</wp:posOffset>
            </wp:positionV>
            <wp:extent cx="726821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640"/>
          </w:cols>
          <w:pgMar w:left="700" w:top="516" w:right="559" w:bottom="1440" w:gutter="0" w:footer="0" w:header="0"/>
        </w:sectPr>
      </w:pPr>
    </w:p>
    <w:bookmarkStart w:id="31" w:name="page32"/>
    <w:bookmarkEnd w:id="31"/>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47" w:lineRule="exact"/>
        <w:rPr>
          <w:sz w:val="20"/>
          <w:szCs w:val="20"/>
          <w:color w:val="auto"/>
        </w:rPr>
      </w:pPr>
    </w:p>
    <w:p>
      <w:pPr>
        <w:spacing w:after="0"/>
        <w:rPr>
          <w:sz w:val="20"/>
          <w:szCs w:val="20"/>
          <w:color w:val="auto"/>
        </w:rPr>
      </w:pPr>
      <w:r>
        <w:rPr>
          <w:rFonts w:ascii="Arial" w:cs="Arial" w:eastAsia="Arial" w:hAnsi="Arial"/>
          <w:sz w:val="48"/>
          <w:szCs w:val="48"/>
          <w:color w:val="5F81AA"/>
        </w:rPr>
        <w:t>Strategic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464185</wp:posOffset>
            </wp:positionV>
            <wp:extent cx="726821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420"/>
          </w:cols>
          <w:pgMar w:left="820" w:top="516" w:right="659" w:bottom="1440" w:gutter="0" w:footer="0" w:header="0"/>
        </w:sectPr>
      </w:pPr>
    </w:p>
    <w:bookmarkStart w:id="32" w:name="page33"/>
    <w:bookmarkEnd w:id="32"/>
    <w:p>
      <w:pPr>
        <w:spacing w:after="0"/>
        <w:tabs>
          <w:tab w:leader="none" w:pos="9020" w:val="left"/>
        </w:tabs>
        <w:rPr>
          <w:sz w:val="20"/>
          <w:szCs w:val="20"/>
          <w:color w:val="auto"/>
        </w:rPr>
      </w:pPr>
      <w:r>
        <w:rPr>
          <w:rFonts w:ascii="Arial" w:cs="Arial" w:eastAsia="Arial" w:hAnsi="Arial"/>
          <w:sz w:val="25"/>
          <w:szCs w:val="25"/>
          <w:color w:val="466EA5"/>
        </w:rPr>
        <w:drawing>
          <wp:anchor simplePos="0" relativeHeight="251657728" behindDoc="1" locked="0" layoutInCell="0" allowOverlap="1">
            <wp:simplePos x="0" y="0"/>
            <wp:positionH relativeFrom="page">
              <wp:posOffset>156845</wp:posOffset>
            </wp:positionH>
            <wp:positionV relativeFrom="page">
              <wp:posOffset>172085</wp:posOffset>
            </wp:positionV>
            <wp:extent cx="7247890" cy="543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47890" cy="5435600"/>
                    </a:xfrm>
                    <a:prstGeom prst="rect">
                      <a:avLst/>
                    </a:prstGeom>
                    <a:noFill/>
                  </pic:spPr>
                </pic:pic>
              </a:graphicData>
            </a:graphic>
          </wp:anchor>
        </w:drawing>
        <w:t>ManpowerGroup 2012 2</w:t>
      </w:r>
      <w:r>
        <w:rPr>
          <w:rFonts w:ascii="Arial" w:cs="Arial" w:eastAsia="Arial" w:hAnsi="Arial"/>
          <w:sz w:val="17"/>
          <w:szCs w:val="17"/>
          <w:color w:val="466EA5"/>
        </w:rPr>
        <w:t>nd</w:t>
      </w:r>
      <w:r>
        <w:rPr>
          <w:rFonts w:ascii="Arial" w:cs="Arial" w:eastAsia="Arial" w:hAnsi="Arial"/>
          <w:sz w:val="25"/>
          <w:szCs w:val="25"/>
          <w:color w:val="466EA5"/>
        </w:rPr>
        <w:t xml:space="preserve"> Quarter Results</w:t>
      </w:r>
      <w:r>
        <w:rPr>
          <w:sz w:val="20"/>
          <w:szCs w:val="20"/>
          <w:color w:val="auto"/>
        </w:rPr>
        <w:tab/>
      </w:r>
      <w:r>
        <w:rPr>
          <w:rFonts w:ascii="Arial" w:cs="Arial" w:eastAsia="Arial" w:hAnsi="Arial"/>
          <w:sz w:val="25"/>
          <w:szCs w:val="25"/>
          <w:color w:val="466EA5"/>
        </w:rPr>
        <w:t>July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76"/>
          <w:szCs w:val="76"/>
          <w:color w:val="6390C6"/>
        </w:rPr>
        <w:t>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color w:val="7F7F7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487045</wp:posOffset>
            </wp:positionV>
            <wp:extent cx="726821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80"/>
          </w:cols>
          <w:pgMar w:left="820" w:top="516" w:right="69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2019-12-09T09:33:53Z</dcterms:created>
  <dcterms:modified xsi:type="dcterms:W3CDTF">2019-12-09T09:33:53Z</dcterms:modified>
</cp:coreProperties>
</file>