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1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15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WALTER JOHN R</w:t>
              </w:r>
            </w:hyperlink>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80"/>
              <w:spacing w:after="0"/>
              <w:rPr>
                <w:sz w:val="20"/>
                <w:szCs w:val="20"/>
                <w:color w:val="auto"/>
              </w:rPr>
            </w:pPr>
            <w:r>
              <w:rPr>
                <w:rFonts w:ascii="Arial" w:cs="Arial" w:eastAsia="Arial" w:hAnsi="Arial"/>
                <w:sz w:val="13"/>
                <w:szCs w:val="13"/>
                <w:color w:val="auto"/>
              </w:rPr>
              <w:t>(First)</w:t>
            </w: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160"/>
              <w:spacing w:after="0" w:line="125"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ind w:left="240"/>
              <w:spacing w:after="0" w:line="125"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460" w:type="dxa"/>
            <w:vAlign w:val="bottom"/>
            <w:gridSpan w:val="5"/>
            <w:vMerge w:val="restart"/>
          </w:tcPr>
          <w:p>
            <w:pPr>
              <w:ind w:left="320"/>
              <w:spacing w:after="0"/>
              <w:rPr>
                <w:sz w:val="20"/>
                <w:szCs w:val="20"/>
                <w:color w:val="auto"/>
              </w:rPr>
            </w:pPr>
            <w:r>
              <w:rPr>
                <w:rFonts w:ascii="Arial" w:cs="Arial" w:eastAsia="Arial" w:hAnsi="Arial"/>
                <w:sz w:val="17"/>
                <w:szCs w:val="17"/>
                <w:color w:val="0000FF"/>
              </w:rPr>
              <w:t>01/01/2007</w:t>
            </w: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MANPOWER INC.</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7"/>
                <w:szCs w:val="17"/>
                <w:color w:val="0000FF"/>
                <w:w w:val="96"/>
              </w:rPr>
              <w:t>5301 NORTH IRONWOOD ROAD</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8"/>
                <w:szCs w:val="8"/>
                <w:color w:val="auto"/>
              </w:rPr>
            </w:pPr>
          </w:p>
        </w:tc>
        <w:tc>
          <w:tcPr>
            <w:tcW w:w="35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300" w:type="dxa"/>
            <w:vAlign w:val="bottom"/>
          </w:tcPr>
          <w:p>
            <w:pPr>
              <w:spacing w:after="0"/>
              <w:rPr>
                <w:sz w:val="8"/>
                <w:szCs w:val="8"/>
                <w:color w:val="auto"/>
              </w:rPr>
            </w:pPr>
          </w:p>
        </w:tc>
        <w:tc>
          <w:tcPr>
            <w:tcW w:w="35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2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MILWAUKEE   WI</w:t>
            </w:r>
          </w:p>
        </w:tc>
        <w:tc>
          <w:tcPr>
            <w:tcW w:w="1120" w:type="dxa"/>
            <w:vAlign w:val="bottom"/>
          </w:tcPr>
          <w:p>
            <w:pPr>
              <w:ind w:left="20"/>
              <w:spacing w:after="0"/>
              <w:rPr>
                <w:sz w:val="20"/>
                <w:szCs w:val="20"/>
                <w:color w:val="auto"/>
              </w:rPr>
            </w:pPr>
            <w:r>
              <w:rPr>
                <w:rFonts w:ascii="Arial" w:cs="Arial" w:eastAsia="Arial" w:hAnsi="Arial"/>
                <w:sz w:val="17"/>
                <w:szCs w:val="17"/>
                <w:color w:val="0000FF"/>
              </w:rPr>
              <w:t>53217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8"/>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212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6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76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gridSpan w:val="2"/>
          </w:tcPr>
          <w:p>
            <w:pPr>
              <w:jc w:val="right"/>
              <w:ind w:right="174"/>
              <w:spacing w:after="0"/>
              <w:rPr>
                <w:sz w:val="20"/>
                <w:szCs w:val="20"/>
                <w:color w:val="auto"/>
              </w:rPr>
            </w:pPr>
            <w:r>
              <w:rPr>
                <w:rFonts w:ascii="Arial" w:cs="Arial" w:eastAsia="Arial" w:hAnsi="Arial"/>
                <w:sz w:val="13"/>
                <w:szCs w:val="13"/>
                <w:color w:val="0000FF"/>
              </w:rPr>
              <w:t>01/01/2007</w:t>
            </w:r>
          </w:p>
        </w:tc>
        <w:tc>
          <w:tcPr>
            <w:tcW w:w="1120" w:type="dxa"/>
            <w:vAlign w:val="bottom"/>
          </w:tcPr>
          <w:p>
            <w:pPr>
              <w:spacing w:after="0"/>
              <w:rPr>
                <w:sz w:val="21"/>
                <w:szCs w:val="21"/>
                <w:color w:val="auto"/>
              </w:rPr>
            </w:pPr>
          </w:p>
        </w:tc>
        <w:tc>
          <w:tcPr>
            <w:tcW w:w="780" w:type="dxa"/>
            <w:vAlign w:val="bottom"/>
            <w:gridSpan w:val="4"/>
          </w:tcPr>
          <w:p>
            <w:pPr>
              <w:ind w:left="100"/>
              <w:spacing w:after="0" w:line="251" w:lineRule="exact"/>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(2)</w:t>
            </w:r>
          </w:p>
        </w:tc>
        <w:tc>
          <w:tcPr>
            <w:tcW w:w="680" w:type="dxa"/>
            <w:vAlign w:val="bottom"/>
          </w:tcPr>
          <w:p>
            <w:pPr>
              <w:jc w:val="right"/>
              <w:ind w:right="79"/>
              <w:spacing w:after="0"/>
              <w:rPr>
                <w:sz w:val="20"/>
                <w:szCs w:val="20"/>
                <w:color w:val="auto"/>
              </w:rPr>
            </w:pPr>
            <w:r>
              <w:rPr>
                <w:rFonts w:ascii="Arial" w:cs="Arial" w:eastAsia="Arial" w:hAnsi="Arial"/>
                <w:sz w:val="13"/>
                <w:szCs w:val="13"/>
                <w:color w:val="0000FF"/>
              </w:rPr>
              <w:t>23.0164</w:t>
            </w:r>
          </w:p>
        </w:tc>
        <w:tc>
          <w:tcPr>
            <w:tcW w:w="280" w:type="dxa"/>
            <w:vAlign w:val="bottom"/>
          </w:tcPr>
          <w:p>
            <w:pPr>
              <w:spacing w:after="0"/>
              <w:rPr>
                <w:sz w:val="21"/>
                <w:szCs w:val="21"/>
                <w:color w:val="auto"/>
              </w:rPr>
            </w:pPr>
          </w:p>
        </w:tc>
        <w:tc>
          <w:tcPr>
            <w:tcW w:w="66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tcPr>
          <w:p>
            <w:pPr>
              <w:jc w:val="right"/>
              <w:ind w:right="7"/>
              <w:spacing w:after="0"/>
              <w:rPr>
                <w:sz w:val="20"/>
                <w:szCs w:val="20"/>
                <w:color w:val="auto"/>
              </w:rPr>
            </w:pPr>
            <w:r>
              <w:rPr>
                <w:rFonts w:ascii="Arial" w:cs="Arial" w:eastAsia="Arial" w:hAnsi="Arial"/>
                <w:sz w:val="17"/>
                <w:szCs w:val="17"/>
                <w:color w:val="0000FF"/>
                <w:w w:val="87"/>
              </w:rPr>
              <w:t>23.0164</w:t>
            </w:r>
          </w:p>
        </w:tc>
        <w:tc>
          <w:tcPr>
            <w:tcW w:w="60" w:type="dxa"/>
            <w:vAlign w:val="bottom"/>
          </w:tcPr>
          <w:p>
            <w:pPr>
              <w:spacing w:after="0"/>
              <w:rPr>
                <w:sz w:val="21"/>
                <w:szCs w:val="21"/>
                <w:color w:val="auto"/>
              </w:rPr>
            </w:pPr>
          </w:p>
        </w:tc>
        <w:tc>
          <w:tcPr>
            <w:tcW w:w="700" w:type="dxa"/>
            <w:vAlign w:val="bottom"/>
            <w:gridSpan w:val="2"/>
          </w:tcPr>
          <w:p>
            <w:pPr>
              <w:jc w:val="center"/>
              <w:ind w:right="38"/>
              <w:spacing w:after="0" w:line="251" w:lineRule="exact"/>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64.495</w:t>
            </w:r>
            <w:r>
              <w:rPr>
                <w:rFonts w:ascii="Arial" w:cs="Arial" w:eastAsia="Arial" w:hAnsi="Arial"/>
                <w:sz w:val="22"/>
                <w:szCs w:val="22"/>
                <w:color w:val="008000"/>
                <w:w w:val="86"/>
                <w:vertAlign w:val="superscript"/>
              </w:rPr>
              <w:t>(3)</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0000FF"/>
              </w:rPr>
              <w:t>2,539.0164</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00" w:type="dxa"/>
            <w:vAlign w:val="bottom"/>
            <w:tcBorders>
              <w:bottom w:val="single" w:sz="8" w:color="2C2C2C"/>
            </w:tcBorders>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160"/>
              <w:spacing w:after="0" w:line="146" w:lineRule="exact"/>
              <w:rPr>
                <w:sz w:val="20"/>
                <w:szCs w:val="20"/>
                <w:color w:val="auto"/>
              </w:rPr>
            </w:pPr>
            <w:r>
              <w:rPr>
                <w:rFonts w:ascii="Arial" w:cs="Arial" w:eastAsia="Arial" w:hAnsi="Arial"/>
                <w:sz w:val="13"/>
                <w:szCs w:val="13"/>
                <w:color w:val="0000FF"/>
              </w:rPr>
              <w:t>Stock</w:t>
            </w:r>
          </w:p>
        </w:tc>
        <w:tc>
          <w:tcPr>
            <w:tcW w:w="3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080" w:type="dxa"/>
            <w:vAlign w:val="bottom"/>
            <w:gridSpan w:val="2"/>
            <w:vMerge w:val="restart"/>
          </w:tcPr>
          <w:p>
            <w:pPr>
              <w:jc w:val="right"/>
              <w:ind w:right="174"/>
              <w:spacing w:after="0"/>
              <w:rPr>
                <w:sz w:val="20"/>
                <w:szCs w:val="20"/>
                <w:color w:val="auto"/>
              </w:rPr>
            </w:pPr>
            <w:r>
              <w:rPr>
                <w:rFonts w:ascii="Arial" w:cs="Arial" w:eastAsia="Arial" w:hAnsi="Arial"/>
                <w:sz w:val="13"/>
                <w:szCs w:val="13"/>
                <w:color w:val="0000FF"/>
              </w:rPr>
              <w:t>01/01/2007</w:t>
            </w:r>
          </w:p>
        </w:tc>
        <w:tc>
          <w:tcPr>
            <w:tcW w:w="1120" w:type="dxa"/>
            <w:vAlign w:val="bottom"/>
          </w:tcPr>
          <w:p>
            <w:pPr>
              <w:spacing w:after="0"/>
              <w:rPr>
                <w:sz w:val="16"/>
                <w:szCs w:val="16"/>
                <w:color w:val="auto"/>
              </w:rPr>
            </w:pPr>
          </w:p>
        </w:tc>
        <w:tc>
          <w:tcPr>
            <w:tcW w:w="780" w:type="dxa"/>
            <w:vAlign w:val="bottom"/>
            <w:gridSpan w:val="4"/>
            <w:vMerge w:val="restart"/>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(5)</w:t>
            </w:r>
          </w:p>
        </w:tc>
        <w:tc>
          <w:tcPr>
            <w:tcW w:w="680" w:type="dxa"/>
            <w:vAlign w:val="bottom"/>
            <w:vMerge w:val="restart"/>
          </w:tcPr>
          <w:p>
            <w:pPr>
              <w:jc w:val="right"/>
              <w:ind w:right="139"/>
              <w:spacing w:after="0"/>
              <w:rPr>
                <w:sz w:val="20"/>
                <w:szCs w:val="20"/>
                <w:color w:val="auto"/>
              </w:rPr>
            </w:pPr>
            <w:r>
              <w:rPr>
                <w:rFonts w:ascii="Arial" w:cs="Arial" w:eastAsia="Arial" w:hAnsi="Arial"/>
                <w:sz w:val="13"/>
                <w:szCs w:val="13"/>
                <w:color w:val="0000FF"/>
              </w:rPr>
              <w:t>1,335</w:t>
            </w:r>
          </w:p>
        </w:tc>
        <w:tc>
          <w:tcPr>
            <w:tcW w:w="280" w:type="dxa"/>
            <w:vAlign w:val="bottom"/>
          </w:tcPr>
          <w:p>
            <w:pPr>
              <w:spacing w:after="0"/>
              <w:rPr>
                <w:sz w:val="16"/>
                <w:szCs w:val="16"/>
                <w:color w:val="auto"/>
              </w:rPr>
            </w:pPr>
          </w:p>
        </w:tc>
        <w:tc>
          <w:tcPr>
            <w:tcW w:w="6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2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jc w:val="right"/>
              <w:ind w:right="87"/>
              <w:spacing w:after="0"/>
              <w:rPr>
                <w:sz w:val="20"/>
                <w:szCs w:val="20"/>
                <w:color w:val="auto"/>
              </w:rPr>
            </w:pPr>
            <w:r>
              <w:rPr>
                <w:rFonts w:ascii="Arial" w:cs="Arial" w:eastAsia="Arial" w:hAnsi="Arial"/>
                <w:sz w:val="17"/>
                <w:szCs w:val="17"/>
                <w:color w:val="0000FF"/>
              </w:rPr>
              <w:t>1,335</w:t>
            </w:r>
          </w:p>
        </w:tc>
        <w:tc>
          <w:tcPr>
            <w:tcW w:w="60" w:type="dxa"/>
            <w:vAlign w:val="bottom"/>
          </w:tcPr>
          <w:p>
            <w:pPr>
              <w:spacing w:after="0"/>
              <w:rPr>
                <w:sz w:val="16"/>
                <w:szCs w:val="16"/>
                <w:color w:val="auto"/>
              </w:rPr>
            </w:pPr>
          </w:p>
        </w:tc>
        <w:tc>
          <w:tcPr>
            <w:tcW w:w="700" w:type="dxa"/>
            <w:vAlign w:val="bottom"/>
            <w:gridSpan w:val="2"/>
            <w:vMerge w:val="restart"/>
          </w:tcPr>
          <w:p>
            <w:pPr>
              <w:jc w:val="center"/>
              <w:ind w:right="78"/>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74.93</w:t>
            </w:r>
            <w:r>
              <w:rPr>
                <w:rFonts w:ascii="Arial" w:cs="Arial" w:eastAsia="Arial" w:hAnsi="Arial"/>
                <w:sz w:val="22"/>
                <w:szCs w:val="22"/>
                <w:color w:val="008000"/>
                <w:w w:val="90"/>
                <w:vertAlign w:val="superscript"/>
              </w:rPr>
              <w:t>(6)</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0000FF"/>
              </w:rPr>
              <w:t>1,335</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20" w:firstLine="6"/>
        <w:spacing w:after="0" w:line="24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 common stock on a 1 for 1 basis on the earlier of January 1, 2009 or within 30 days after the reporting person's termination of service as a director, except as otherwise provided in the Terms and Conditions Regarding the Grant of Awards to Non-Employee Directors under the Plan (Amended and Restated Effective January 1, 2006) (the "Terms and Conditions").</w:t>
      </w:r>
    </w:p>
    <w:p>
      <w:pPr>
        <w:spacing w:after="0" w:line="28"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Receipt of deferred stock under the 2003 Equity Incentive Plan of Manpower Inc. (the "Plan") and the Terms and Conditions in lieu of dividends.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Average Trading Price (as defined in the Terms and Conditions).</w:t>
      </w:r>
    </w:p>
    <w:p>
      <w:pPr>
        <w:spacing w:after="0" w:line="49" w:lineRule="exact"/>
        <w:rPr>
          <w:rFonts w:ascii="Arial" w:cs="Arial" w:eastAsia="Arial" w:hAnsi="Arial"/>
          <w:sz w:val="13"/>
          <w:szCs w:val="13"/>
          <w:color w:val="008000"/>
        </w:rPr>
      </w:pPr>
    </w:p>
    <w:p>
      <w:pPr>
        <w:ind w:left="40" w:right="380" w:firstLine="6"/>
        <w:spacing w:after="0" w:line="299"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deferred stock will vest in quarterly installments on the last day of each calendar quarter during 2007 and will be settled in shares of Manpower common stock on a 1 for 1 basis on the earlier of January 1, 2010 or within 30 days after the reporting person's termination of service as a director, except as otherwise provided in the Terms and Conditions (Amended and Restated Effective January 1, 2006).</w:t>
      </w: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grant of deferred stock under the Plan and the Terms and Conditions (Amended and Restated Effective January 1, 2006).</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Market Price (as defined in the Plan) on the last trading day of 2006.</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9956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5680" cy="8255"/>
                    </a:xfrm>
                    <a:prstGeom prst="rect">
                      <a:avLst/>
                    </a:prstGeom>
                    <a:noFill/>
                  </pic:spPr>
                </pic:pic>
              </a:graphicData>
            </a:graphic>
          </wp:anchor>
        </w:drawing>
      </w:r>
    </w:p>
    <w:p>
      <w:pPr>
        <w:spacing w:after="0" w:line="2"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(pursuant to Power of Attorney</w:t>
      </w:r>
      <w:r>
        <w:rPr>
          <w:sz w:val="20"/>
          <w:szCs w:val="20"/>
          <w:color w:val="auto"/>
        </w:rPr>
        <w:tab/>
      </w:r>
      <w:r>
        <w:rPr>
          <w:rFonts w:ascii="Arial" w:cs="Arial" w:eastAsia="Arial" w:hAnsi="Arial"/>
          <w:sz w:val="15"/>
          <w:szCs w:val="15"/>
          <w:color w:val="0000FF"/>
        </w:rPr>
        <w:t>01/03/2007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1952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725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52"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4630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2019-12-16T07:10:25Z</dcterms:created>
  <dcterms:modified xsi:type="dcterms:W3CDTF">2019-12-16T07:10:25Z</dcterms:modified>
</cp:coreProperties>
</file>