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ind w:left="600" w:hanging="592"/>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w:t>
      </w:r>
    </w:p>
    <w:p>
      <w:pPr>
        <w:spacing w:after="0" w:line="27"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June 30, 2015</w:t>
      </w:r>
    </w:p>
    <w:p>
      <w:pPr>
        <w:spacing w:after="0" w:line="9" w:lineRule="exact"/>
        <w:rPr>
          <w:rFonts w:ascii="Times New Roman" w:cs="Times New Roman" w:eastAsia="Times New Roman" w:hAnsi="Times New Roman"/>
          <w:sz w:val="18"/>
          <w:szCs w:val="18"/>
          <w:color w:val="auto"/>
        </w:rPr>
      </w:pPr>
    </w:p>
    <w:p>
      <w:pPr>
        <w:ind w:left="5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______to______</w:t>
      </w:r>
    </w:p>
    <w:p>
      <w:pPr>
        <w:spacing w:after="0" w:line="211"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1-10686</w:t>
      </w:r>
    </w:p>
    <w:p>
      <w:pPr>
        <w:spacing w:after="0" w:line="21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57" w:right="239" w:bottom="1440" w:gutter="0" w:footer="0" w:header="0"/>
        </w:sectPr>
      </w:pPr>
    </w:p>
    <w:p>
      <w:pPr>
        <w:spacing w:after="0" w:line="36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39-1672779</w:t>
      </w:r>
    </w:p>
    <w:p>
      <w:pPr>
        <w:spacing w:after="0" w:line="67" w:lineRule="exact"/>
        <w:rPr>
          <w:sz w:val="24"/>
          <w:szCs w:val="24"/>
          <w:color w:val="auto"/>
        </w:rPr>
      </w:pPr>
    </w:p>
    <w:p>
      <w:pPr>
        <w:sectPr>
          <w:pgSz w:w="11900" w:h="16838" w:orient="portrait"/>
          <w:cols w:equalWidth="0" w:num="2">
            <w:col w:w="6740" w:space="720"/>
            <w:col w:w="3960"/>
          </w:cols>
          <w:pgMar w:left="240" w:top="457"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457"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100 Manpower Place</w:t>
      </w:r>
    </w:p>
    <w:p>
      <w:pPr>
        <w:sectPr>
          <w:pgSz w:w="11900" w:h="16838" w:orient="portrait"/>
          <w:cols w:equalWidth="0" w:num="1">
            <w:col w:w="11420"/>
          </w:cols>
          <w:pgMar w:left="240" w:top="457" w:right="239" w:bottom="1440" w:gutter="0" w:footer="0" w:header="0"/>
          <w:type w:val="continuous"/>
        </w:sectPr>
      </w:pPr>
    </w:p>
    <w:p>
      <w:pPr>
        <w:spacing w:after="0" w:line="75"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53212</w:t>
      </w:r>
    </w:p>
    <w:p>
      <w:pPr>
        <w:spacing w:after="0" w:line="67" w:lineRule="exact"/>
        <w:rPr>
          <w:sz w:val="24"/>
          <w:szCs w:val="24"/>
          <w:color w:val="auto"/>
        </w:rPr>
      </w:pPr>
    </w:p>
    <w:p>
      <w:pPr>
        <w:sectPr>
          <w:pgSz w:w="11900" w:h="16838" w:orient="portrait"/>
          <w:cols w:equalWidth="0" w:num="2">
            <w:col w:w="6740" w:space="720"/>
            <w:col w:w="3960"/>
          </w:cols>
          <w:pgMar w:left="240" w:top="457" w:right="2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457"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961-1000</w:t>
      </w:r>
    </w:p>
    <w:p>
      <w:pPr>
        <w:spacing w:after="0" w:line="229"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395" w:lineRule="exact"/>
        <w:rPr>
          <w:sz w:val="24"/>
          <w:szCs w:val="24"/>
          <w:color w:val="auto"/>
        </w:rPr>
      </w:pPr>
    </w:p>
    <w:p>
      <w:pPr>
        <w:jc w:val="both"/>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57" w:right="239" w:bottom="1440" w:gutter="0" w:footer="0" w:header="0"/>
          <w:type w:val="continuous"/>
        </w:sectPr>
      </w:pP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5020" w:space="720"/>
            <w:col w:w="1220" w:space="80"/>
            <w:col w:w="4380"/>
          </w:cols>
          <w:pgMar w:left="240" w:top="457"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80"/>
            <w:col w:w="3380" w:space="720"/>
            <w:col w:w="1980" w:space="80"/>
            <w:col w:w="3620"/>
          </w:cols>
          <w:pgMar w:left="240" w:top="45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457" w:right="239" w:bottom="1440" w:gutter="0" w:footer="0" w:header="0"/>
          <w:type w:val="continuous"/>
        </w:sectPr>
      </w:pP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70"/>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July 29, 2015</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76,796,716</w:t>
            </w:r>
          </w:p>
        </w:tc>
      </w:tr>
    </w:tbl>
    <w:p>
      <w:pPr>
        <w:sectPr>
          <w:pgSz w:w="11900" w:h="16838" w:orient="portrait"/>
          <w:cols w:equalWidth="0" w:num="1">
            <w:col w:w="11420"/>
          </w:cols>
          <w:pgMar w:left="240" w:top="457"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Times New Roman" w:cs="Times New Roman" w:eastAsia="Times New Roman" w:hAnsi="Times New Roman"/>
                <w:sz w:val="18"/>
                <w:szCs w:val="18"/>
                <w:b w:val="1"/>
                <w:bCs w:val="1"/>
                <w:color w:val="auto"/>
              </w:rPr>
            </w:pPr>
            <w:hyperlink w:anchor="page2">
              <w:r>
                <w:rPr>
                  <w:rFonts w:ascii="Times New Roman" w:cs="Times New Roman" w:eastAsia="Times New Roman" w:hAnsi="Times New Roman"/>
                  <w:sz w:val="18"/>
                  <w:szCs w:val="18"/>
                  <w:b w:val="1"/>
                  <w:bCs w:val="1"/>
                  <w:color w:val="auto"/>
                </w:rPr>
                <w:t>PART I</w:t>
              </w:r>
            </w:hyperlink>
          </w:p>
        </w:tc>
        <w:tc>
          <w:tcPr>
            <w:tcW w:w="8200" w:type="dxa"/>
            <w:vAlign w:val="bottom"/>
            <w:gridSpan w:val="2"/>
            <w:shd w:val="clear" w:color="auto" w:fill="CCEEFF"/>
          </w:tcPr>
          <w:p>
            <w:pPr>
              <w:spacing w:after="0" w:line="196" w:lineRule="exact"/>
              <w:rPr>
                <w:rFonts w:ascii="Times New Roman" w:cs="Times New Roman" w:eastAsia="Times New Roman" w:hAnsi="Times New Roman"/>
                <w:sz w:val="18"/>
                <w:szCs w:val="18"/>
                <w:b w:val="1"/>
                <w:bCs w:val="1"/>
                <w:color w:val="auto"/>
              </w:rPr>
            </w:pPr>
            <w:hyperlink w:anchor="page2">
              <w:r>
                <w:rPr>
                  <w:rFonts w:ascii="Times New Roman" w:cs="Times New Roman" w:eastAsia="Times New Roman" w:hAnsi="Times New Roman"/>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Consolidated Statements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Cash Flows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r>
              <w:rPr>
                <w:rFonts w:ascii="Times New Roman" w:cs="Times New Roman" w:eastAsia="Times New Roman" w:hAnsi="Times New Roman"/>
                <w:sz w:val="18"/>
                <w:szCs w:val="18"/>
                <w:color w:val="auto"/>
              </w:rPr>
              <w:t>15</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Item 2</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Management’s Discussion and Analysis of Financial Condition and Results of Operations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16-</w:t>
              </w:r>
            </w:hyperlink>
            <w:r>
              <w:rPr>
                <w:rFonts w:ascii="Times New Roman" w:cs="Times New Roman" w:eastAsia="Times New Roman" w:hAnsi="Times New Roman"/>
                <w:sz w:val="18"/>
                <w:szCs w:val="18"/>
                <w:color w:val="auto"/>
              </w:rPr>
              <w:t>28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200" w:type="dxa"/>
            <w:vAlign w:val="bottom"/>
            <w:gridSpan w:val="3"/>
          </w:tcPr>
          <w:p>
            <w:pPr>
              <w:ind w:left="4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Item 4</w:t>
              </w:r>
            </w:hyperlink>
          </w:p>
        </w:tc>
        <w:tc>
          <w:tcPr>
            <w:tcW w:w="8200" w:type="dxa"/>
            <w:vAlign w:val="bottom"/>
            <w:gridSpan w:val="2"/>
          </w:tcPr>
          <w:p>
            <w:pPr>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Controls and Procedures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ind w:left="40"/>
              <w:spacing w:after="0"/>
              <w:rPr>
                <w:rFonts w:ascii="Times New Roman" w:cs="Times New Roman" w:eastAsia="Times New Roman" w:hAnsi="Times New Roman"/>
                <w:sz w:val="18"/>
                <w:szCs w:val="18"/>
                <w:b w:val="1"/>
                <w:bCs w:val="1"/>
                <w:color w:val="auto"/>
              </w:rPr>
            </w:pPr>
            <w:hyperlink w:anchor="page28">
              <w:r>
                <w:rPr>
                  <w:rFonts w:ascii="Times New Roman" w:cs="Times New Roman" w:eastAsia="Times New Roman" w:hAnsi="Times New Roman"/>
                  <w:sz w:val="18"/>
                  <w:szCs w:val="18"/>
                  <w:b w:val="1"/>
                  <w:bCs w:val="1"/>
                  <w:color w:val="auto"/>
                </w:rPr>
                <w:t>PART II</w:t>
              </w:r>
            </w:hyperlink>
          </w:p>
        </w:tc>
        <w:tc>
          <w:tcPr>
            <w:tcW w:w="7060" w:type="dxa"/>
            <w:vAlign w:val="bottom"/>
          </w:tcPr>
          <w:p>
            <w:pPr>
              <w:ind w:left="380"/>
              <w:spacing w:after="0"/>
              <w:rPr>
                <w:rFonts w:ascii="Times New Roman" w:cs="Times New Roman" w:eastAsia="Times New Roman" w:hAnsi="Times New Roman"/>
                <w:sz w:val="18"/>
                <w:szCs w:val="18"/>
                <w:b w:val="1"/>
                <w:bCs w:val="1"/>
                <w:color w:val="auto"/>
              </w:rPr>
            </w:pPr>
            <w:hyperlink w:anchor="page28">
              <w:r>
                <w:rPr>
                  <w:rFonts w:ascii="Times New Roman" w:cs="Times New Roman" w:eastAsia="Times New Roman" w:hAnsi="Times New Roman"/>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43"/>
        </w:trPr>
        <w:tc>
          <w:tcPr>
            <w:tcW w:w="1820" w:type="dxa"/>
            <w:vAlign w:val="bottom"/>
          </w:tcPr>
          <w:p>
            <w:pPr>
              <w:ind w:left="4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5</w:t>
              </w:r>
            </w:hyperlink>
          </w:p>
        </w:tc>
        <w:tc>
          <w:tcPr>
            <w:tcW w:w="7060" w:type="dxa"/>
            <w:vAlign w:val="bottom"/>
          </w:tcPr>
          <w:p>
            <w:pPr>
              <w:ind w:left="38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Other Information</w:t>
              </w:r>
            </w:hyperlink>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0">
              <w:r>
                <w:rPr>
                  <w:rFonts w:ascii="Times New Roman" w:cs="Times New Roman" w:eastAsia="Times New Roman" w:hAnsi="Times New Roman"/>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Times New Roman" w:cs="Times New Roman" w:eastAsia="Times New Roman" w:hAnsi="Times New Roman"/>
                <w:sz w:val="18"/>
                <w:szCs w:val="18"/>
                <w:b w:val="1"/>
                <w:bCs w:val="1"/>
                <w:color w:val="auto"/>
              </w:rPr>
            </w:pPr>
            <w:hyperlink w:anchor="page31">
              <w:r>
                <w:rPr>
                  <w:rFonts w:ascii="Times New Roman" w:cs="Times New Roman" w:eastAsia="Times New Roman" w:hAnsi="Times New Roman"/>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040" w:type="dxa"/>
            <w:vAlign w:val="bottom"/>
          </w:tcPr>
          <w:p>
            <w:pPr>
              <w:spacing w:after="0"/>
              <w:rPr>
                <w:sz w:val="24"/>
                <w:szCs w:val="24"/>
                <w:color w:val="auto"/>
              </w:rPr>
            </w:pPr>
          </w:p>
        </w:tc>
        <w:tc>
          <w:tcPr>
            <w:tcW w:w="55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699.2</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$105.6 and $111.4,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4,134.5</w:t>
            </w: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37"/>
        </w:trPr>
        <w:tc>
          <w:tcPr>
            <w:tcW w:w="85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5,033.7</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w:t>
            </w: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Intangible assets, less accumulated amortization of $250.2 and $276.2, respectively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637.7</w:t>
            </w:r>
          </w:p>
        </w:tc>
      </w:tr>
      <w:tr>
        <w:trPr>
          <w:trHeight w:val="237"/>
        </w:trPr>
        <w:tc>
          <w:tcPr>
            <w:tcW w:w="85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1,999.7</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633.5</w:t>
            </w: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484.4</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r>
      <w:tr>
        <w:trPr>
          <w:trHeight w:val="257"/>
        </w:trPr>
        <w:tc>
          <w:tcPr>
            <w:tcW w:w="85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7,182.5</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58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3,374.4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865.1</w:t>
            </w:r>
          </w:p>
        </w:tc>
      </w:tr>
      <w:tr>
        <w:trPr>
          <w:trHeight w:val="29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113,748,811 and 112,876,552 shares,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36,839,662 and 34,762,316 shares,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2,943.0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7,182.5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10,225.7</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8,511.9</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314.3</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Translation adjustments on net investment hedge, net of income taxes of $(5.1),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 $11.8 and $0.6,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6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Unrealized (loss) gain on investments, net of income taxes of $(0.7), $1.0, $(0.3)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$1.3,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net of income taxes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6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$0.3, $0.4, $0.5 and $0.4,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792"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9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3"/>
                <w:szCs w:val="23"/>
                <w:color w:val="auto"/>
              </w:rPr>
            </w:pP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tax benefit on exercise of share-based awards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9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737.6</w:t>
            </w:r>
          </w:p>
        </w:tc>
      </w:tr>
      <w:tr>
        <w:trPr>
          <w:trHeight w:val="297"/>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638.5</w:t>
            </w:r>
          </w:p>
        </w:tc>
      </w:tr>
      <w:tr>
        <w:trPr>
          <w:trHeight w:val="284"/>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1"/>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(refunded) paid,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92"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2015 and 2014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2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2014 Annual Report to Shareholders.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results of operations for the periods presented. Such adjustments were of a normal recurring nature, unless otherwise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2015, we entered into an agreement to acquire 7S Group GmbH (“7S”). Based primarily in Germany, 7S is a specialized provider of human resource services focusing on a number of core sectors including skilled trades, engineering and information technology (IT). Under the terms of the agreement, the purchase price is approximately $144.9 (€136.5) with an earn-out opportunity based upon 2015 results from operations. The closing of the agreement is subject to German regulatory approval. The acquisition is expected to be completed later this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an agreement, effective in July 2015, to sell a portion of our French payroll tax credits earned in 2014 for net proceeds of approximately</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$130.0 (€120.1). We will derecognize this receivable upon the sale date as the terms of the agreement are such that the transaction qualifies for sale treatment according to the accounting guidance on the transfer and servicing of assets.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have evaluated events and transactions occurring after the balance sheet date through our filing date and noted no other events that are subject to recognition or disclosure.</w:t>
      </w:r>
    </w:p>
    <w:p>
      <w:pPr>
        <w:spacing w:after="0" w:line="37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2014, the Financial Accounting Standards Board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other than by sale. We adopted this guidance effective January 1, 2015. There was no impact of this adoption on our Consolidated Financial Statements.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The core principle of this guidance is that an entity should recognize revenue to depict the transfer of promised goods or services to customers in an amount that reflects the consideration to which the entity expects to be entitled in exchange for those goods or services. The guidance is effective for us in the first quarter of 2018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2014, the FASB issued new accounting guidance on disclosure of uncertainties about an entity’s ability to continue as a going concern. The new guidance requires an entity’s management to evaluate whether there are conditions or events, considered in the aggregate, that raise substantial doubt about the entity’s ability to continue as a going concern within one year after the date that the financial statements are issued, and if so, disclose that fact. Management is also required to evaluate and disclose whether its plans alleviate that doubt. The guidance is effective for us in 2017 and will be applicable to both annual and interim reporting periods. We do not expect the adoption of this guidance to have an impact on our Consolidated Financial Statements.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January 2015, the FASB issued new accounting guidance on presentation of extraordinary items. The new guidance eliminates the separate presentation of extraordinary items, net of tax and the related earnings per share, but does not affect the requirement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7" w:name="page8"/>
    <w:bookmarkEnd w:id="7"/>
    <w:p>
      <w:pPr>
        <w:ind w:right="120"/>
        <w:spacing w:after="0" w:line="282" w:lineRule="auto"/>
        <w:rPr>
          <w:sz w:val="20"/>
          <w:szCs w:val="20"/>
          <w:color w:val="auto"/>
        </w:rPr>
      </w:pPr>
      <w:r>
        <w:rPr>
          <w:rFonts w:ascii="Times New Roman" w:cs="Times New Roman" w:eastAsia="Times New Roman" w:hAnsi="Times New Roman"/>
          <w:sz w:val="18"/>
          <w:szCs w:val="18"/>
          <w:color w:val="auto"/>
        </w:rPr>
        <w:t>to disclose material items that are unusual in nature or infrequently occurring. The guidance is effective for us in 2016. We do not expect the adoption of this guidance to have a material impact on our Consolidated Financial Statements.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February 2015, the FASB issued new accounting guidance on consolidation. The new guidance changes the way an entity evaluates whether (1) it should consolidate limited partnerships and similar entities, (2) fees paid to a decision maker or service provider are variable interests in a variable interest entity (“VIE”), and (3) variable interests in a VIE held by related parties of an entity require the entity to consolidate the VIE. The guidance is effective for us in 2016. We do not expect the adoption of this guidance to have a material impact on our Consolidated Financial Statements.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April 2015, the FASB issued new accounting guidance on debt issuance costs. The new guidance requires debt issuance costs related to a recognized debt liability to be presented in the balance sheet as a direct deduction from the associated liability, consistent with debt discounts. The guidance is effective for us in 2016. We do not expect the adoption of this guidance to have a material impact on our Consolidated Financial Statements.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May 2015, the FASB issued new accounting guidance on customer’s accounting for fees paid in a cloud computing arrangement.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guidance is effective for us in 2016. We do not expect the adoption of this guidance to have a material impact on our Consolidated Financial Statements.</w:t>
      </w:r>
    </w:p>
    <w:p>
      <w:pPr>
        <w:spacing w:after="0" w:line="18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2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During the three months ended June 30, 2015 and 2014, we recognized share-based compensation expense of $8.1 and $13.1, respectively, and $14.8 and $23.9 for the six months ended June 30, 2015 and 2014, respectively. The expense relates to stock options, deferred stock, restricted stock and performance share units. Consideration received from share-based awards was $29.1 and $18.9 for the six months ended June 30, 2015 and 2014, respectively. We recognize share-based compensation expense in selling and administrative expenses on a straight-line basis over the service period of each award.</w:t>
      </w:r>
    </w:p>
    <w:p>
      <w:pPr>
        <w:spacing w:after="0" w:line="381"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$30.4 and $23.7 for the six months ended June 30, 2015 and 2014, respectively.</w:t>
      </w:r>
    </w:p>
    <w:p>
      <w:pPr>
        <w:spacing w:after="0" w:line="37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2015, we made payments of $4.8 out of our restructuring reserve that was created in 2012 and 2013. We expect a majority of the remaining $8.1 reserve will be paid by the end of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$1.0 and $0.4 as of January 1, 2015 and June 30, 2015, respectively.</w:t>
      </w:r>
    </w:p>
    <w:p>
      <w:pPr>
        <w:spacing w:after="0" w:line="27" w:lineRule="exact"/>
        <w:rPr>
          <w:rFonts w:ascii="Times New Roman" w:cs="Times New Roman" w:eastAsia="Times New Roman" w:hAnsi="Times New Roman"/>
          <w:sz w:val="18"/>
          <w:szCs w:val="18"/>
          <w:color w:val="auto"/>
        </w:rPr>
      </w:pPr>
    </w:p>
    <w:p>
      <w:pPr>
        <w:ind w:right="340" w:firstLine="8"/>
        <w:spacing w:after="0" w:line="26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$2.1 and $1.6 as of January 1, 2015 and June 30, 2015, respectively. Italy had no restructuring reserves recorded as of either January 1, 2015 or June 30, 2015.</w:t>
      </w:r>
    </w:p>
    <w:p>
      <w:pPr>
        <w:spacing w:after="0" w:line="39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38.3% for the three months ended June 30, 2015, as compared to an effective rate of 38.8% for the three months ended June 30, 2014. The 2015 rate was favorably impacted by the effect of discrete tax items, partially offset by the unfavorable impact of the strengthening of the United States dollar resulting in a decrease to non-U.S. income. The 38.3%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type w:val="continuous"/>
        </w:sectPr>
      </w:pPr>
    </w:p>
    <w:bookmarkStart w:id="8" w:name="page9"/>
    <w:bookmarkEnd w:id="8"/>
    <w:p>
      <w:pPr>
        <w:ind w:right="120"/>
        <w:spacing w:after="0" w:line="266" w:lineRule="auto"/>
        <w:rPr>
          <w:sz w:val="20"/>
          <w:szCs w:val="20"/>
          <w:color w:val="auto"/>
        </w:rPr>
      </w:pPr>
      <w:r>
        <w:rPr>
          <w:rFonts w:ascii="Times New Roman" w:cs="Times New Roman" w:eastAsia="Times New Roman" w:hAnsi="Times New Roman"/>
          <w:sz w:val="18"/>
          <w:szCs w:val="18"/>
          <w:color w:val="auto"/>
        </w:rPr>
        <w:t>We recorded income tax expense at an effective rate of 39.6% for the six months ended June 30, 2015, as compared to an effective rate of 39.5% for the six months ended June 30, 2014. The 39.6% effective tax rate for the six months ended June 30, 2015 was higher than the United States Federal statutory rate of 35% due primarily to the French business tax, repatriations, valuation allowances and other permanent items.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2015, we had gross unrecognized tax benefits related to various tax jurisdictions, including interest and penalties, of $32.2. We had related tax benefits of $1.4, and the net amount of $30.8 would favorably impact the effective tax rate if recognized. As of December 31, 2014, we had gross unrecognized tax benefits related to various tax jurisdictions, including interest and penalties, of $30.8. We had related tax benefits of $1.4 for a net amount of $29.4. We do not expect our unrecognized tax benefits to change significantly over the next 12 months.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 business globally in 80 countries and territories. We are routinely audited by the tax authorities of the various tax jurisdictions in which we operate. Generally, the tax years that could be subject to examination are 2008 through 2014 for our major operations in France, Germany, Italy, Japan, the United Kingdom and the United States. As of June 30, 2015, we are subject to tax audits in Austria, Canada, Denmark, France, Germany, Norway, Russia and Spain. We believe that the resolution of these audits will not have a material impact on earnings.</w:t>
      </w:r>
    </w:p>
    <w:p>
      <w:pPr>
        <w:spacing w:after="0" w:line="39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w:t>
            </w: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were 0.3 million and 0.2 million share-based awards excluded from the calculation of net earnings per share – diluted for the three months ended June 30, 2015 and 2014, respectively, and the calculation of net earnings per share – diluted for the six months ended June 30, 2015 and 2014,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amortizable intangible assets and intangible assets that do not require amortization,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Franchise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$513.4 as of both June 30, 2015 and December 31, 2014.</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June 30, 2015 and December 31, 2014.</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2015 is expected to be $15.4 and in each of the next five years is expected to be as follows: 2016 - $26.8, 2017 - $23.6, 2018 - $20.9, 2019 - $16.7 and 2020 - $13.4.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2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3"/>
                <w:szCs w:val="2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6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4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June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1,083.6</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$450.4 as of both January 1, 2015 and June 30, 2015.</w:t>
      </w:r>
    </w:p>
    <w:p>
      <w:pPr>
        <w:spacing w:after="0" w:line="27" w:lineRule="exact"/>
        <w:rPr>
          <w:rFonts w:ascii="Times New Roman" w:cs="Times New Roman" w:eastAsia="Times New Roman" w:hAnsi="Times New Roman"/>
          <w:sz w:val="18"/>
          <w:szCs w:val="18"/>
          <w:color w:val="auto"/>
        </w:rPr>
      </w:pPr>
    </w:p>
    <w:p>
      <w:pPr>
        <w:ind w:right="12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$76.9 and $70.8 as of January 1, 2015 and June 30, 2015, respectively. Balances related to Italy were $5.0 and $4.6 as of January 1, 2015 and June 30, 2015, respectively.</w:t>
      </w:r>
    </w:p>
    <w:p>
      <w:pPr>
        <w:jc w:val="both"/>
        <w:ind w:right="140" w:firstLine="8"/>
        <w:spacing w:after="0" w:line="254"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70"/>
        </w:trPr>
        <w:tc>
          <w:tcPr>
            <w:tcW w:w="20" w:type="dxa"/>
            <w:vAlign w:val="bottom"/>
          </w:tcPr>
          <w:p>
            <w:pPr>
              <w:spacing w:after="0"/>
              <w:rPr>
                <w:sz w:val="23"/>
                <w:szCs w:val="23"/>
                <w:color w:val="auto"/>
              </w:rPr>
            </w:pPr>
          </w:p>
        </w:tc>
        <w:tc>
          <w:tcPr>
            <w:tcW w:w="8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0" w:type="dxa"/>
            <w:vAlign w:val="bottom"/>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Management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reporting units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258.5</w:t>
            </w:r>
          </w:p>
        </w:tc>
      </w:tr>
      <w:tr>
        <w:trPr>
          <w:trHeight w:val="27"/>
        </w:trPr>
        <w:tc>
          <w:tcPr>
            <w:tcW w:w="20" w:type="dxa"/>
            <w:vAlign w:val="bottom"/>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goodwill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did not perform an interim impairment test of our goodwill and indefinite-lived intangible assets in the six months ended June 30, 2015 as we noted no significant indicators of impairment as of June 30, 2015.</w:t>
      </w:r>
    </w:p>
    <w:p>
      <w:pPr>
        <w:spacing w:after="0" w:line="37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our plans were as follows: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 Months Ended</w:t>
            </w:r>
          </w:p>
        </w:tc>
      </w:tr>
      <w:tr>
        <w:trPr>
          <w:trHeight w:val="270"/>
        </w:trPr>
        <w:tc>
          <w:tcPr>
            <w:tcW w:w="6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6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benefit cost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6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97"/>
        </w:trPr>
        <w:tc>
          <w:tcPr>
            <w:tcW w:w="6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650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 Months Ended</w:t>
            </w:r>
          </w:p>
        </w:tc>
      </w:tr>
      <w:tr>
        <w:trPr>
          <w:trHeight w:val="270"/>
        </w:trPr>
        <w:tc>
          <w:tcPr>
            <w:tcW w:w="6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benefit cost</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2015, contributions made to our pension plans were $2.6 and $5.3, respectively, and contributions made to our retiree health care plan were $0.4 and $0.7, respectively. During 2015, we expect to make total contributions of approximately $12.4 to our pension plans and to fund our retiree health care payments as incurred.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64" w:right="259" w:bottom="1440" w:gutter="0" w:footer="0" w:header="0"/>
        </w:sectPr>
      </w:pPr>
    </w:p>
    <w:bookmarkStart w:id="11" w:name="page12"/>
    <w:bookmarkEnd w:id="11"/>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loss on net investment hedge, net of income taxes of $(4.6) and $(16.4), respectively</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investments, net of income taxes of $3.4 and $3.7, respectively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 net of income taxes of $(29.5) and $(30.1),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Retiree health care plan, net of income taxes of $2.3 and $2.4, respectively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April 28, 2015 and April 29, 2014, the Board of Directors declared a semi-annual cash dividend of $0.80 and $0.49 per share, respectively. The 2015 dividend was paid on June 15, 2015 to shareholders of record on June 1, 2015. The 2014 dividend was paid on June 16, 2014 to shareholders of record on June 2, 2014.</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During the first half of 2015, we repurchased 2.2 million shares at a cost of $187.2 under this authorization, including 2.0 million shares at a cost of $168.7 that settled as of June 30, 2015, and 0.2 million shares at a total cost of $18.5 that settled in July. The share repurchases that settled in July are not reflected in the treasury stock in our Consolidated Balance Sheets as of June 30, 2015. There were 4.0 million shares as of June 30, 2015, and 3.8 million shares, after including the 0.2 million share repurchases that settled in July, remaining authorized for repurchase under this authorization.</w:t>
      </w:r>
    </w:p>
    <w:p>
      <w:pPr>
        <w:spacing w:after="0" w:line="18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5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accounting guidance on derivative instruments and hedging activities, we record all of our derivative instruments as either an asset or liability measured at their fair value.</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the €350.0 ($390.1) notes due June 2018 were designated as an economic hedge of our net investment in our foreign subsidiaries with a Euro functional currency as of June 30, 2015. For derivatives designated as an economic hedge of the foreign currency exposure of a net investment in a foreign operation, the gain or loss associated with foreign currency translation is recorded as a component of accumulated other comprehensive loss, net of taxes. We had an unrealized translation loss of $3.5 and</w:t>
      </w:r>
    </w:p>
    <w:p>
      <w:pPr>
        <w:sectPr>
          <w:pgSz w:w="11900" w:h="16838" w:orient="portrait"/>
          <w:cols w:equalWidth="0" w:num="1">
            <w:col w:w="11420"/>
          </w:cols>
          <w:pgMar w:left="240" w:top="36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4" w:right="239" w:bottom="1440" w:gutter="0" w:footer="0" w:header="0"/>
          <w:type w:val="continuous"/>
        </w:sectPr>
      </w:pPr>
    </w:p>
    <w:bookmarkStart w:id="12" w:name="page13"/>
    <w:bookmarkEnd w:id="12"/>
    <w:p>
      <w:pPr>
        <w:ind w:right="140"/>
        <w:spacing w:after="0" w:line="282" w:lineRule="auto"/>
        <w:rPr>
          <w:sz w:val="20"/>
          <w:szCs w:val="20"/>
          <w:color w:val="auto"/>
        </w:rPr>
      </w:pPr>
      <w:r>
        <w:rPr>
          <w:rFonts w:ascii="Times New Roman" w:cs="Times New Roman" w:eastAsia="Times New Roman" w:hAnsi="Times New Roman"/>
          <w:sz w:val="18"/>
          <w:szCs w:val="18"/>
          <w:color w:val="auto"/>
        </w:rPr>
        <w:t>$24.5 as of June 30, 2015 and December 31, 2014, respectively, included in accumulated other comprehensive loss, net of taxes, as the net investment hedge was deemed effective.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in interest and other expenses of $1.6 and $0.2 for the three months ended June 30, 2015 and 2014, respectively, and $1.8 and $0.2 for the six months ended June 30, 2015 and 2014, respectively, associated with those forward contracts, which offset the loss and gain recorded for the items noted above.</w:t>
      </w:r>
    </w:p>
    <w:p>
      <w:pPr>
        <w:spacing w:after="0" w:line="1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occasion, forward contracts are designated as an economic hedge of our net investment in our foreign subsidiaries. As of June 30, 2015 we had a translation loss of $0.1 included in accumulated other comprehensive loss, as the net investment hedge was deemed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those items recorded in our Consolidated Balance Sheets as of June 30, 2015 and December 31, 2014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34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The fair value of the Euro-denominated notes, as observable at commonly quoted intervals (level 2 inputs), was $430.3 and $471.6 as of June 30, 2015 and December 31, 2014, respectively, compared to a carrying value of $390.1 and $423.4, respectively.</w:t>
      </w:r>
    </w:p>
    <w:p>
      <w:pPr>
        <w:spacing w:after="0" w:line="392"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w:t>
      </w:r>
    </w:p>
    <w:p>
      <w:pPr>
        <w:sectPr>
          <w:pgSz w:w="11900" w:h="16838" w:orient="portrait"/>
          <w:cols w:equalWidth="0" w:num="1">
            <w:col w:w="11420"/>
          </w:cols>
          <w:pgMar w:left="240" w:top="36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type w:val="continuous"/>
        </w:sectPr>
      </w:pPr>
    </w:p>
    <w:bookmarkStart w:id="13" w:name="page14"/>
    <w:bookmarkEnd w:id="13"/>
    <w:p>
      <w:pPr>
        <w:ind w:right="220"/>
        <w:spacing w:after="0" w:line="282" w:lineRule="auto"/>
        <w:rPr>
          <w:sz w:val="20"/>
          <w:szCs w:val="20"/>
          <w:color w:val="auto"/>
        </w:rPr>
      </w:pPr>
      <w:r>
        <w:rPr>
          <w:rFonts w:ascii="Times New Roman" w:cs="Times New Roman" w:eastAsia="Times New Roman" w:hAnsi="Times New Roman"/>
          <w:sz w:val="18"/>
          <w:szCs w:val="18"/>
          <w:color w:val="auto"/>
        </w:rPr>
        <w:t>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and Recruitment Process Outsourcing (RPO).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1,496.4</w:t>
            </w:r>
          </w:p>
        </w:tc>
      </w:tr>
      <w:tr>
        <w:trPr>
          <w:trHeight w:val="243"/>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2,222.2</w:t>
            </w:r>
          </w:p>
        </w:tc>
      </w:tr>
      <w:tr>
        <w:trPr>
          <w:trHeight w:val="237"/>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2,629.4</w:t>
            </w:r>
          </w:p>
        </w:tc>
      </w:tr>
      <w:tr>
        <w:trPr>
          <w:trHeight w:val="243"/>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3,691.0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2,991.7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1,167.7</w:t>
            </w: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10,225.7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43"/>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r>
      <w:tr>
        <w:trPr>
          <w:trHeight w:val="237"/>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r>
      <w:tr>
        <w:trPr>
          <w:trHeight w:val="243"/>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4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380.8</w:t>
            </w:r>
          </w:p>
        </w:tc>
      </w:tr>
      <w:tr>
        <w:trPr>
          <w:trHeight w:val="243"/>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 amortization expense (c)</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57"/>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type w:val="continuous"/>
        </w:sectPr>
      </w:pPr>
    </w:p>
    <w:bookmarkStart w:id="14" w:name="page15"/>
    <w:bookmarkEnd w:id="14"/>
    <w:p>
      <w:pPr>
        <w:ind w:left="420" w:hanging="367"/>
        <w:spacing w:after="0" w:line="261" w:lineRule="auto"/>
        <w:tabs>
          <w:tab w:leader="none" w:pos="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where a majority of our franchises operate, revenues from services included fees received from the related franchise offices of $3.9 for both the three months ended June 30, 2015 and 2014, and $7.3 for both the six months ended June 30, 2015 and 2014. These fees are primarily based on revenues generated by the franchise offices, which were $184.6 and $190.3 for the three months ended June 30, 2015 and 2014, respectively, and $353.3 and $359.4 for the six months ended June 30, 2015 and 2014, respectively.</w:t>
      </w:r>
    </w:p>
    <w:p>
      <w:pPr>
        <w:spacing w:after="0" w:line="180" w:lineRule="exact"/>
        <w:rPr>
          <w:rFonts w:ascii="Times New Roman" w:cs="Times New Roman" w:eastAsia="Times New Roman" w:hAnsi="Times New Roman"/>
          <w:sz w:val="18"/>
          <w:szCs w:val="18"/>
          <w:color w:val="auto"/>
        </w:rPr>
      </w:pPr>
    </w:p>
    <w:p>
      <w:pPr>
        <w:ind w:left="420" w:right="40" w:hanging="412"/>
        <w:spacing w:after="0" w:line="261"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revenues from services include fees received from our franchise offices of $6.0 and $6.4 for the three months ended June 30, 2015 and 2014, respectively, and $11.5 and $11.9 for the six months ended June 30, 2015 and 2014, respectively. These fees are primarily based on revenues generated by the franchise offices, which were $276.3 and $286.6 for the three months ended June 30, 2015 and 2014, respectively, and $526.2 and $543.2 for the six months ended June 30, 2015 and 2014, respectively.</w:t>
      </w:r>
    </w:p>
    <w:p>
      <w:pPr>
        <w:spacing w:after="0" w:line="180" w:lineRule="exact"/>
        <w:rPr>
          <w:rFonts w:ascii="Times New Roman" w:cs="Times New Roman" w:eastAsia="Times New Roman" w:hAnsi="Times New Roman"/>
          <w:sz w:val="18"/>
          <w:szCs w:val="18"/>
          <w:color w:val="auto"/>
        </w:rPr>
      </w:pPr>
    </w:p>
    <w:p>
      <w:pPr>
        <w:ind w:left="420" w:right="400" w:hanging="412"/>
        <w:spacing w:after="0" w:line="266"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recorded legal costs of $9.0 in the United States related to a settlement agreement in connection with a lawsuit in California involving allegations regarding our wage statements. The settlement agreement was approved by the court at a final hearing in June 2015. We believe that the settlement was in our best interest to avoid the costs and disruption of ongoing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measures section on pages 24 through 26 for further information on constant currency and organic constant currency.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as we saw in the first half of 2015, we are able to improve our profitability and operating leverage as our cost base can support some increase in business without a similar increase in selling and administrative expenses.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first half of 2015, the United States dollar strengthened against the currencies in most of our major markets, having a significant unfavorable impact on our reported results. While our reported revenues from services declined 8.7% from the second quarter of 2014 and our reported operating profit declined 4.7%, these results were significantly impacted by the changes in foreign currency exchange rates and do not reflect the performance of our underlying business. The changes in the foreign currency exchange rates had a 15.3% unfavorable impact on revenues from services, a 17.2% unfavorable impact on operating profit and an approximately $0.23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three months ended June 30, 2015, we experienced constant currency revenue growth in most of our markets. Our consolidated revenues were up 6.6% in constant currency (-8.7% as reported) in the quarter, unchanged from the 6.6% constant currency growth in the first quarter of 2015 due primarily to continued solid growth in Southern Europe. We continue to experience uneven economic conditions in Europe and certain of our major markets, and further recovery may be slow or somewhat volatile. Our staffing/interim business had solid growth in the quarter, along with a 19.9% constant currency increase</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(5.4% as reported) in our permanent recruitment business and strong growth in all of our ManpowerGroup Solutions offerings. At Right Management, we continued to experience revenue declines as the demand for our counter-cyclical outplacement services decreased 0.4% in constant currency (-8.9% as reported) and revenues from our talent management services decreased 3.9% in constant currency (-11.1% as reported).</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gross profit margin in the second quarter of 2015 compared to 2014 increased due to growth in our permanent recruitment business and a favorable mix impact due to the changes in currency exchange rates, partially offset by the decline in our staffing gross profit margin. Our staffing gross profit margin decline in the second quarter of 2015 compared to 2014 was primarily driven by Manpower business mix changes in Northern Europe as we saw higher growth from our lower-margin markets as well as higher growth from our lower-margin business in certain markets.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profitability improved in the quarter with operating profit up 12.5% in constant currency (-4.7% as reported) and operating profit margin up 20 basis points compared to the second quarter of 2014. We continue to monitor expenses closely to ensure we maintain the full benefit of the simplification and cost recalibration plan initiatives that resulted in a lower cost base for the company as we streamlined our organization, while investing appropriately to support the growth in the business. During the second quarter of 2015, we added recruiters and certain other staff to support the increased demand for our services. We have also seen an increase in our variable incentive costs due to the improved profitability. Even with these investments, we saw improved operational leverage in the quarter as we were able to support the higher revenue level without a similar increase in expenses in constant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36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June 30, 2015 and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June 30, 2015 as compared to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5,321.7</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4,424.4</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897.3</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709.9</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187.4</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179.5</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69.7</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109.8</w:t>
            </w:r>
          </w:p>
        </w:tc>
        <w:tc>
          <w:tcPr>
            <w:tcW w:w="146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81.4</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year-over-year decrease in revenues from services of 8.7% (increase of 6.6% in constant currency and 5.7%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15.3% decrease due to the impact of changes in the currency exchange rates;</w:t>
      </w:r>
    </w:p>
    <w:p>
      <w:pPr>
        <w:spacing w:after="0" w:line="2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 in the United States of 1.7% primarily driven by a decline in demand for our staffing/interim services in the industrial, engineering and finance markets, partially offset by solid growth in our permanent recruitment business and in our MSP and RPO offerings within the ManpowerGroup Solutions business; and</w:t>
      </w:r>
    </w:p>
    <w:p>
      <w:pPr>
        <w:spacing w:after="0" w:line="176"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at Right Management, where revenues decreased 1.5% in constant currency (-9.6% as reported), including a 0.4% constant currency decline (-8.9% as reported) in our outplacement services and a 3.9% constant currency decline (-11.1% as reported) in our talent management business; partially offset by</w:t>
      </w:r>
    </w:p>
    <w:p>
      <w:pPr>
        <w:spacing w:after="0" w:line="176" w:lineRule="exact"/>
        <w:rPr>
          <w:rFonts w:ascii="Times New Roman" w:cs="Times New Roman" w:eastAsia="Times New Roman" w:hAnsi="Times New Roman"/>
          <w:sz w:val="18"/>
          <w:szCs w:val="18"/>
          <w:color w:val="auto"/>
        </w:rPr>
      </w:pPr>
    </w:p>
    <w:p>
      <w:pPr>
        <w:ind w:left="660" w:right="2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10.6% (9.5% in organic constant currency; -10.3% as reported) and 4.5% (3.8% in organic constant currency; -12.6% as reported), respectively. This included a constant currency revenue increase in France of 5.5% (4.3% in organic constant currency; -14.8% as reported) as we experienced continued stabilization. This increase also included a constant currency revenue increase in Italy of 25.9% (1.7% as reported) due to improving demand. We also experienced organic constant currency revenue growth in Spain, the United Kingdom, Germany, and the Nordics of 31.0%, 10.7%, 7.4% and 2.4%, respectively (10.4%, 0.8%, -13.2% and -19.8%, respectively, as reported); and</w:t>
      </w:r>
    </w:p>
    <w:p>
      <w:pPr>
        <w:spacing w:after="0" w:line="18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5.7% in constant currency (3.1% in organic constant currency; -6.3% as reported) primarily due to a 12.8% constant currency increase (0.4% as reported) in our permanent recruitment business, an increase in our ManpowerGroup Solutions business and an increase in our staffing/interim revenues due to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20 basis point (0.20%) increase in gross profit margin was primarily attributed to:</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19.9% constant currency growth (5.4% as reported) in our permanent recruitment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increase due to the impact on mix of the changes in currency exchange rates; partially offset by</w:t>
      </w:r>
    </w:p>
    <w:p>
      <w:pPr>
        <w:spacing w:after="0" w:line="22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unfavorable impact from the decline in our staffing/interim margin due to a decrease in our Manpower staffing margin as a result of business mix changes in Northern Europe as we saw higher growth from our lower-margin markets as well as higher growth from our lower-margin business in certain markets, partially offset by improved margins in the United States as a result of strong price discipline, effective management of workers' compensation and health care costs, and lower state unemployment tax rates.</w:t>
      </w:r>
    </w:p>
    <w:p>
      <w:pPr>
        <w:sectPr>
          <w:pgSz w:w="11900" w:h="16838" w:orient="portrait"/>
          <w:cols w:equalWidth="0" w:num="1">
            <w:col w:w="11420"/>
          </w:cols>
          <w:pgMar w:left="240" w:top="36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type w:val="continuous"/>
        </w:sectPr>
      </w:pPr>
    </w:p>
    <w:bookmarkStart w:id="17" w:name="page18"/>
    <w:bookmarkEnd w:id="17"/>
    <w:p>
      <w:pPr>
        <w:ind w:right="120"/>
        <w:spacing w:after="0" w:line="282" w:lineRule="auto"/>
        <w:rPr>
          <w:sz w:val="20"/>
          <w:szCs w:val="20"/>
          <w:color w:val="auto"/>
        </w:rPr>
      </w:pPr>
      <w:r>
        <w:rPr>
          <w:rFonts w:ascii="Times New Roman" w:cs="Times New Roman" w:eastAsia="Times New Roman" w:hAnsi="Times New Roman"/>
          <w:sz w:val="18"/>
          <w:szCs w:val="18"/>
          <w:color w:val="auto"/>
        </w:rPr>
        <w:t>The 8.2% decrease in selling and administrative expenses in the second quarter of 2015 (increase of 5.2% in constant currency and 4.1%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13.4% decrease due to the impact of changes in the currency exchange rates;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of $9.0 million in the second quarter of 2014 in the United States related to a settlement agreement, which we did not incur in the second quarter of 2015 (see the Employment-Related Items section for additional information); partially offset by</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increase in constant currency (-8.5% as reported) in organic salary-related costs primarily because of additional headcount to support an increased demand for our services and an increase in our variable incentive-based costs due to improved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non-personnel related costs, excluding the legal costs noted above, as a result of increased demand for our services;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Southern Europe, Northern Europe and APME.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increased 10 basis points (0.10%) in the second quarter of 2015 compared to 2014 as a 20 basis point (0.20%) unfavorable impact on the mix of the changes in currency exchange rates was partially offset by a 10 basis point (-0.10%) favorable impact due to the decrease of legal costs noted above.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and other expenses are comprised of interest, foreign exchange gains and losses and other miscellaneous non-operating income and expenses. Interest and other expenses were $7.2 million in the second quarter of 2015 compared to $7.9 million in the second quarter of 2014. Net interest expense decreased $0.7 million in the second quarter of 2015 to $7.5 million from $8.2 million in the second quarter of 2014 due primarily to the favorable impact of currency exchange rates. Foreign exchange gains in the second quarter of 2015 were $0.0 million compared to $0.9 million in the second quarter of 2014. Miscellaneous income was $0.3 million in the second quarter of 2015 compared to miscellaneous expense of $0.6 million in the second quarter of 2014. For our Venezuela reporting unit, we use the official exchange rate to convert the Bolivar Fuerte currency (“BsF”) to the functional currency of the United States dollar (“USD”), which is currently set at 6.3 BsF to 1 USD. Any change to the official exchange rate would not have a material impact on our operating results.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38.3% for the three months ended June 30, 2015, as compared to an effective rate of 38.8% for the three months ended June 30, 2014. The 2015 rate was favorably impacted by the effect of discrete tax items, partially offset by the unfavorable impact of the strengthening of the United States dollar resulting in a decrease to non-U.S. income. The 38.3%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$1.33 for the three months ended June 30, 2015 compared to $1.35 for the three months ended June 30, 2014. Foreign currency exchange rates negatively impacted net earnings per share - diluted by approximately $0.23 per share for the three months ended June 30, 2015.</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2.5% to 79.3 million for the three months ended June 30, 2015 from 81.4 million for the three months ended June 30, 2014. This decrease was due to the impact of share repurchases completed since the second quarter of 2014, partially offset by shares issued as a result of exercises and vesting of share-based awards since the second quarter of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364"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Operating Results - Six Months Ended June 30, 2015 and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six months ended June 30, 2015 as compared to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38"/>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10,225.7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8,511.9</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1,713.8</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1,399.5</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314.3</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297.2</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117.3</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179.9</w:t>
            </w:r>
          </w:p>
        </w:tc>
        <w:tc>
          <w:tcPr>
            <w:tcW w:w="146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year-over-year decrease in revenues from services of 8.0% (increase of 6.6% in constant currency and 5.9%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14.6% decrease due to the impact of changes in the currency exchange rates;</w:t>
      </w:r>
    </w:p>
    <w:p>
      <w:pPr>
        <w:spacing w:after="0" w:line="2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 in the United States of 0.6% primarily driven by a decline in demand for our staffing/interim services in the industrial, engineering and finance markets, partially offset by solid growth in our permanent recruitment business and in our MSP and RPO offerings within the ManpowerGroup Solutions business; and</w:t>
      </w:r>
    </w:p>
    <w:p>
      <w:pPr>
        <w:spacing w:after="0" w:line="17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at Right Management, where revenues decreased 3.1% in constant currency (-10.8% as reported), including a 2.9% constant currency decline (-10.8% as reported) in our outplacement services and a 3.3% constant currency decline (-10.8% as reported) in our talent management business; partially offset by</w:t>
      </w:r>
    </w:p>
    <w:p>
      <w:pPr>
        <w:spacing w:after="0" w:line="176" w:lineRule="exact"/>
        <w:rPr>
          <w:rFonts w:ascii="Times New Roman" w:cs="Times New Roman" w:eastAsia="Times New Roman" w:hAnsi="Times New Roman"/>
          <w:sz w:val="18"/>
          <w:szCs w:val="18"/>
          <w:color w:val="auto"/>
        </w:rPr>
      </w:pPr>
    </w:p>
    <w:p>
      <w:pPr>
        <w:ind w:left="660" w:right="200" w:hanging="328"/>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9.6% (8.7% in organic constant currency; -10.5% as reported) and 6.0% (5.1% in organic constant currency; -11.1% as reported), respectively. This included a constant currency revenue increase in France of 4.9% (4.1% in organic constant currency; -14.7% as reported) as we experienced stabilization. This increase also included a constant currency revenue increase in Italy of 23.2% (0.1% as reported) due to improving demand. We also experienced organic constant currency revenue growth in Spain, the United Kingdom, and Germany of 29.0%, 14.4%, and 5.8%, respectively (9.6%, 4.5% and -13.9%, respectively, as reported); and</w:t>
      </w:r>
    </w:p>
    <w:p>
      <w:pPr>
        <w:spacing w:after="0" w:line="18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3.9% in constant currency (2.5% in organic constant currency; -6.7% as reported) primarily due to a 9.8% constant currency increase (-1.3% as reported) in our permanent recruitment business, an increase in our ManpowerGroup Solutions business and an increase in our staffing/interim revenues due to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10 basis point (0.10%) increase in gross profit margin was primarily attributed to:</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18.3% constant currency growth (4.5% as reported) in our permanent recruitment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due to the impact on mix of the changes in currency exchange rates; partially offset by</w:t>
      </w:r>
    </w:p>
    <w:p>
      <w:pPr>
        <w:spacing w:after="0" w:line="225"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unfavorable impact from the decline in our staffing margin due to general pricing pressures in certain markets and the impact of business mix as we saw higher growth from our lower-margin markets as well as higher growth from our lower-margin business in certain markets, partially offset by improved margins in the United States as a result of strong price discipline, effective management of workers' compensation and health care costs, and lower state unemployment tax rates.</w:t>
      </w:r>
    </w:p>
    <w:p>
      <w:pPr>
        <w:sectPr>
          <w:pgSz w:w="11900" w:h="16838" w:orient="portrait"/>
          <w:cols w:equalWidth="0" w:num="1">
            <w:col w:w="11420"/>
          </w:cols>
          <w:pgMar w:left="240" w:top="36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type w:val="continuous"/>
        </w:sectPr>
      </w:pPr>
    </w:p>
    <w:bookmarkStart w:id="19" w:name="page20"/>
    <w:bookmarkEnd w:id="19"/>
    <w:p>
      <w:pPr>
        <w:ind w:right="60"/>
        <w:spacing w:after="0" w:line="282" w:lineRule="auto"/>
        <w:rPr>
          <w:sz w:val="20"/>
          <w:szCs w:val="20"/>
          <w:color w:val="auto"/>
        </w:rPr>
      </w:pPr>
      <w:r>
        <w:rPr>
          <w:rFonts w:ascii="Times New Roman" w:cs="Times New Roman" w:eastAsia="Times New Roman" w:hAnsi="Times New Roman"/>
          <w:sz w:val="18"/>
          <w:szCs w:val="18"/>
          <w:color w:val="auto"/>
        </w:rPr>
        <w:t>The 7.7% decrease in selling and administrative expenses for the six months ended June 30, 2015 (increase of 5.1% in constant currency and 4.0% in organic constant currency) was attributed to:</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decrease due to the impact of changes in the currency exchange rates; and</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of $9.0 million in the first half of 2014 in the United States related to a settlement agreement, which we did not incur in the first half of 2015 (see the Employment-Related Items section for additional information); partially offset by</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increase in constant currency (-7.9% as reported) in organic salary-related costs primarily because of additional headcount to support an increased demand for our services and an increase in our variable incentive-based costs due to improved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non-personnel related costs, excluding the legal costs noted above, as a result of increased demand for our services;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Southern Europe, Northern Europe and APME.</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remained flat for the six months ended June 30, 2015 compared to 2014 as the 10 basis point (-0.10%) favorable impact from better expense leverage and a 10 basis point (-0.10%) favorable impact due to the decrease of legal costs noted above was offset by a 20 basis point (0.20%) unfavorable impact on the mix of the changes in currency exchange rates.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Interest and other expenses were $17.8 million for the six months ended June 30, 2015 compared to $17.1 million for the six months ended June 30, 2014. Net interest expense decreased $0.9 million for the six months ended June 30, 2015 to $15.0 million from $15.9 million for the six months ended June 30, 2014 due primarily to the favorable impact of currency exchange rates. Other expenses were $2.8 million for the six months ended June 30, 2015 compared to $1.2 million for the six months ended June 30, 2014 due to foreign exchange gains recorded in the first half of 2014. Foreign exchange loss in the first half of 2015 was $0.7 million compared to a foreign exchange gain of $2.1 million in the first half of 2014. Miscellaneous expenses, net were $2.1 million in the first half of 2015 compared to $3.3 million in the first half of 2014.</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recorded income tax expense at an effective rate of 39.6% for the six months ended June 30, 2015, as compared to an effective rate of 39.5% for the six months ended June 30, 2014. The 39.6% effective tax rate for the six months ended June 30, 2015 was higher than the United States Federal statutory rate of 35% due primarily to the French business tax, repatriations, valuation allowances and other permanent items.</w:t>
      </w:r>
    </w:p>
    <w:p>
      <w:pPr>
        <w:spacing w:after="0" w:line="176"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$2.16 for the six months ended June 30, 2015 compared to $2.21 for the six months ended June 30, 2014. Foreign currency exchange rates negatively impacted net earnings per share - diluted by approximately $0.39 per share for the six months ended June 30, 2015.</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2.3% to 79.5 million for the six months ended June 30, 2015 from 81.4 million for the six months ended June 30, 2014. This decrease was due to the impact of share repurchases completed since the second quarter of 2014, partially offset by shares issued as a result of exercises and vesting of share-based awards since the second quarter of 2014.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1.8% (increase of 3.5% in constant currency) in the second quarter of 2015 compared to 2014. In the United States, revenues from services decreased 1.7% in the second quarter of 2015 compared to 2014, primarily driven by a decline in demand for our Manpower staffing services, primarily due to a change in specific client mix within our industrial sector. We also experienced a decline in our interim service revenues within our Experis business due to declines in our engineering and finance sectors as a result of the continued slowdown in the oil and gas industry. These declines were partially offset by a 40.3% increase in our permanent recruitment business and solid growth in our MSP and RPO offerings within the ManpowerGroup Solutions business. In Other Americas, revenues from services decreased 1.9% (increase of 14.4% in constant currency) in the second quarter of 2015 compared to 2014. We experienced constant currency revenue declines in Brazil and Canada of 9.0% and 3.4%, respectively, offsetting revenue growth in Mexico, Argentina primarily due to inflation, Colombia and Peru of 13.1%, 40.2%, 10.9% and 27.8%, respectively (-4.0%, 26.1%, -15.0%, and 13.5%, respectively, as reported).</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Americas, revenues from services decreased 0.3% (increase of 4.6% in constant currency) in the first six months ended June 30, 2015 compared to 2014. In the United States, revenues from services decreased 0.6% in the first six months ended June 30,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364" w:right="259" w:bottom="1440" w:gutter="0" w:footer="0" w:header="0"/>
        </w:sectPr>
      </w:pPr>
    </w:p>
    <w:bookmarkStart w:id="20" w:name="page21"/>
    <w:bookmarkEnd w:id="20"/>
    <w:p>
      <w:pPr>
        <w:ind w:right="180"/>
        <w:spacing w:after="0" w:line="272" w:lineRule="auto"/>
        <w:rPr>
          <w:sz w:val="20"/>
          <w:szCs w:val="20"/>
          <w:color w:val="auto"/>
        </w:rPr>
      </w:pPr>
      <w:r>
        <w:rPr>
          <w:rFonts w:ascii="Times New Roman" w:cs="Times New Roman" w:eastAsia="Times New Roman" w:hAnsi="Times New Roman"/>
          <w:sz w:val="17"/>
          <w:szCs w:val="17"/>
          <w:color w:val="auto"/>
        </w:rPr>
        <w:t>2015 compared to 2014. The revenue decrease in the United States was primarily driven by a decline in our interim service revenues within our Experis business, despite 1.5% growth in our IT sector, due to declines in our engineering and finance sectors as a result of the slowdown in the oil and gas industry and stronger price discipline. We also experienced a slight decline in demand for our Manpower staffing services, likely due to the winter storms in the first quarter of 2015, a longshoreman’s strike on the West Coast in the first quarter of 2015, the strengthening of the United States dollar and a change in specific client mix within our industrial sector. These declines were partially offset by a 32.5% increase in our permanent recruitment business and strong growth in our MSP and RPO offerings within the ManpowerGroup Solutions business. In Other Americas, revenues from services increased 0.2% (15.2% in constant currency) in the first six months ended June 30, 2015 compared to 2014. We experienced constant currency revenue growth in Mexico, Argentina primarily due to inflation, Colombia and Peru of 11.6%, 33.5%, 25.1% and 24.8%, respectively (-3.3%, 18.3%, -1.2%, and 12.8%, respectively, as reported).</w:t>
      </w:r>
    </w:p>
    <w:p>
      <w:pPr>
        <w:spacing w:after="0" w:line="17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Gross profit margin increased in both the second quarter and first half of 2015 compared to 2014 as a result of the favorable impact from the growth in our permanent recruitment and ManpowerGroup Solutions businesses, and improved staffing/interim margins in the United States due to strong price discipline, effective management of workers' compensation and health care costs, and lower state unemployment tax rates. These increases were partially offset by decreases in our staffing/interim margins within some of our markets in the Other Americas due to general pricing pressures and client mix changes.</w:t>
      </w:r>
    </w:p>
    <w:p>
      <w:pPr>
        <w:spacing w:after="0" w:line="1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second quarter of 2015, selling and administrative expenses decreased 2.4% (increase of 1.1% in constant currency) due to the legal costs of $9.0 million recorded in the United States in the second quarter of 2014, which we did not incur in 2015. This favorable impact was partially offset by an increase in salary-related costs because of an increase in our variable incentive-based costs due to improved operating results.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six months ended June 30, 2015, selling and administrative expenses increased 0.1% (3.4% in constant currency) due to the increase in salary-related costs because of an increase in our variable incentive-based costs due to improved operating results. This unfavorable impact was partially offset by the legal costs of $9.0 million recorded in the United States in the first half of 2014, which we did not incur in 2015.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Unit Profit (“OUP”) margin in the Americas was 5.0% and 3.8% for the second quarter of 2015 and 2014, respectively. In the United States, OUP margin increased to 5.5% in the second quarter of 2015 from 3.8% in 2014 due to the improvement in the gross profit margin along with the decrease in legal costs noted above, partially offset by the increase in salary-related costs as a result of an increase in our variable incentive-based costs due to improved operating results. Other Americas OUP margin was 3.9% in the second quarter of 2015 and compared to 3.7% in 2014 due to better operational leverage, as we were able to control our expenses while revenues and gross profit margin declined slightly.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OUP margin in the Americas was 3.9% and 3.1% for the first six months ended June 30, 2015 and 2014, respectively. In the United States, OUP margin increased to 4.0% in the first six months ended June 30, 2015 from 2.9% in 2014 due to the improvement in the gross profit margin along with the decrease in legal costs noted above, partially offset by the increase in salary-related costs as a result of an increase in our variable incentive-based costs due to improved operating results. Other Americas OUP margin was 3.7% for both the first six months ended June 30, 2015 and 2014 as a decline in the gross profit margin was offset by better operational leverage, because we were able to support an increase in revenues without a similar increase in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2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Southern Europe, which includes operations in France and Italy, revenues from services decreased 10.3% (increase of 10.6% in constant currency and 9.5% in organic constant currency) in the second quarter of 2015 compared to 2014. In the second quarter of 2015, revenues from services increased in constant currency 5.5% (4.3% in organic constant currency; decrease of -14.8% as reported) in France, which represents 68% of Southern Europe’s revenues, and</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25.9% (1.7% as reported) in Italy, which represents 18% of Southern Europe’s revenues. The organic constant currency increase in France was primarily due to the market, which is showing some growth, though uneven throughout the quarter. The constant currency increase in Italy was mostly due to increased demand for our Manpower staffing services due to improving, albeit fragile, economic conditions, a new contract with the Milan Expo as the HR Premium Partner for providing temporary staffing and workforce solutions, a 44.6% constant currency increase (16.9% as reported) in the permanent recruitment business, and strong growth in our other ManpowerGroup Solutions business partly due to the new contract with the Milan Expo. In Other Southern Europe, revenues from services increased 0.6% (20.9% in constant currency and 18.3% in organic constant currency) during the second quarter of 2015 compared to 2014. The constant currency increase was primarily driven by the 36.6% constant currency increase (31.0% in organic constant currency; 10.4% as reported) in Spain due to strong execution in selling clients our full suite of offerings.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services decreased 10.5% (increase of 9.6% in constant currency and 8.7% in organic constant currency) in the first six months ended June 30, 2015 compared to 2014. In the first six months ended June 30, 2015, revenues from services increased in constant currency 4.9% (4.1% in organic constant currency; decrease of -14.7% as reported) in France and 23.2% (0.1% as reported) in Italy. The organic constant currency increase in France was primarily due to the market, which is showing some growth. The constant currency increase in Italy was mostly due to increased demand for our Manpower staffing services due to improving economic conditions, the new contract with the Milan Expo, a 41.5% constant currency increase (15.0% as reported)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ind w:right="260"/>
        <w:spacing w:after="0" w:line="258" w:lineRule="auto"/>
        <w:rPr>
          <w:sz w:val="20"/>
          <w:szCs w:val="20"/>
          <w:color w:val="auto"/>
        </w:rPr>
      </w:pPr>
      <w:r>
        <w:rPr>
          <w:rFonts w:ascii="Times New Roman" w:cs="Times New Roman" w:eastAsia="Times New Roman" w:hAnsi="Times New Roman"/>
          <w:sz w:val="18"/>
          <w:szCs w:val="18"/>
          <w:color w:val="auto"/>
        </w:rPr>
        <w:t>in the permanent recruitment business, and strong growth in our other ManpowerGroup Solutions business partly due to the new contract with the Milan Expo. In Other Southern Europe, revenues from services decreased 0.5% (increase of 18.8% in constant currency and 16.3% in organic constant currency) during the first six months ended June 30, 2015 compared to 2014. The constant currency increase was primarily driven by the 34.6% constant currency increase (29.0% in organic constant currency; 9.6% as reported) in Spain due to improving economic conditions and strong execution in selling clients our full suite of offerings.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Gross profit margin increased in both the second quarter and first half of 2015 compared to 2014 primarily due to 20.9% and 20.6%, respectively, constant currency increases (-1.4% and -0.9%, respectively, as reported) in our permanent recruitment business, partially offset by the continued pricing pressures on our staffing/interim margins in some markets.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decreased 12.0% (increase of 8.5% in constant currency and 6.8% in organic constant currency) during the second quarter of 2015 compared to 2014. Selling and administrative expenses decreased 12.8% (increase of 6.7% in constant currency and 5.5% in organic constant currency) during the first six months ended June 30, 2015 compared to 2014. The constant currency increases are due to an increase in organic salary-related costs because of additional headcount, and other non-personnel related costs to support the constant currency revenue growth, and additional recurring selling and administrative costs incurred as a result of acquisitions.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OUP margin in Southern Europe was 5.3% for the second quarter of 2015 compared to 4.9% for 2014. In France, the OUP margin increased to 5.6% for the second quarter of 2015 from 5.1% in 2014, due to the improvement in our gross profit margin and improved operational leverage as we were able to support a constant currency increase in revenues without a similar constant currency increase in expenses. In Italy, the OUP margin increased to 6.2% for the second quarter of 2015 from 5.8% for 2014, due to the growth in our permanent recruitment business and improved operational leverage, as we were able to support a constant currency increase in revenues without a similar constant currency increase in expenses, partially offset by a slight decrease in our staffing gross profit margin due to client mix changes and overall pricing pressure. Other Southern Europe’s OUP margin increased to 2.6% for the second quarter of 2015 from 2.4% in 2014 due to improved operational leverage, as we were able to support a constant currency increase in revenues without a similar constant currency increase in expenses, partially offset by a slight decrease in our gross profit margin due to continued pricing pressures in some markets.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OUP margin in Southern Europe was 4.9% for the first six months ended June 30, 2015 compared to 4.5% for 2014. In France, the OUP margin was 5.2% for the first six months ended June 30, 2015 compared to 4.7% for 2014, due to the improvement in our gross profit margin and improved operational leverage as we were able to support a constant currency increase in revenues without a similar constant currency increase in expenses. In Italy, the OUP margin was 5.7% for the first six months ended June 30, 2015 compared to 5.3% for 2014, due to the growth in our permanent recruitment business and improved operational leverage, as we were able to support a constant currency increase in revenues without a similar constant currency increase in expenses, partially offset by a slight decrease in our staffing gross profit margin due to client mix changes and overall pricing pressure. Other Southern Europe’s OUP margin increased to 2.4% for the first six months ended June 30, 2015 from 2.2% in 2014 due to improved operational leverage, as we were able to support a constant currency increase in revenues without a similar constant currency increase in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Northern Europe, which includes operations in the United Kingdom, the Nordics, Germany and the Netherlands (representing 39%, 20%, 12%, and 9%, respectively, of Northern Europe’s revenues), revenues from services decreased 12.6% (increase of 4.5% in constant currency and 3.8% in organic constant currency) in the second quarter of 2015 compared to 2014. We experienced constant currency revenue growth in the United Kingdom, Germany and the Nordics of 10.7%, 7.4% and 2.4%, respectively (0.8%, -13.2% and -19.8%, respectively, as reported). The revenue growth was primarily attributable to the increase in our staffing/interim business, and a 16.6% constant currency increase (-1.1% as reported) in our permanent recruitment business, mostly due to growth in the United Kingdom. The revenue increase in the Nordics was mostly due to the 9.6% constant currency growth (-13.9% as reported) in Sweden, which was partially offset by the 2.3% constant currency decline (-24.4% as reported) in Norway due to the oil and gas industry.</w:t>
      </w:r>
    </w:p>
    <w:p>
      <w:pPr>
        <w:spacing w:after="0" w:line="18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Revenues from services decreased 11.1% (increase of 6.0% in constant currency and 5.1% in organic constant currency) in the first six months ended June 30, 2015 compared to 2014. We experienced organic constant currency revenue growth in the United Kingdom, Germany and the Nordics of 14.4%, 5.8% and</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0.8%, respectively (4.5%, -13.9% and -20.5%, respectively, as reported). The increase in revenues from services was primarily attributable to the increase in our staffing/interim business and a 18.1% constant currency increase (0.1% as reported) in our permanent recruitment business mostly due to growth in the United Kingdom. The revenue increase in the Nordics was mostly due to the 9.6% constant currency growth (-14.5% as reported) in Sweden, which was partially offset by the 6.2% organic constant currency decline (-25.8% as reported) in Norway due to the oil and gas industry.</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both the second quarter and first half of 2015 compared to 2014 due to the declines in our staffing/interim margins because of business mix changes in our staffing/interim revenues, as higher growth came from our lower-margin clients and markets, and general pricing pressures in several markets. These decreases were partially offset by increases in our permanent recruitment and higher-margin ManpowerGroup Solutions businesses.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64" w:right="259" w:bottom="1440" w:gutter="0" w:footer="0" w:header="0"/>
        </w:sectPr>
      </w:pPr>
    </w:p>
    <w:bookmarkStart w:id="22" w:name="page23"/>
    <w:bookmarkEnd w:id="22"/>
    <w:p>
      <w:pPr>
        <w:ind w:right="4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decreased 14.4% (increase of 3.4% in constant currency and 2.2% in organic constant currency) in the second quarter of 2015 compared to 2014. Selling and administrative expenses decreased 12.7% (increase of 5.1% in constant currency and 3.3% in organic constant currency) in the six months ended June 30, 2015 compared to 2014. The constant currency increases in selling and administrative expenses were due primarily to the increase in organic salary-related costs because of permanent recruiters added to support the constant currency increase in the permanent recruitment business and additional recurring selling and administrative costs incurred as a result of acquisitions.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OUP margin for Northern Europe was 2.7% and 3.0% for the second quarter of 2015 and 2014, respectively. OUP margin was 2.6% and 2.8% for the first six months ended June 30, 2015 and 2014, respectively. The decreases in the OUP margins were primarily due to the declines in the gross profit margins, partially offset by better operational leverage, as we were able to support a constant currency increase in revenues without a similar constant currency increase in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APME, revenues from services decreased 6.3% (increase of 5.7% in constant currency and 3.1% in organic constant currency) in the second quarter of 2015 compared to 2014. In Japan and Australia (which represents 34% and 22% of APME’s revenues, respectively), revenues from services decreased 12.7% and 11.2%, respectively (increase of 3.7% and 6.6%, respectively, in constant currency; -4.1% in organic constant currency in Australia). The constant currency increase in Japan was due to the increased demand for our Manpower staffing services and a 33.3% constant currency increase (12.2% as reported) in our permanent recruitment business. The organic constant currency decrease in Australia was due to the decreased demand for our Manpower staffing services due to the current conditions in this commodity-based economy, partially offset by growth in our ManpowerGroup Solutions business. The revenue increase in the remaining markets in APME is due to an increase in our Manpower staffing service revenues, mostly in Korea, India and Taiwan, and strong growth in our ManpowerGroup Solutions and permanent recruitment businesses.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from services decreased 6.7% (increase of 3.9% in constant currency and 2.5% in organic constant currency) in the first six months ended June 30, 2015 compared to 2014. In Japan, revenues from services increased 3.5% in constant currency (-11.8% as reported) due to the increased demand for our Manpower staffing services and a 18.9% constant currency increase (1.0% as reported) in our permanent recruitment business. In Australia, revenues from services were down 6.3% in organic constant currency (-0.9% in constant currency; -15.5% as reported) in the first six months ended June 30, 2015 compared to 2014 due to the decreased demand for our Manpower staffing services due to the current conditions in this commodity-based economy, partially offset by growth in our ManpowerGroup Solutions business. The revenue increase in the remaining markets in APME is due to an increase in our Manpower staffing service revenues, mostly in Korea, India and Taiwan partially offset by a decline in China due to continuing impact of the regulatory changes made in 2013, and strong growth in our ManpowerGroup Solutions and permanent recruitment businesses.</w:t>
      </w:r>
    </w:p>
    <w:p>
      <w:pPr>
        <w:spacing w:after="0" w:line="18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second quarter of 2015 compared to 2014 due to a 12.8% increase in constant currency (0.4% as reported) in our permanent recruitment business, partially offset by a decrease in our staffing/interim gross profit margin due to business mix changes.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flat for the first six months ended June 30, 2015 compared to 2014.</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decreased 4.1% (increase of 8.8% in constant currency and 6.1% in organic constant currency) in the second quarter of 2015 compared to 2014. Selling and administrative expenses decreased 5.1% (increase of 6.3% in constant currency and 4.5% in organic constant currency) in the first six months ended June 30, 2015 compared to 2014. The constant currency increases were due to the increases in organic salary-related costs because of higher headcount to support the constant currency increases in revenues and additional recurring selling and administrative costs incurred as a result of acquisitions.</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OUP margin for APME was 3.3% in the second quarter of 2015 compared to 3.5% in 2014. The decrease in OUP margin was due to the increase in salary-related expenses, partially offset by the increase in our gross profit margin.</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OUP margin for APME was 3.4% in the first six months ended June 30, 2015 compared to 3.5% in 2014. The decrease in OUP margin was due to the increase in salary-related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Revenues from services decreased 9.6% (-1.5% in constant currency) in the second quarter of 2015 compared to 2014, primarily due to the 8.9% decrease (-0.4% in constant currency) in our outplacement services as the contraction in our European and Asian markets was partially offset by growth in our markets within the Americas. Our talent management business decreased 11.1% (-3.9% in constant currency) in the second quarter of 2015 compared to 2014 due mostly to softening demand in our European markets.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Revenues from services decreased 10.8% (-3.1% in constant currency) in the first six months ended June 30, 2015 compared to 2014, primarily due to the 10.8% decrease (-2.9% in constant currency) in our outplacement services as we experienced softer demand due to the stabilization of economic conditions in many of our markets and counter-cyclical nature of this business. Our talent management business decreased 10.8% (-3.3% in constant currency) in the first half of 2015 compared to 2014 due to softer demand.</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second quarter of 2015 compared to 2014 due to an increase in the outplacement business gross profit margin and the change in business mix as the higher-margin outplacement business represented a greater percentage of the revenue mix.</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first six months ended June 30, 2015 compared to 2014 due to the increase in the outplacement business gross profit margin, partially offset by margin deterioration in our talent management business.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7.5% (increase of 1.2% in constant currency) in the second quarter of 2015 compared to 2014 and decreased 8.4% (-0.4% in constant currency) in the first six months ended June 30, 2015 compared to 2014. The decreases were due to the cost savings from more efficient delivery solutions and the simplification and cost recalibration actions favorably impacting expense levels.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OUP margin for Right Management was 16.2% in the second quarter of 2015 compared to 16.0% in 2014. The increase is due to the improvement in our gross profit margin, partially offset by expense deleveraging as we were not able to decrease expenses at the same rate as our revenue decrease.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OUP margin was 12.7% in the first six months ended June 30, 2015 compared to 13.7% in 2014. The decrease is due to expense deleveraging as we were not able to decrease expenses at the same rate as our revenue decrease, partially offset by the improvement in our gross profit margin.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 reconciliation of these Non-GAAP percentage variances to those calculated based on our GAAP financial results is provided below:</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3 Months Ended June 30, 2015 Compared to 2014</w:t>
            </w: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Acquisition/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Variance in</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Dispositions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55"/>
        </w:trPr>
        <w:tc>
          <w:tcPr>
            <w:tcW w:w="3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Amount</w:t>
            </w:r>
            <w:r>
              <w:rPr>
                <w:rFonts w:ascii="Times New Roman" w:cs="Times New Roman" w:eastAsia="Times New Roman" w:hAnsi="Times New Roman"/>
                <w:sz w:val="18"/>
                <w:szCs w:val="18"/>
                <w:color w:val="auto"/>
                <w:w w:val="96"/>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1,130.7</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1,202.6</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244.3</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1,766.2</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r>
      <w:tr>
        <w:trPr>
          <w:trHeight w:val="264"/>
        </w:trPr>
        <w:tc>
          <w:tcPr>
            <w:tcW w:w="39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1,335.6</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556.6</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4,861.3</w:t>
            </w:r>
          </w:p>
        </w:tc>
        <w:tc>
          <w:tcPr>
            <w:tcW w:w="12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830.6</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three months ended June 30, 2015.</w:t>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78"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6 Months Ended June 30, 2015 Compared to 2014</w:t>
            </w: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Impact of</w:t>
            </w:r>
          </w:p>
        </w:tc>
        <w:tc>
          <w:tcPr>
            <w:tcW w:w="10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Acquisition/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Organic</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Variance in</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Dispositions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Reported</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Impact of</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Constant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55"/>
        </w:trPr>
        <w:tc>
          <w:tcPr>
            <w:tcW w:w="3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Amount</w:t>
            </w:r>
            <w:r>
              <w:rPr>
                <w:rFonts w:ascii="Times New Roman" w:cs="Times New Roman" w:eastAsia="Times New Roman" w:hAnsi="Times New Roman"/>
                <w:sz w:val="18"/>
                <w:szCs w:val="18"/>
                <w:color w:val="auto"/>
                <w:w w:val="96"/>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Variance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Currency)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Variance</w:t>
            </w: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2,215.1</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2,243.4</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3,303.3</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1,089.7</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9,403.5</w:t>
            </w:r>
          </w:p>
        </w:tc>
        <w:tc>
          <w:tcPr>
            <w:tcW w:w="12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1,592.6</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1,291.1</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six months ended June 30,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2015, we had $290.4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June 30, 2015, we identified approximately $619.0 million of non-United States earnings that are not permanently invested and may be repatriated in the future as cash needs arise.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$38.8 million during the first six months ended June 30, 2015 compared to cash used of $16.0 million during the first six months ended June 30, 2014. This increase is primarily attributable to an increase in accounts payable due to timing of payments. Changes in operating assets and liabilities utilized $238.7 million of cash during the first six months ended June 30, 2015 compared to $275.4 million utilized during the first six months ended June 30, 2014, primarily due to the increase in accounts payable, partially offset by an increase in accounts receivable as a two-day improvement in our Days Sales Outstanding (“DSO”) was offset by increased business volumes.</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accounts receivable increased to $4,214.2 million as of June 30, 2015 from $4,134.5 million as of December 31, 2014. This increase is due to the increase in business volumes, partially offset by changes in currency exchange rates. At constant exchange rates, the June 30, 2015 balance would have been approximately $200.0 million higher than reported.</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Capital expenditures were $20.1 million in the first six months ended June 30, 2015 compared to $20.6 million in the first six months ended June 30, 2014. These expenditures were primarily comprised of purchases of computer equipment, office furniture and other costs related to office openings and refurbishments.</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type w:val="continuous"/>
        </w:sectPr>
      </w:pPr>
    </w:p>
    <w:bookmarkStart w:id="26" w:name="page27"/>
    <w:bookmarkEnd w:id="26"/>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$30.4 million and $23.7 million for the first six months ended June 30, 2015 and 2014,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change due to net debt borrowings was an outflow of $3.2 million in the first six months ended June 30, 2015 compared to an inflow of $14.7 million in the first six months ended June 30, 2014.</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€350.0 million notes are due June 2018. When the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July 2015, Moody’s Investors Service upgraded our long-term debt rating to Baa1 from Baa2 while maintaining the stable outlook. This current credit rating is investment grade. Rating agencies use proprietary methodology in determining their ratings and outlook which includes, among other things, financial ratios based upon debt levels and earnings performance. Under the $600.0 million revolving credit agreement, a credit ratings-based pricing grid determines the facility fee and the credit spread that we add to the applicable interbank borrowing rate on all borrowings. At this current credit rating, the annual facility fee is 12.5 basis points paid on the entire facility and the credit spread is 100.0 basis points on any borrowings, compared to 17.5 basis points and 107.5 basis points, respectively, with the previous credit rating.</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June 30, 2015, we had letters of credit totaling $0.9 million issued under our $600.0 million revolving credit facility. Additional borrowings of $599.1 million were available to us under the facility as of June 30, 2015.</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$600.0 million revolving credit agreement requires that we comply with a leverage ratio (Debt-to-EBITDA) of not greater than 3.5 to 1 and a fixed charge coverage ratio of not less than 1.5 to 1. As defined in the agreement, we had a Debt-to-EBITDA ratio of 0.46 to 1 and a fixed charge coverage ratio of 4.43 to 1 as of June 30, 2015. Based on our current forecast, we expect to be in compliance with our financial covenants for the next 12 months.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June 30, 2015, such credit lines totaled $291.4 million, and additional borrowings of $251.3 million could have been made under these lines. Under the revolving credit agreement, total subsidiary borrowings cannot exceed $300.0 million in the first, second and fourth quarters, and $600.0 million in the third quarter of each year.</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April 28, 2015 and April 29, 2014, the Board of Directors declared a semi-annual cash dividend of $0.80 and $0.49 per share, respectively. The 2015 dividend was paid on June 15, 2015 to shareholders of record on June 1, 2015. The 2014 dividend was paid on June 16, 2014 to shareholders of record on June 2, 2014.</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During the first half of 2015, we repurchased 2.2 million shares at a cost of $187.2 million under this authorization, including 2.0 million shares at a cost of $168.7 million that settled as of June 30, 2015, and 0.2 million shares at a total cost of $18.5 million that settled in July. The share repurchases that settled in July are not reflected in the treasury stock in our Consolidated Balance Sheets as of June 30, 2015. There were 4.0 million shares as of June 30, 2015, and 3.8 million shares, after including the 0.2 million share repurchases that settled in July, remaining authorized for repurchase under this authorization.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had aggregate commitments related to debt repayments, operating leases, severances and office closure costs, and certain other commitments of $1,317.0 million as of June 30, 2015 compared to $1,372.5 million as of December 31, 2014.</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$188.0 million and $172.6 million as of June 30, 2015 and December 31, 2014, respectively, consisting of $142.5 million and $126.8 million for guarantees, respectively, and $45.5 million and $45.8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$0.7 million and $1.0 million in the first six months ended June 30, 2015 and 2014, respectively.</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half of 2015, we made payments of $4.8 million out of our restructuring reserve that was created in 2012 and 2013. We expect a majority of the remaining $8.1 million reserve will be paid by the end of 2015.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36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Employment-Related Items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recorded legal costs of $9.0 million in the United States related to a settlement agreement in connection with a lawsuit in California involving allegations regarding our wage statements. The settlement agreement was approved by the court at a final hearing in June 2015. We believe that the settlement was in our best interest to avoid the costs and disruption of ongoing litigation.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2014,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2014 Annual Report on Form 10-K contains certain disclosures about market risks affecting us. There have been no material changes to the information provided which would require additional disclosures as of the date of this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ind w:left="4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June 30, 2015, there were 4.0 million shares remaining authorized for repurchase under this authorization. As of June 30, 2015, there were 0.2 million shares we repurchased under the prior authorization that did not settle until early July, leaving 3.8 million shares remaining authorized for repurchase. The following table shows the total amount of shares repurchased during the second quarter of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586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8"/>
        </w:trPr>
        <w:tc>
          <w:tcPr>
            <w:tcW w:w="2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2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2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38"/>
        </w:trPr>
        <w:tc>
          <w:tcPr>
            <w:tcW w:w="2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announced plan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7"/>
        </w:trPr>
        <w:tc>
          <w:tcPr>
            <w:tcW w:w="25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1- 30, 2015</w:t>
            </w:r>
          </w:p>
        </w:tc>
        <w:tc>
          <w:tcPr>
            <w:tcW w:w="2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5,480,767</w:t>
            </w: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1 - 31, 2015</w:t>
            </w:r>
          </w:p>
        </w:tc>
        <w:tc>
          <w:tcPr>
            <w:tcW w:w="4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573,357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573,357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4,907,410</w:t>
            </w:r>
          </w:p>
        </w:tc>
      </w:tr>
      <w:tr>
        <w:trPr>
          <w:trHeight w:val="27"/>
        </w:trPr>
        <w:tc>
          <w:tcPr>
            <w:tcW w:w="2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1 - 30, 2015</w:t>
            </w:r>
          </w:p>
        </w:tc>
        <w:tc>
          <w:tcPr>
            <w:tcW w:w="4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925,393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925,393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3,982,017</w:t>
            </w:r>
          </w:p>
        </w:tc>
      </w:tr>
      <w:tr>
        <w:trPr>
          <w:trHeight w:val="27"/>
        </w:trPr>
        <w:tc>
          <w:tcPr>
            <w:tcW w:w="25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2015:</w:t>
      </w:r>
    </w:p>
    <w:p>
      <w:pPr>
        <w:spacing w:after="0" w:line="324" w:lineRule="exact"/>
        <w:rPr>
          <w:sz w:val="20"/>
          <w:szCs w:val="20"/>
          <w:color w:val="auto"/>
        </w:rPr>
      </w:pPr>
    </w:p>
    <w:p>
      <w:pPr>
        <w:ind w:left="500" w:hanging="465"/>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360" w:lineRule="exact"/>
        <w:rPr>
          <w:rFonts w:ascii="Times New Roman" w:cs="Times New Roman" w:eastAsia="Times New Roman" w:hAnsi="Times New Roman"/>
          <w:sz w:val="18"/>
          <w:szCs w:val="18"/>
          <w:color w:val="auto"/>
        </w:rPr>
      </w:pPr>
    </w:p>
    <w:p>
      <w:pPr>
        <w:ind w:left="500" w:right="380" w:hanging="465"/>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296"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for governmental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200" w:lineRule="exact"/>
        <w:rPr>
          <w:sz w:val="20"/>
          <w:szCs w:val="20"/>
          <w:color w:val="auto"/>
        </w:rPr>
      </w:pPr>
    </w:p>
    <w:p>
      <w:pPr>
        <w:spacing w:after="0" w:line="214" w:lineRule="exact"/>
        <w:rPr>
          <w:sz w:val="20"/>
          <w:szCs w:val="20"/>
          <w:color w:val="auto"/>
        </w:rPr>
      </w:pPr>
    </w:p>
    <w:p>
      <w:pPr>
        <w:ind w:left="600" w:right="420" w:hanging="56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31.2</w:t>
        <w:tab/>
        <w:t>Certification of Michael J. Van Handel, Executive Vice President and Chief Financial Officer, pursuant to Section 13a-14(a) of the Securities Exchange Act of 1934.</w:t>
      </w:r>
    </w:p>
    <w:p>
      <w:pPr>
        <w:spacing w:after="0" w:line="35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14" w:lineRule="exact"/>
        <w:rPr>
          <w:sz w:val="20"/>
          <w:szCs w:val="20"/>
          <w:color w:val="auto"/>
        </w:rPr>
      </w:pPr>
    </w:p>
    <w:p>
      <w:pPr>
        <w:ind w:left="600" w:hanging="565"/>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June 30, 2015,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240" w:top="364" w:right="499" w:bottom="1440" w:gutter="0" w:footer="0" w:header="0"/>
        </w:sectPr>
      </w:pPr>
    </w:p>
    <w:bookmarkStart w:id="30" w:name="page31"/>
    <w:bookmarkEnd w:id="30"/>
    <w:p>
      <w:pPr>
        <w:ind w:left="5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31, 2015</w:t>
      </w:r>
    </w:p>
    <w:p>
      <w:pPr>
        <w:spacing w:after="0" w:line="3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34290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200" w:right="2760"/>
        <w:spacing w:after="0" w:line="261" w:lineRule="auto"/>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80"/>
          </w:cols>
          <w:pgMar w:left="240" w:top="1225" w:right="37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387" w:lineRule="exact"/>
        <w:rPr>
          <w:sz w:val="20"/>
          <w:szCs w:val="20"/>
          <w:color w:val="auto"/>
        </w:rPr>
      </w:pPr>
    </w:p>
    <w:p>
      <w:pPr>
        <w:ind w:left="1140" w:right="620" w:hanging="47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31.2</w:t>
        <w:tab/>
        <w:t>Certification of Michael J. Van Handel, Executive Vice President and Chief Financial Officer, pursuant to Section 13a-14(a) of the Securities Exchange Act of 1934.</w:t>
      </w:r>
    </w:p>
    <w:p>
      <w:pPr>
        <w:spacing w:after="0" w:line="3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3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387" w:lineRule="exact"/>
        <w:rPr>
          <w:sz w:val="20"/>
          <w:szCs w:val="20"/>
          <w:color w:val="auto"/>
        </w:rPr>
      </w:pPr>
    </w:p>
    <w:p>
      <w:pPr>
        <w:ind w:left="1140" w:hanging="441"/>
        <w:spacing w:after="0" w:line="289"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Quarterly Report on Form 10-Q for the quarter ended June 30, 2015,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400" w:top="360"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283.7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343.9</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2010</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620" w:right="220" w:hanging="329"/>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620" w:right="280" w:hanging="329"/>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80" w:hanging="329"/>
        <w:spacing w:after="0" w:line="313" w:lineRule="auto"/>
        <w:tabs>
          <w:tab w:leader="none" w:pos="16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620" w:right="100" w:hanging="329"/>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20" w:hanging="329"/>
        <w:spacing w:after="0" w:line="282"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29"/>
        <w:spacing w:after="0" w:line="282"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2015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Van Handel,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20" w:hanging="317"/>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80" w:hanging="317"/>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2015</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1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2015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2015</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Jonas Prising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76"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62" w:lineRule="exact"/>
        <w:rPr>
          <w:sz w:val="20"/>
          <w:szCs w:val="20"/>
          <w:color w:val="auto"/>
        </w:rPr>
      </w:pPr>
    </w:p>
    <w:p>
      <w:pPr>
        <w:ind w:left="660" w:right="1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2015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2015</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3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1"/>
      <w:numFmt w:val="lowerLetter"/>
      <w:start w:val="1"/>
    </w:lvl>
    <w:lvl w:ilvl="1">
      <w:lvlJc w:val="left"/>
      <w:lvlText w:val="(%2)"/>
      <w:numFmt w:val="lowerLetter"/>
      <w:start w:val="1"/>
    </w:lvl>
  </w:abstractNum>
  <w:abstractNum w:abstractNumId="19">
    <w:nsid w:val="54E49EB4"/>
    <w:multiLevelType w:val="hybridMultilevel"/>
    <w:lvl w:ilvl="0">
      <w:lvlJc w:val="left"/>
      <w:lvlText w:val="(%1)"/>
      <w:numFmt w:val="lowerLetter"/>
      <w:start w:val="2"/>
    </w:lvl>
    <w:lvl w:ilvl="1">
      <w:lvlJc w:val="left"/>
      <w:lvlText w:val="%2"/>
      <w:numFmt w:val="lowerLetter"/>
      <w:start w:val="1"/>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2019-12-29T16:28:49Z</dcterms:created>
  <dcterms:modified xsi:type="dcterms:W3CDTF">2019-12-29T16:28:49Z</dcterms:modified>
</cp:coreProperties>
</file>