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us56418h1005_030624.txt</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6"/>
          <w:szCs w:val="16"/>
          <w:color w:val="auto"/>
        </w:rPr>
        <w:t>)</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MANPOWERGROUP INC</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(Name of Issuer)</w:t>
      </w:r>
    </w:p>
    <w:p>
      <w:pPr>
        <w:spacing w:after="0" w:line="169" w:lineRule="exact"/>
        <w:rPr>
          <w:sz w:val="24"/>
          <w:szCs w:val="24"/>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(Title of Class of Securities)</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56418H100</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(CUSIP Number)</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February 29, 2024</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169" w:lineRule="exact"/>
        <w:rPr>
          <w:sz w:val="24"/>
          <w:szCs w:val="24"/>
          <w:color w:val="auto"/>
        </w:rPr>
      </w:pPr>
    </w:p>
    <w:p>
      <w:pPr>
        <w:ind w:right="3919"/>
        <w:spacing w:after="0" w:line="346"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 w:lineRule="exact"/>
        <w:rPr>
          <w:sz w:val="24"/>
          <w:szCs w:val="24"/>
          <w:color w:val="auto"/>
        </w:rPr>
      </w:pPr>
    </w:p>
    <w:p>
      <w:pPr>
        <w:jc w:val="both"/>
        <w:ind w:right="8339" w:firstLine="8"/>
        <w:spacing w:after="0" w:line="344"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23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*The remainder of this cover page shall be filled out</w:t>
      </w:r>
    </w:p>
    <w:p>
      <w:pPr>
        <w:spacing w:after="0" w:line="31" w:lineRule="exact"/>
        <w:rPr>
          <w:sz w:val="24"/>
          <w:szCs w:val="24"/>
          <w:color w:val="auto"/>
        </w:rPr>
      </w:pPr>
    </w:p>
    <w:p>
      <w:pPr>
        <w:ind w:right="4119"/>
        <w:spacing w:after="0" w:line="268" w:lineRule="auto"/>
        <w:rPr>
          <w:sz w:val="20"/>
          <w:szCs w:val="20"/>
          <w:color w:val="auto"/>
        </w:rPr>
      </w:pPr>
      <w:r>
        <w:rPr>
          <w:rFonts w:ascii="Courier New" w:cs="Courier New" w:eastAsia="Courier New" w:hAnsi="Courier New"/>
          <w:sz w:val="16"/>
          <w:szCs w:val="16"/>
          <w:color w:val="auto"/>
        </w:rPr>
        <w:t>for a reporting person's initial filing on this form with respect to the subject class of securities, and for any subsequent amendment containing information which</w:t>
      </w:r>
    </w:p>
    <w:p>
      <w:pPr>
        <w:spacing w:after="0"/>
        <w:rPr>
          <w:sz w:val="20"/>
          <w:szCs w:val="20"/>
          <w:color w:val="auto"/>
        </w:rPr>
      </w:pPr>
      <w:r>
        <w:rPr>
          <w:rFonts w:ascii="Courier New" w:cs="Courier New" w:eastAsia="Courier New" w:hAnsi="Courier New"/>
          <w:sz w:val="18"/>
          <w:szCs w:val="18"/>
          <w:color w:val="auto"/>
        </w:rPr>
        <w:t>would alter the disclosures provided in a prior cover page.</w:t>
      </w:r>
    </w:p>
    <w:p>
      <w:pPr>
        <w:spacing w:after="0" w:line="169" w:lineRule="exact"/>
        <w:rPr>
          <w:sz w:val="24"/>
          <w:szCs w:val="24"/>
          <w:color w:val="auto"/>
        </w:rPr>
      </w:pPr>
    </w:p>
    <w:p>
      <w:pPr>
        <w:ind w:right="4339"/>
        <w:spacing w:after="0" w:line="298"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7"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56418H100</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(1)Names of reporting persons. BlackRock, Inc.</w:t>
      </w:r>
    </w:p>
    <w:p>
      <w:pPr>
        <w:spacing w:after="0" w:line="200" w:lineRule="exact"/>
        <w:rPr>
          <w:sz w:val="24"/>
          <w:szCs w:val="24"/>
          <w:color w:val="auto"/>
        </w:rPr>
      </w:pPr>
    </w:p>
    <w:p>
      <w:pPr>
        <w:spacing w:after="0" w:line="204" w:lineRule="exact"/>
        <w:rPr>
          <w:sz w:val="24"/>
          <w:szCs w:val="24"/>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30"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 [  ]</w:t>
      </w: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(b) [X]</w:t>
      </w:r>
    </w:p>
    <w:p>
      <w:pPr>
        <w:spacing w:after="0" w:line="37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Delaware</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24" w:lineRule="exact"/>
        <w:rPr>
          <w:sz w:val="24"/>
          <w:szCs w:val="24"/>
          <w:color w:val="auto"/>
        </w:rPr>
      </w:pPr>
    </w:p>
    <w:p>
      <w:pPr>
        <w:ind w:left="120" w:right="7919" w:hanging="112"/>
        <w:spacing w:after="0" w:line="476" w:lineRule="auto"/>
        <w:tabs>
          <w:tab w:leader="none" w:pos="43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4852241</w:t>
      </w:r>
    </w:p>
    <w:p>
      <w:pPr>
        <w:spacing w:after="0" w:line="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w:t>
      </w:r>
    </w:p>
    <w:p>
      <w:pPr>
        <w:sectPr>
          <w:pgSz w:w="11900" w:h="16838" w:orient="portrait"/>
          <w:cols w:equalWidth="0" w:num="1">
            <w:col w:w="10139"/>
          </w:cols>
          <w:pgMar w:left="320" w:top="218" w:right="1440" w:bottom="0" w:gutter="0" w:footer="0" w:header="0"/>
        </w:sectPr>
      </w:pPr>
    </w:p>
    <w:bookmarkStart w:id="1" w:name="page2"/>
    <w:bookmarkEnd w:id="1"/>
    <w:p>
      <w:pPr>
        <w:ind w:left="120"/>
        <w:spacing w:after="0"/>
        <w:rPr>
          <w:sz w:val="20"/>
          <w:szCs w:val="20"/>
          <w:color w:val="auto"/>
        </w:rPr>
      </w:pPr>
      <w:r>
        <w:rPr>
          <w:rFonts w:ascii="Courier New" w:cs="Courier New" w:eastAsia="Courier New" w:hAnsi="Courier New"/>
          <w:sz w:val="18"/>
          <w:szCs w:val="18"/>
          <w:color w:val="auto"/>
        </w:rPr>
        <w:t>5075345</w:t>
      </w:r>
    </w:p>
    <w:p>
      <w:pPr>
        <w:spacing w:after="0" w:line="201" w:lineRule="exact"/>
        <w:rPr>
          <w:sz w:val="20"/>
          <w:szCs w:val="20"/>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1" w:lineRule="exact"/>
        <w:rPr>
          <w:rFonts w:ascii="Courier New" w:cs="Courier New" w:eastAsia="Courier New" w:hAnsi="Courier New"/>
          <w:sz w:val="18"/>
          <w:szCs w:val="18"/>
          <w:color w:val="auto"/>
        </w:rPr>
      </w:pPr>
    </w:p>
    <w:p>
      <w:pPr>
        <w:ind w:left="120" w:right="3399" w:hanging="112"/>
        <w:spacing w:after="0" w:line="476" w:lineRule="auto"/>
        <w:tabs>
          <w:tab w:leader="none" w:pos="436"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5075345</w:t>
      </w:r>
    </w:p>
    <w:p>
      <w:pPr>
        <w:spacing w:after="0" w:line="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10.5%</w:t>
      </w:r>
    </w:p>
    <w:p>
      <w:pPr>
        <w:spacing w:after="0" w:line="201" w:lineRule="exact"/>
        <w:rPr>
          <w:sz w:val="20"/>
          <w:szCs w:val="20"/>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HC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MANPOWERGROUP INC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100 MANPOWER PLACE</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MILWAUKEE WI 53212</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2(a) Name of person filing:</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BlackRock, Inc.</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2(b) Address or principal business office or, if none, residence:</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38" w:lineRule="auto"/>
        <w:rPr>
          <w:sz w:val="20"/>
          <w:szCs w:val="20"/>
          <w:color w:val="auto"/>
        </w:rPr>
      </w:pPr>
      <w:r>
        <w:rPr>
          <w:rFonts w:ascii="Courier New" w:cs="Courier New" w:eastAsia="Courier New" w:hAnsi="Courier New"/>
          <w:sz w:val="18"/>
          <w:szCs w:val="18"/>
          <w:color w:val="auto"/>
        </w:rPr>
        <w:t>50 Hudson Yards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New York, NY 10001</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2(c) Citizenship:</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ind w:left="120"/>
        <w:spacing w:after="0"/>
        <w:rPr>
          <w:sz w:val="20"/>
          <w:szCs w:val="20"/>
          <w:color w:val="auto"/>
        </w:rPr>
      </w:pPr>
      <w:r>
        <w:rPr>
          <w:rFonts w:ascii="Courier New" w:cs="Courier New" w:eastAsia="Courier New" w:hAnsi="Courier New"/>
          <w:sz w:val="18"/>
          <w:szCs w:val="18"/>
          <w:color w:val="auto"/>
        </w:rPr>
        <w:t>See Item 4 of Cover Page</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2(d) Title of class of securities:</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2(e) CUSIP No.:</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Cover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01" w:lineRule="exact"/>
        <w:rPr>
          <w:sz w:val="20"/>
          <w:szCs w:val="20"/>
          <w:color w:val="auto"/>
        </w:rPr>
      </w:pPr>
    </w:p>
    <w:p>
      <w:pPr>
        <w:ind w:right="2339"/>
        <w:spacing w:after="0" w:line="257" w:lineRule="auto"/>
        <w:rPr>
          <w:sz w:val="20"/>
          <w:szCs w:val="20"/>
          <w:color w:val="auto"/>
        </w:rPr>
      </w:pPr>
      <w:r>
        <w:rPr>
          <w:rFonts w:ascii="Courier New" w:cs="Courier New" w:eastAsia="Courier New" w:hAnsi="Courier New"/>
          <w:sz w:val="18"/>
          <w:szCs w:val="18"/>
          <w:color w:val="auto"/>
        </w:rPr>
        <w:t>If this statement is filed pursuant to Rules 13d-1(b), or 13d-2(b) or (c), check whether the person filing is a:</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Bank as defined in Section 3(a)(6)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3(a)(19) of the Act;</w:t>
      </w:r>
    </w:p>
    <w:p>
      <w:pPr>
        <w:ind w:right="4239" w:firstLine="8"/>
        <w:spacing w:after="0" w:line="238"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w:t>
      </w:r>
    </w:p>
    <w:p>
      <w:pPr>
        <w:ind w:left="220" w:hanging="212"/>
        <w:spacing w:after="0"/>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investment adviser in accordance with Rule 13d-1(b)(1)(ii)(E);</w:t>
      </w:r>
    </w:p>
    <w:p>
      <w:pPr>
        <w:sectPr>
          <w:pgSz w:w="11900" w:h="16838" w:orient="portrait"/>
          <w:cols w:equalWidth="0" w:num="1">
            <w:col w:w="10139"/>
          </w:cols>
          <w:pgMar w:left="320" w:top="110" w:right="1440" w:bottom="0" w:gutter="0" w:footer="0" w:header="0"/>
        </w:sectPr>
      </w:pPr>
    </w:p>
    <w:bookmarkStart w:id="2" w:name="page3"/>
    <w:bookmarkEnd w:id="2"/>
    <w:p>
      <w:pPr>
        <w:ind w:left="1280" w:right="3279" w:hanging="1272"/>
        <w:spacing w:after="0" w:line="257" w:lineRule="auto"/>
        <w:tabs>
          <w:tab w:leader="none" w:pos="227"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employee benefit plan or endowment fund in accordance with Rule 13d-1(b)(1)(ii)(F);</w:t>
      </w:r>
    </w:p>
    <w:p>
      <w:pPr>
        <w:ind w:left="1280" w:right="3279" w:hanging="1272"/>
        <w:spacing w:after="0" w:line="238" w:lineRule="auto"/>
        <w:tabs>
          <w:tab w:leader="none" w:pos="438"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parent holding company or control person in accordance with Rule 13d-1(b)(1)(ii)(G);</w:t>
      </w:r>
    </w:p>
    <w:p>
      <w:pPr>
        <w:spacing w:after="0" w:line="1" w:lineRule="exact"/>
        <w:rPr>
          <w:sz w:val="20"/>
          <w:szCs w:val="20"/>
          <w:color w:val="auto"/>
        </w:rPr>
      </w:pPr>
    </w:p>
    <w:p>
      <w:pPr>
        <w:ind w:left="1280" w:right="2979" w:hanging="1263"/>
        <w:spacing w:after="0" w:line="238" w:lineRule="auto"/>
        <w:rPr>
          <w:sz w:val="20"/>
          <w:szCs w:val="20"/>
          <w:color w:val="auto"/>
        </w:rPr>
      </w:pPr>
      <w:r>
        <w:rPr>
          <w:rFonts w:ascii="Courier New" w:cs="Courier New" w:eastAsia="Courier New" w:hAnsi="Courier New"/>
          <w:sz w:val="18"/>
          <w:szCs w:val="18"/>
          <w:color w:val="auto"/>
        </w:rPr>
        <w:t>[ ] A savings associations as defined in Section 3(b) of the Federal Deposit Insurance Act (12 U.S.C. 1813);</w:t>
      </w:r>
    </w:p>
    <w:p>
      <w:pPr>
        <w:spacing w:after="0"/>
        <w:rPr>
          <w:sz w:val="20"/>
          <w:szCs w:val="20"/>
          <w:color w:val="auto"/>
        </w:rPr>
      </w:pPr>
      <w:r>
        <w:rPr>
          <w:rFonts w:ascii="Courier New" w:cs="Courier New" w:eastAsia="Courier New" w:hAnsi="Courier New"/>
          <w:sz w:val="18"/>
          <w:szCs w:val="18"/>
          <w:color w:val="auto"/>
        </w:rPr>
        <w:t>[ ] A church plan that is excluded from the definition of an</w:t>
      </w:r>
    </w:p>
    <w:p>
      <w:pPr>
        <w:ind w:left="1280" w:right="1819"/>
        <w:spacing w:after="0" w:line="238" w:lineRule="auto"/>
        <w:rPr>
          <w:sz w:val="20"/>
          <w:szCs w:val="20"/>
          <w:color w:val="auto"/>
        </w:rPr>
      </w:pPr>
      <w:r>
        <w:rPr>
          <w:rFonts w:ascii="Courier New" w:cs="Courier New" w:eastAsia="Courier New" w:hAnsi="Courier New"/>
          <w:sz w:val="18"/>
          <w:szCs w:val="18"/>
          <w:color w:val="auto"/>
        </w:rPr>
        <w:t>investment company under section 3(c)(14) of the Investment Company Act of 1940;</w:t>
      </w:r>
    </w:p>
    <w:p>
      <w:pPr>
        <w:spacing w:after="0" w:line="1" w:lineRule="exact"/>
        <w:rPr>
          <w:sz w:val="20"/>
          <w:szCs w:val="20"/>
          <w:color w:val="auto"/>
        </w:rPr>
      </w:pPr>
    </w:p>
    <w:p>
      <w:pPr>
        <w:ind w:left="1280" w:right="5399" w:hanging="1272"/>
        <w:spacing w:after="0" w:line="268" w:lineRule="auto"/>
        <w:tabs>
          <w:tab w:leader="none" w:pos="227"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 A non-U.S. institution in accordance with Rule 240.13d-1(b)(1)(ii)(J);</w:t>
      </w:r>
    </w:p>
    <w:p>
      <w:pPr>
        <w:ind w:left="1280" w:right="2979" w:hanging="1272"/>
        <w:spacing w:after="0" w:line="238" w:lineRule="auto"/>
        <w:tabs>
          <w:tab w:leader="none" w:pos="227"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Rule 240.13d-1(b)(1)(ii)(K). If filing as a non-U.S. institution in accordance with</w:t>
      </w:r>
    </w:p>
    <w:p>
      <w:pPr>
        <w:ind w:left="1280" w:right="3079"/>
        <w:spacing w:after="0" w:line="309"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Rule 240.13d-1(b)(1)(ii)(J), please specify the type of institution:</w:t>
      </w:r>
    </w:p>
    <w:p>
      <w:pPr>
        <w:spacing w:after="0" w:line="25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Provide the following information regarding the aggregate number</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and percentage of the class of securities of the issuer identified in Item 1.</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Amount beneficially owned:</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5075345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Percent of class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10.5%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4852241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5075345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w:t>
      </w:r>
    </w:p>
    <w:p>
      <w:pPr>
        <w:spacing w:after="0" w:line="201" w:lineRule="exact"/>
        <w:rPr>
          <w:sz w:val="20"/>
          <w:szCs w:val="20"/>
          <w:color w:val="auto"/>
        </w:rPr>
      </w:pPr>
    </w:p>
    <w:p>
      <w:pPr>
        <w:ind w:right="2559"/>
        <w:spacing w:after="0" w:line="274" w:lineRule="auto"/>
        <w:rPr>
          <w:sz w:val="20"/>
          <w:szCs w:val="20"/>
          <w:color w:val="auto"/>
        </w:rPr>
      </w:pPr>
      <w:r>
        <w:rPr>
          <w:rFonts w:ascii="Courier New" w:cs="Courier New" w:eastAsia="Courier New" w:hAnsi="Courier New"/>
          <w:sz w:val="18"/>
          <w:szCs w:val="18"/>
          <w:color w:val="auto"/>
        </w:rPr>
        <w:t>Ownership of 5 Percent or Less of a Class. If this statement is being filed to report the fact that as of the date hereof the reporting person has ceased to be the beneficial owner of more than 5 percent of the class of securities, check the following [ ].</w:t>
      </w:r>
    </w:p>
    <w:p>
      <w:pPr>
        <w:spacing w:after="0" w:line="28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5 Percent on Behalf of Another Person</w:t>
      </w:r>
    </w:p>
    <w:p>
      <w:pPr>
        <w:spacing w:after="0" w:line="201" w:lineRule="exact"/>
        <w:rPr>
          <w:sz w:val="20"/>
          <w:szCs w:val="20"/>
          <w:color w:val="auto"/>
        </w:rPr>
      </w:pPr>
    </w:p>
    <w:p>
      <w:pPr>
        <w:ind w:left="220" w:right="2119"/>
        <w:spacing w:after="0" w:line="253" w:lineRule="auto"/>
        <w:rPr>
          <w:sz w:val="20"/>
          <w:szCs w:val="20"/>
          <w:color w:val="auto"/>
        </w:rPr>
      </w:pPr>
      <w:r>
        <w:rPr>
          <w:rFonts w:ascii="Courier New" w:cs="Courier New" w:eastAsia="Courier New" w:hAnsi="Courier New"/>
          <w:sz w:val="18"/>
          <w:szCs w:val="18"/>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103" w:lineRule="exact"/>
        <w:rPr>
          <w:sz w:val="20"/>
          <w:szCs w:val="20"/>
          <w:color w:val="auto"/>
        </w:rPr>
      </w:pPr>
    </w:p>
    <w:p>
      <w:pPr>
        <w:jc w:val="both"/>
        <w:ind w:left="320" w:right="3179" w:hanging="104"/>
        <w:spacing w:after="0" w:line="250" w:lineRule="auto"/>
        <w:rPr>
          <w:sz w:val="20"/>
          <w:szCs w:val="20"/>
          <w:color w:val="auto"/>
        </w:rPr>
      </w:pPr>
      <w:r>
        <w:rPr>
          <w:rFonts w:ascii="Courier New" w:cs="Courier New" w:eastAsia="Courier New" w:hAnsi="Courier New"/>
          <w:sz w:val="18"/>
          <w:szCs w:val="18"/>
          <w:color w:val="auto"/>
        </w:rPr>
        <w:t>Various persons have the right to receive or the power to direct the receipt of dividends from, or the proceeds from the sale of the common stock of</w:t>
      </w:r>
    </w:p>
    <w:p>
      <w:pPr>
        <w:spacing w:after="0" w:line="1"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MANPOWERGROUP INC.</w:t>
      </w:r>
    </w:p>
    <w:p>
      <w:pPr>
        <w:ind w:left="320"/>
        <w:spacing w:after="0"/>
        <w:rPr>
          <w:sz w:val="20"/>
          <w:szCs w:val="20"/>
          <w:color w:val="auto"/>
        </w:rPr>
      </w:pPr>
      <w:r>
        <w:rPr>
          <w:rFonts w:ascii="Courier New" w:cs="Courier New" w:eastAsia="Courier New" w:hAnsi="Courier New"/>
          <w:sz w:val="18"/>
          <w:szCs w:val="18"/>
          <w:color w:val="auto"/>
        </w:rPr>
        <w:t>No one person's interest in the common stock of</w:t>
      </w:r>
    </w:p>
    <w:p>
      <w:pPr>
        <w:sectPr>
          <w:pgSz w:w="11900" w:h="16838" w:orient="portrait"/>
          <w:cols w:equalWidth="0" w:num="1">
            <w:col w:w="10139"/>
          </w:cols>
          <w:pgMar w:left="320" w:top="110" w:right="1440" w:bottom="0" w:gutter="0" w:footer="0" w:header="0"/>
        </w:sectPr>
      </w:pPr>
    </w:p>
    <w:bookmarkStart w:id="3" w:name="page4"/>
    <w:bookmarkEnd w:id="3"/>
    <w:p>
      <w:pPr>
        <w:ind w:left="320"/>
        <w:spacing w:after="0"/>
        <w:rPr>
          <w:sz w:val="20"/>
          <w:szCs w:val="20"/>
          <w:color w:val="auto"/>
        </w:rPr>
      </w:pPr>
      <w:r>
        <w:rPr>
          <w:rFonts w:ascii="Courier New" w:cs="Courier New" w:eastAsia="Courier New" w:hAnsi="Courier New"/>
          <w:sz w:val="18"/>
          <w:szCs w:val="18"/>
          <w:color w:val="auto"/>
        </w:rPr>
        <w:t>MANPOWERGROUP INC</w:t>
      </w:r>
    </w:p>
    <w:p>
      <w:pPr>
        <w:spacing w:after="0" w:line="31"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is more than five percent of the total outstanding common shares.</w:t>
      </w:r>
    </w:p>
    <w:p>
      <w:pPr>
        <w:spacing w:after="0" w:line="169" w:lineRule="exact"/>
        <w:rPr>
          <w:sz w:val="20"/>
          <w:szCs w:val="20"/>
          <w:color w:val="auto"/>
        </w:rPr>
      </w:pPr>
    </w:p>
    <w:p>
      <w:pPr>
        <w:ind w:right="3279"/>
        <w:spacing w:after="0" w:line="292"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or Control Person.</w:t>
      </w:r>
    </w:p>
    <w:p>
      <w:pPr>
        <w:spacing w:after="0" w:line="26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Exhibit 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700" w:type="dxa"/>
            <w:vAlign w:val="bottom"/>
            <w:gridSpan w:val="4"/>
          </w:tcPr>
          <w:p>
            <w:pPr>
              <w:spacing w:after="0"/>
              <w:rPr>
                <w:sz w:val="20"/>
                <w:szCs w:val="20"/>
                <w:color w:val="auto"/>
              </w:rPr>
            </w:pPr>
            <w:r>
              <w:rPr>
                <w:rFonts w:ascii="Courier New" w:cs="Courier New" w:eastAsia="Courier New" w:hAnsi="Courier New"/>
                <w:sz w:val="18"/>
                <w:szCs w:val="18"/>
                <w:color w:val="auto"/>
                <w:w w:val="99"/>
              </w:rPr>
              <w:t>If a group has filed this</w:t>
            </w:r>
          </w:p>
        </w:tc>
        <w:tc>
          <w:tcPr>
            <w:tcW w:w="1880" w:type="dxa"/>
            <w:vAlign w:val="bottom"/>
            <w:gridSpan w:val="2"/>
          </w:tcPr>
          <w:p>
            <w:pPr>
              <w:ind w:left="40"/>
              <w:spacing w:after="0"/>
              <w:rPr>
                <w:sz w:val="20"/>
                <w:szCs w:val="20"/>
                <w:color w:val="auto"/>
              </w:rPr>
            </w:pPr>
            <w:r>
              <w:rPr>
                <w:rFonts w:ascii="Courier New" w:cs="Courier New" w:eastAsia="Courier New" w:hAnsi="Courier New"/>
                <w:sz w:val="18"/>
                <w:szCs w:val="18"/>
                <w:color w:val="auto"/>
                <w:w w:val="99"/>
              </w:rPr>
              <w:t>schedule pursuant</w:t>
            </w:r>
          </w:p>
        </w:tc>
        <w:tc>
          <w:tcPr>
            <w:tcW w:w="2800" w:type="dxa"/>
            <w:vAlign w:val="bottom"/>
            <w:gridSpan w:val="3"/>
          </w:tcPr>
          <w:p>
            <w:pPr>
              <w:ind w:left="60"/>
              <w:spacing w:after="0"/>
              <w:rPr>
                <w:sz w:val="20"/>
                <w:szCs w:val="20"/>
                <w:color w:val="auto"/>
              </w:rPr>
            </w:pPr>
            <w:r>
              <w:rPr>
                <w:rFonts w:ascii="Courier New" w:cs="Courier New" w:eastAsia="Courier New" w:hAnsi="Courier New"/>
                <w:sz w:val="18"/>
                <w:szCs w:val="18"/>
                <w:color w:val="auto"/>
              </w:rPr>
              <w:t>to Rule 13d-1(b)(ii)(J),</w:t>
            </w:r>
          </w:p>
        </w:tc>
      </w:tr>
      <w:tr>
        <w:trPr>
          <w:trHeight w:val="203"/>
        </w:trPr>
        <w:tc>
          <w:tcPr>
            <w:tcW w:w="18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so indicate under</w:t>
            </w:r>
          </w:p>
        </w:tc>
        <w:tc>
          <w:tcPr>
            <w:tcW w:w="246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6"/>
              </w:rPr>
              <w:t>Item 3(j) and attach an</w:t>
            </w:r>
          </w:p>
        </w:tc>
        <w:tc>
          <w:tcPr>
            <w:tcW w:w="90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exhibit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stating</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the identity</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and</w:t>
            </w:r>
          </w:p>
        </w:tc>
        <w:tc>
          <w:tcPr>
            <w:tcW w:w="2320" w:type="dxa"/>
            <w:vAlign w:val="bottom"/>
            <w:gridSpan w:val="3"/>
          </w:tcPr>
          <w:p>
            <w:pPr>
              <w:ind w:left="40"/>
              <w:spacing w:after="0" w:line="203" w:lineRule="exact"/>
              <w:rPr>
                <w:sz w:val="20"/>
                <w:szCs w:val="20"/>
                <w:color w:val="auto"/>
              </w:rPr>
            </w:pPr>
            <w:r>
              <w:rPr>
                <w:rFonts w:ascii="Courier New" w:cs="Courier New" w:eastAsia="Courier New" w:hAnsi="Courier New"/>
                <w:sz w:val="18"/>
                <w:szCs w:val="18"/>
                <w:color w:val="auto"/>
                <w:w w:val="99"/>
              </w:rPr>
              <w:t>Item 3 classification</w:t>
            </w:r>
          </w:p>
        </w:tc>
        <w:tc>
          <w:tcPr>
            <w:tcW w:w="1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 each member</w:t>
            </w:r>
          </w:p>
        </w:tc>
        <w:tc>
          <w:tcPr>
            <w:tcW w:w="260" w:type="dxa"/>
            <w:vAlign w:val="bottom"/>
          </w:tcPr>
          <w:p>
            <w:pPr>
              <w:spacing w:after="0" w:line="203" w:lineRule="exact"/>
              <w:rPr>
                <w:sz w:val="20"/>
                <w:szCs w:val="20"/>
                <w:color w:val="auto"/>
              </w:rPr>
            </w:pPr>
            <w:r>
              <w:rPr>
                <w:rFonts w:ascii="Courier New" w:cs="Courier New" w:eastAsia="Courier New" w:hAnsi="Courier New"/>
                <w:sz w:val="18"/>
                <w:szCs w:val="18"/>
                <w:color w:val="auto"/>
              </w:rPr>
              <w:t>of</w:t>
            </w:r>
          </w:p>
        </w:tc>
        <w:tc>
          <w:tcPr>
            <w:tcW w:w="14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the group. If</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 group</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has</w:t>
            </w:r>
          </w:p>
        </w:tc>
        <w:tc>
          <w:tcPr>
            <w:tcW w:w="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filed</w:t>
            </w:r>
          </w:p>
        </w:tc>
        <w:tc>
          <w:tcPr>
            <w:tcW w:w="332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w w:val="99"/>
              </w:rPr>
              <w:t>this schedule pursuant to Rule</w:t>
            </w:r>
          </w:p>
        </w:tc>
        <w:tc>
          <w:tcPr>
            <w:tcW w:w="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13d-1(c)</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or Rule</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13d-1(d),</w:t>
            </w:r>
          </w:p>
        </w:tc>
      </w:tr>
      <w:tr>
        <w:trPr>
          <w:trHeight w:val="296"/>
        </w:trPr>
        <w:tc>
          <w:tcPr>
            <w:tcW w:w="1000" w:type="dxa"/>
            <w:vAlign w:val="bottom"/>
            <w:gridSpan w:val="2"/>
          </w:tcPr>
          <w:p>
            <w:pPr>
              <w:spacing w:after="0"/>
              <w:rPr>
                <w:sz w:val="20"/>
                <w:szCs w:val="20"/>
                <w:color w:val="auto"/>
              </w:rPr>
            </w:pPr>
            <w:r>
              <w:rPr>
                <w:rFonts w:ascii="Courier New" w:cs="Courier New" w:eastAsia="Courier New" w:hAnsi="Courier New"/>
                <w:sz w:val="18"/>
                <w:szCs w:val="18"/>
                <w:color w:val="auto"/>
              </w:rPr>
              <w:t>attach an</w:t>
            </w:r>
          </w:p>
        </w:tc>
        <w:tc>
          <w:tcPr>
            <w:tcW w:w="860" w:type="dxa"/>
            <w:vAlign w:val="bottom"/>
          </w:tcPr>
          <w:p>
            <w:pPr>
              <w:ind w:left="60"/>
              <w:spacing w:after="0"/>
              <w:rPr>
                <w:sz w:val="20"/>
                <w:szCs w:val="20"/>
                <w:color w:val="auto"/>
              </w:rPr>
            </w:pPr>
            <w:r>
              <w:rPr>
                <w:rFonts w:ascii="Courier New" w:cs="Courier New" w:eastAsia="Courier New" w:hAnsi="Courier New"/>
                <w:sz w:val="18"/>
                <w:szCs w:val="18"/>
                <w:color w:val="auto"/>
              </w:rPr>
              <w:t>exhibit</w:t>
            </w:r>
          </w:p>
        </w:tc>
        <w:tc>
          <w:tcPr>
            <w:tcW w:w="840" w:type="dxa"/>
            <w:vAlign w:val="bottom"/>
          </w:tcPr>
          <w:p>
            <w:pPr>
              <w:ind w:left="40"/>
              <w:spacing w:after="0"/>
              <w:rPr>
                <w:sz w:val="20"/>
                <w:szCs w:val="20"/>
                <w:color w:val="auto"/>
              </w:rPr>
            </w:pPr>
            <w:r>
              <w:rPr>
                <w:rFonts w:ascii="Courier New" w:cs="Courier New" w:eastAsia="Courier New" w:hAnsi="Courier New"/>
                <w:sz w:val="18"/>
                <w:szCs w:val="18"/>
                <w:color w:val="auto"/>
              </w:rPr>
              <w:t>stating</w:t>
            </w:r>
          </w:p>
        </w:tc>
        <w:tc>
          <w:tcPr>
            <w:tcW w:w="1620" w:type="dxa"/>
            <w:vAlign w:val="bottom"/>
          </w:tcPr>
          <w:p>
            <w:pPr>
              <w:ind w:left="40"/>
              <w:spacing w:after="0"/>
              <w:rPr>
                <w:sz w:val="20"/>
                <w:szCs w:val="20"/>
                <w:color w:val="auto"/>
              </w:rPr>
            </w:pPr>
            <w:r>
              <w:rPr>
                <w:rFonts w:ascii="Courier New" w:cs="Courier New" w:eastAsia="Courier New" w:hAnsi="Courier New"/>
                <w:sz w:val="18"/>
                <w:szCs w:val="18"/>
                <w:color w:val="auto"/>
                <w:w w:val="96"/>
              </w:rPr>
              <w:t>the identity of</w:t>
            </w:r>
          </w:p>
        </w:tc>
        <w:tc>
          <w:tcPr>
            <w:tcW w:w="3060" w:type="dxa"/>
            <w:vAlign w:val="bottom"/>
            <w:gridSpan w:val="4"/>
          </w:tcPr>
          <w:p>
            <w:pPr>
              <w:ind w:left="120"/>
              <w:spacing w:after="0"/>
              <w:rPr>
                <w:sz w:val="20"/>
                <w:szCs w:val="20"/>
                <w:color w:val="auto"/>
              </w:rPr>
            </w:pPr>
            <w:r>
              <w:rPr>
                <w:rFonts w:ascii="Courier New" w:cs="Courier New" w:eastAsia="Courier New" w:hAnsi="Courier New"/>
                <w:sz w:val="18"/>
                <w:szCs w:val="18"/>
                <w:color w:val="auto"/>
              </w:rPr>
              <w:t>each member of the group.</w:t>
            </w:r>
          </w:p>
        </w:tc>
      </w:tr>
    </w:tbl>
    <w:p>
      <w:pPr>
        <w:spacing w:after="0" w:line="3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1" w:lineRule="exact"/>
        <w:rPr>
          <w:sz w:val="20"/>
          <w:szCs w:val="20"/>
          <w:color w:val="auto"/>
        </w:rPr>
      </w:pPr>
    </w:p>
    <w:p>
      <w:pPr>
        <w:ind w:right="2859"/>
        <w:spacing w:after="0" w:line="318" w:lineRule="auto"/>
        <w:rPr>
          <w:sz w:val="20"/>
          <w:szCs w:val="20"/>
          <w:color w:val="auto"/>
        </w:rPr>
      </w:pPr>
      <w:r>
        <w:rPr>
          <w:rFonts w:ascii="Courier New" w:cs="Courier New" w:eastAsia="Courier New" w:hAnsi="Courier New"/>
          <w:sz w:val="16"/>
          <w:szCs w:val="16"/>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w:t>
      </w:r>
    </w:p>
    <w:p>
      <w:pPr>
        <w:spacing w:after="0" w:line="5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Item 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31" w:lineRule="exact"/>
        <w:rPr>
          <w:sz w:val="20"/>
          <w:szCs w:val="20"/>
          <w:color w:val="auto"/>
        </w:rPr>
      </w:pPr>
    </w:p>
    <w:p>
      <w:pPr>
        <w:ind w:right="3399"/>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w:t>
      </w:r>
    </w:p>
    <w:p>
      <w:pPr>
        <w:ind w:right="2979"/>
        <w:spacing w:after="0" w:line="261" w:lineRule="auto"/>
        <w:rPr>
          <w:sz w:val="20"/>
          <w:szCs w:val="20"/>
          <w:color w:val="auto"/>
        </w:rPr>
      </w:pPr>
      <w:r>
        <w:rPr>
          <w:rFonts w:ascii="Courier New" w:cs="Courier New" w:eastAsia="Courier New" w:hAnsi="Courier New"/>
          <w:sz w:val="18"/>
          <w:szCs w:val="18"/>
          <w:color w:val="auto"/>
        </w:rPr>
        <w:t>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9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ind w:right="3179"/>
        <w:spacing w:after="0" w:line="292"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6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March 6, 2024</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169"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Signature:</w:t>
        <w:tab/>
        <w:t>Spencer Fleming</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Name/Title Attorney-In-Fact</w:t>
      </w:r>
    </w:p>
    <w:p>
      <w:pPr>
        <w:spacing w:after="0" w:line="200" w:lineRule="exact"/>
        <w:rPr>
          <w:sz w:val="20"/>
          <w:szCs w:val="20"/>
          <w:color w:val="auto"/>
        </w:rPr>
      </w:pPr>
    </w:p>
    <w:p>
      <w:pPr>
        <w:spacing w:after="0" w:line="204" w:lineRule="exact"/>
        <w:rPr>
          <w:sz w:val="20"/>
          <w:szCs w:val="20"/>
          <w:color w:val="auto"/>
        </w:rPr>
      </w:pPr>
    </w:p>
    <w:p>
      <w:pPr>
        <w:ind w:right="3499"/>
        <w:spacing w:after="0" w:line="289" w:lineRule="auto"/>
        <w:rPr>
          <w:sz w:val="20"/>
          <w:szCs w:val="20"/>
          <w:color w:val="auto"/>
        </w:rPr>
      </w:pPr>
      <w:r>
        <w:rPr>
          <w:rFonts w:ascii="Courier New" w:cs="Courier New" w:eastAsia="Courier New" w:hAnsi="Courier New"/>
          <w:sz w:val="16"/>
          <w:szCs w:val="16"/>
          <w:color w:val="auto"/>
        </w:rPr>
        <w:t>The original statement shall be signed by each person on whose behalf the statement is filed or his authorized representative.</w:t>
      </w:r>
    </w:p>
    <w:p>
      <w:pPr>
        <w:ind w:right="3079"/>
        <w:spacing w:after="0" w:line="268" w:lineRule="auto"/>
        <w:rPr>
          <w:sz w:val="20"/>
          <w:szCs w:val="20"/>
          <w:color w:val="auto"/>
        </w:rPr>
      </w:pPr>
      <w:r>
        <w:rPr>
          <w:rFonts w:ascii="Courier New" w:cs="Courier New" w:eastAsia="Courier New" w:hAnsi="Courier New"/>
          <w:sz w:val="16"/>
          <w:szCs w:val="16"/>
          <w:color w:val="auto"/>
        </w:rPr>
        <w:t>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signs the statement shall be typed or printed beneath his signature.</w:t>
      </w:r>
    </w:p>
    <w:p>
      <w:pPr>
        <w:spacing w:after="0" w:line="200" w:lineRule="exact"/>
        <w:rPr>
          <w:sz w:val="20"/>
          <w:szCs w:val="20"/>
          <w:color w:val="auto"/>
        </w:rPr>
      </w:pPr>
    </w:p>
    <w:p>
      <w:pPr>
        <w:spacing w:after="0" w:line="374" w:lineRule="exact"/>
        <w:rPr>
          <w:sz w:val="20"/>
          <w:szCs w:val="20"/>
          <w:color w:val="auto"/>
        </w:rPr>
      </w:pPr>
    </w:p>
    <w:p>
      <w:pPr>
        <w:ind w:right="2979"/>
        <w:spacing w:after="0" w:line="346"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pacing w:after="0" w:line="22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ectPr>
          <w:pgSz w:w="11900" w:h="16838" w:orient="portrait"/>
          <w:cols w:equalWidth="0" w:num="1">
            <w:col w:w="10139"/>
          </w:cols>
          <w:pgMar w:left="320" w:top="110"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Subsidiary</w:t>
      </w:r>
    </w:p>
    <w:p>
      <w:pPr>
        <w:sectPr>
          <w:pgSz w:w="11900" w:h="16838" w:orient="portrait"/>
          <w:cols w:equalWidth="0" w:num="1">
            <w:col w:w="10139"/>
          </w:cols>
          <w:pgMar w:left="320" w:top="110" w:right="1440" w:bottom="0" w:gutter="0" w:footer="0" w:header="0"/>
          <w:type w:val="continuous"/>
        </w:sectPr>
      </w:pPr>
    </w:p>
    <w:bookmarkStart w:id="4" w:name="page5"/>
    <w:bookmarkEnd w:id="4"/>
    <w:p>
      <w:pPr>
        <w:ind w:left="120"/>
        <w:spacing w:after="0"/>
        <w:rPr>
          <w:sz w:val="20"/>
          <w:szCs w:val="20"/>
          <w:color w:val="auto"/>
        </w:rPr>
      </w:pPr>
      <w:r>
        <w:rPr>
          <w:rFonts w:ascii="Courier New" w:cs="Courier New" w:eastAsia="Courier New" w:hAnsi="Courier New"/>
          <w:sz w:val="18"/>
          <w:szCs w:val="18"/>
          <w:color w:val="auto"/>
        </w:rPr>
        <w:t>BlackRock Life Limited</w:t>
      </w:r>
    </w:p>
    <w:p>
      <w:pPr>
        <w:spacing w:after="0" w:line="29"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Aperio Group, LLC</w:t>
      </w:r>
    </w:p>
    <w:p>
      <w:pPr>
        <w:ind w:left="120"/>
        <w:spacing w:after="0" w:line="238" w:lineRule="auto"/>
        <w:rPr>
          <w:sz w:val="20"/>
          <w:szCs w:val="20"/>
          <w:color w:val="auto"/>
        </w:rPr>
      </w:pPr>
      <w:r>
        <w:rPr>
          <w:rFonts w:ascii="Courier New" w:cs="Courier New" w:eastAsia="Courier New" w:hAnsi="Courier New"/>
          <w:sz w:val="18"/>
          <w:szCs w:val="18"/>
          <w:color w:val="auto"/>
        </w:rPr>
        <w:t>BlackRock Advisors, LLC</w:t>
      </w:r>
    </w:p>
    <w:p>
      <w:pPr>
        <w:ind w:left="120"/>
        <w:spacing w:after="0" w:line="238" w:lineRule="auto"/>
        <w:rPr>
          <w:sz w:val="20"/>
          <w:szCs w:val="20"/>
          <w:color w:val="auto"/>
        </w:rPr>
      </w:pPr>
      <w:r>
        <w:rPr>
          <w:rFonts w:ascii="Courier New" w:cs="Courier New" w:eastAsia="Courier New" w:hAnsi="Courier New"/>
          <w:sz w:val="18"/>
          <w:szCs w:val="18"/>
          <w:color w:val="auto"/>
        </w:rPr>
        <w:t>BlackRock (Netherlands) B.V.</w:t>
      </w:r>
    </w:p>
    <w:p>
      <w:pPr>
        <w:ind w:left="120"/>
        <w:spacing w:after="0"/>
        <w:rPr>
          <w:sz w:val="20"/>
          <w:szCs w:val="20"/>
          <w:color w:val="auto"/>
        </w:rPr>
      </w:pPr>
      <w:r>
        <w:rPr>
          <w:rFonts w:ascii="Courier New" w:cs="Courier New" w:eastAsia="Courier New" w:hAnsi="Courier New"/>
          <w:sz w:val="18"/>
          <w:szCs w:val="18"/>
          <w:color w:val="auto"/>
        </w:rPr>
        <w:t>BlackRock Fund Advisors*</w:t>
      </w:r>
    </w:p>
    <w:p>
      <w:pPr>
        <w:ind w:left="120"/>
        <w:spacing w:after="0" w:line="238" w:lineRule="auto"/>
        <w:rPr>
          <w:sz w:val="20"/>
          <w:szCs w:val="20"/>
          <w:color w:val="auto"/>
        </w:rPr>
      </w:pPr>
      <w:r>
        <w:rPr>
          <w:rFonts w:ascii="Courier New" w:cs="Courier New" w:eastAsia="Courier New" w:hAnsi="Courier New"/>
          <w:sz w:val="18"/>
          <w:szCs w:val="18"/>
          <w:color w:val="auto"/>
        </w:rPr>
        <w:t>BlackRock Institutional Trust Company, National Association</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Ireland Limited</w:t>
      </w:r>
    </w:p>
    <w:p>
      <w:pPr>
        <w:ind w:left="120"/>
        <w:spacing w:after="0"/>
        <w:rPr>
          <w:sz w:val="20"/>
          <w:szCs w:val="20"/>
          <w:color w:val="auto"/>
        </w:rPr>
      </w:pPr>
      <w:r>
        <w:rPr>
          <w:rFonts w:ascii="Courier New" w:cs="Courier New" w:eastAsia="Courier New" w:hAnsi="Courier New"/>
          <w:sz w:val="18"/>
          <w:szCs w:val="18"/>
          <w:color w:val="auto"/>
        </w:rPr>
        <w:t>BlackRock Financial Management, Inc.</w:t>
      </w:r>
    </w:p>
    <w:p>
      <w:pPr>
        <w:ind w:left="120"/>
        <w:spacing w:after="0" w:line="238" w:lineRule="auto"/>
        <w:rPr>
          <w:sz w:val="20"/>
          <w:szCs w:val="20"/>
          <w:color w:val="auto"/>
        </w:rPr>
      </w:pPr>
      <w:r>
        <w:rPr>
          <w:rFonts w:ascii="Courier New" w:cs="Courier New" w:eastAsia="Courier New" w:hAnsi="Courier New"/>
          <w:sz w:val="18"/>
          <w:szCs w:val="18"/>
          <w:color w:val="auto"/>
        </w:rPr>
        <w:t>BlackRock Japan Co., Ltd.</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Schweiz AG</w:t>
      </w:r>
    </w:p>
    <w:p>
      <w:pPr>
        <w:ind w:left="120"/>
        <w:spacing w:after="0"/>
        <w:rPr>
          <w:sz w:val="20"/>
          <w:szCs w:val="20"/>
          <w:color w:val="auto"/>
        </w:rPr>
      </w:pPr>
      <w:r>
        <w:rPr>
          <w:rFonts w:ascii="Courier New" w:cs="Courier New" w:eastAsia="Courier New" w:hAnsi="Courier New"/>
          <w:sz w:val="18"/>
          <w:szCs w:val="18"/>
          <w:color w:val="auto"/>
        </w:rPr>
        <w:t>BlackRock Investment Management, LLC</w:t>
      </w:r>
    </w:p>
    <w:p>
      <w:pPr>
        <w:ind w:left="120"/>
        <w:spacing w:after="0" w:line="238" w:lineRule="auto"/>
        <w:rPr>
          <w:sz w:val="20"/>
          <w:szCs w:val="20"/>
          <w:color w:val="auto"/>
        </w:rPr>
      </w:pPr>
      <w:r>
        <w:rPr>
          <w:rFonts w:ascii="Courier New" w:cs="Courier New" w:eastAsia="Courier New" w:hAnsi="Courier New"/>
          <w:sz w:val="18"/>
          <w:szCs w:val="18"/>
          <w:color w:val="auto"/>
        </w:rPr>
        <w:t>BlackRock Investment Management (UK) Limited</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Canada Limited</w:t>
      </w:r>
    </w:p>
    <w:p>
      <w:pPr>
        <w:ind w:left="120"/>
        <w:spacing w:after="0"/>
        <w:rPr>
          <w:sz w:val="20"/>
          <w:szCs w:val="20"/>
          <w:color w:val="auto"/>
        </w:rPr>
      </w:pPr>
      <w:r>
        <w:rPr>
          <w:rFonts w:ascii="Courier New" w:cs="Courier New" w:eastAsia="Courier New" w:hAnsi="Courier New"/>
          <w:sz w:val="18"/>
          <w:szCs w:val="18"/>
          <w:color w:val="auto"/>
        </w:rPr>
        <w:t>BlackRock Investment Management (Australia) Limited</w:t>
      </w:r>
    </w:p>
    <w:p>
      <w:pPr>
        <w:ind w:left="120"/>
        <w:spacing w:after="0" w:line="238" w:lineRule="auto"/>
        <w:rPr>
          <w:sz w:val="20"/>
          <w:szCs w:val="20"/>
          <w:color w:val="auto"/>
        </w:rPr>
      </w:pPr>
      <w:r>
        <w:rPr>
          <w:rFonts w:ascii="Courier New" w:cs="Courier New" w:eastAsia="Courier New" w:hAnsi="Courier New"/>
          <w:sz w:val="18"/>
          <w:szCs w:val="18"/>
          <w:color w:val="auto"/>
        </w:rPr>
        <w:t>BlackRock Advisors (UK) Limited</w:t>
      </w:r>
    </w:p>
    <w:p>
      <w:pPr>
        <w:ind w:left="120"/>
        <w:spacing w:after="0"/>
        <w:rPr>
          <w:sz w:val="20"/>
          <w:szCs w:val="20"/>
          <w:color w:val="auto"/>
        </w:rPr>
      </w:pPr>
      <w:r>
        <w:rPr>
          <w:rFonts w:ascii="Courier New" w:cs="Courier New" w:eastAsia="Courier New" w:hAnsi="Courier New"/>
          <w:sz w:val="18"/>
          <w:szCs w:val="18"/>
          <w:color w:val="auto"/>
        </w:rPr>
        <w:t>BlackRock Fund Managers Ltd</w:t>
      </w:r>
    </w:p>
    <w:p>
      <w:pPr>
        <w:spacing w:after="0" w:line="200" w:lineRule="exact"/>
        <w:rPr>
          <w:sz w:val="20"/>
          <w:szCs w:val="20"/>
          <w:color w:val="auto"/>
        </w:rPr>
      </w:pPr>
    </w:p>
    <w:p>
      <w:pPr>
        <w:spacing w:after="0" w:line="374" w:lineRule="exact"/>
        <w:rPr>
          <w:sz w:val="20"/>
          <w:szCs w:val="20"/>
          <w:color w:val="auto"/>
        </w:rPr>
      </w:pPr>
    </w:p>
    <w:p>
      <w:pPr>
        <w:ind w:right="4019"/>
        <w:spacing w:after="0" w:line="292" w:lineRule="auto"/>
        <w:rPr>
          <w:sz w:val="20"/>
          <w:szCs w:val="20"/>
          <w:color w:val="auto"/>
        </w:rPr>
      </w:pPr>
      <w:r>
        <w:rPr>
          <w:rFonts w:ascii="Courier New" w:cs="Courier New" w:eastAsia="Courier New" w:hAnsi="Courier New"/>
          <w:sz w:val="18"/>
          <w:szCs w:val="18"/>
          <w:color w:val="auto"/>
        </w:rPr>
        <w:t>*Entity beneficially owns 5% or greater of the outstanding shares of the security class being reported on this Schedule 13G.</w:t>
      </w:r>
    </w:p>
    <w:p>
      <w:pPr>
        <w:spacing w:after="0" w:line="26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B</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POWER OF ATTORNEY</w:t>
      </w:r>
    </w:p>
    <w:p>
      <w:pPr>
        <w:spacing w:after="0" w:line="201" w:lineRule="exact"/>
        <w:rPr>
          <w:sz w:val="20"/>
          <w:szCs w:val="20"/>
          <w:color w:val="auto"/>
        </w:rPr>
      </w:pPr>
    </w:p>
    <w:p>
      <w:pPr>
        <w:ind w:right="2019"/>
        <w:spacing w:after="0" w:line="250" w:lineRule="auto"/>
        <w:rPr>
          <w:sz w:val="20"/>
          <w:szCs w:val="20"/>
          <w:color w:val="auto"/>
        </w:rPr>
      </w:pPr>
      <w:r>
        <w:rPr>
          <w:rFonts w:ascii="Courier New" w:cs="Courier New" w:eastAsia="Courier New" w:hAnsi="Courier New"/>
          <w:sz w:val="18"/>
          <w:szCs w:val="18"/>
          <w:color w:val="auto"/>
        </w:rPr>
        <w:t>The undersigned, BlackRock, Inc., a corporation duly organized under the laws of the State of Delaware, United States (the "Company"), does hereby make, constitute and appoint each of Eric Andruczyk, Richard Cundiff,</w:t>
      </w:r>
    </w:p>
    <w:p>
      <w:pPr>
        <w:spacing w:after="0" w:line="2" w:lineRule="exact"/>
        <w:rPr>
          <w:sz w:val="20"/>
          <w:szCs w:val="20"/>
          <w:color w:val="auto"/>
        </w:rPr>
      </w:pPr>
    </w:p>
    <w:p>
      <w:pPr>
        <w:ind w:right="2239"/>
        <w:spacing w:after="0" w:line="268" w:lineRule="auto"/>
        <w:rPr>
          <w:sz w:val="20"/>
          <w:szCs w:val="20"/>
          <w:color w:val="auto"/>
        </w:rPr>
      </w:pPr>
      <w:r>
        <w:rPr>
          <w:rFonts w:ascii="Courier New" w:cs="Courier New" w:eastAsia="Courier New" w:hAnsi="Courier New"/>
          <w:sz w:val="16"/>
          <w:szCs w:val="16"/>
          <w:color w:val="auto"/>
        </w:rPr>
        <w:t>R. Andrew Dickson, III, Spencer Fleming, Daniel Goldmintz, Laura Hildner, Elizabeth Kogut, David Maryles, Christopher Meade, Una Neary, Charles Park, Daniel Riemer, David Rothenberg and Brenda Schulz, acting severally, as its true and lawful attorneys-in-fact, for the purpose of, from time to</w:t>
      </w:r>
    </w:p>
    <w:p>
      <w:pPr>
        <w:ind w:right="2119"/>
        <w:spacing w:after="0" w:line="268" w:lineRule="auto"/>
        <w:rPr>
          <w:sz w:val="20"/>
          <w:szCs w:val="20"/>
          <w:color w:val="auto"/>
        </w:rPr>
      </w:pPr>
      <w:r>
        <w:rPr>
          <w:rFonts w:ascii="Courier New" w:cs="Courier New" w:eastAsia="Courier New" w:hAnsi="Courier New"/>
          <w:sz w:val="16"/>
          <w:szCs w:val="16"/>
          <w:color w:val="auto"/>
        </w:rPr>
        <w:t>time, executing, in its name and on its behalf and on behalf of its direct and indirect subsidiaries, any and all documents, certificates, instruments, statements, filings, agreements and amendments (collectively, "documents") determined by such person to be necessary or appropriate to comply with ownership or control-person reporting requirements imposed by any</w:t>
      </w:r>
    </w:p>
    <w:p>
      <w:pPr>
        <w:spacing w:after="0" w:line="1" w:lineRule="exact"/>
        <w:rPr>
          <w:sz w:val="20"/>
          <w:szCs w:val="20"/>
          <w:color w:val="auto"/>
        </w:rPr>
      </w:pPr>
    </w:p>
    <w:p>
      <w:pPr>
        <w:ind w:right="1919"/>
        <w:spacing w:after="0" w:line="276" w:lineRule="auto"/>
        <w:rPr>
          <w:sz w:val="20"/>
          <w:szCs w:val="20"/>
          <w:color w:val="auto"/>
        </w:rPr>
      </w:pPr>
      <w:r>
        <w:rPr>
          <w:rFonts w:ascii="Courier New" w:cs="Courier New" w:eastAsia="Courier New" w:hAnsi="Courier New"/>
          <w:sz w:val="16"/>
          <w:szCs w:val="16"/>
          <w:color w:val="auto"/>
        </w:rPr>
        <w:t>United States or non-United States governmental or regulatory authority, including, without limitation, Schedules 13D and 13G and Forms 3, 4, 5, 13F and 13H and any amendments to any of the foregoing as may be required to be filed with the Securities and Exchange Commission, and delivering, furnishing or filing any such documents with the appropriate governmental or regulatory authority or other person, and giving and granting to each such attorney-in-fact full power and authority to do and perform any and every act and thing whatsoever requisite, necessary or proper to be done in the exercise of any of the rights and powers herein granted, as fully and to all intents and purposes as the Company and/or its direct and indirect subsidiaries, as applicable, might or could 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w:t>
      </w:r>
    </w:p>
    <w:p>
      <w:pPr>
        <w:spacing w:after="0" w:line="290" w:lineRule="exact"/>
        <w:rPr>
          <w:sz w:val="20"/>
          <w:szCs w:val="20"/>
          <w:color w:val="auto"/>
        </w:rPr>
      </w:pPr>
    </w:p>
    <w:p>
      <w:pPr>
        <w:ind w:right="2019"/>
        <w:spacing w:after="0" w:line="260" w:lineRule="auto"/>
        <w:rPr>
          <w:sz w:val="20"/>
          <w:szCs w:val="20"/>
          <w:color w:val="auto"/>
        </w:rPr>
      </w:pPr>
      <w:r>
        <w:rPr>
          <w:rFonts w:ascii="Courier New" w:cs="Courier New" w:eastAsia="Courier New" w:hAnsi="Courier New"/>
          <w:sz w:val="18"/>
          <w:szCs w:val="18"/>
          <w:color w:val="auto"/>
        </w:rPr>
        <w:t>This power of attorney shall expressly revoke the power of attorney dated 2nd day of January, 2019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92" w:lineRule="exact"/>
        <w:rPr>
          <w:sz w:val="20"/>
          <w:szCs w:val="20"/>
          <w:color w:val="auto"/>
        </w:rPr>
      </w:pPr>
    </w:p>
    <w:p>
      <w:pPr>
        <w:ind w:right="2239"/>
        <w:spacing w:after="0" w:line="346" w:lineRule="auto"/>
        <w:rPr>
          <w:sz w:val="20"/>
          <w:szCs w:val="20"/>
          <w:color w:val="auto"/>
        </w:rPr>
      </w:pPr>
      <w:r>
        <w:rPr>
          <w:rFonts w:ascii="Courier New" w:cs="Courier New" w:eastAsia="Courier New" w:hAnsi="Courier New"/>
          <w:sz w:val="18"/>
          <w:szCs w:val="18"/>
          <w:color w:val="auto"/>
        </w:rPr>
        <w:t>IN WITNESS WHEREOF, the undersigned has caused this power of attorney to be executed as of this 30th day of April, 2023.</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R. Andrew Dickson, III</w:t>
      </w:r>
    </w:p>
    <w:p>
      <w:pPr>
        <w:spacing w:after="0" w:line="29"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Name:</w:t>
        <w:tab/>
        <w:t>R. Andrew Dickson, III</w:t>
      </w:r>
    </w:p>
    <w:p>
      <w:pPr>
        <w:spacing w:after="0"/>
        <w:rPr>
          <w:sz w:val="20"/>
          <w:szCs w:val="20"/>
          <w:color w:val="auto"/>
        </w:rPr>
      </w:pPr>
      <w:r>
        <w:rPr>
          <w:rFonts w:ascii="Courier New" w:cs="Courier New" w:eastAsia="Courier New" w:hAnsi="Courier New"/>
          <w:sz w:val="18"/>
          <w:szCs w:val="18"/>
          <w:color w:val="auto"/>
        </w:rPr>
        <w:t>Title: Corporate Secretary</w:t>
      </w:r>
    </w:p>
    <w:sectPr>
      <w:pgSz w:w="11900" w:h="16838" w:orient="portrait"/>
      <w:cols w:equalWidth="0" w:num="1">
        <w:col w:w="10139"/>
      </w:cols>
      <w:pgMar w:left="320" w:top="312" w:right="1440" w:bottom="114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1]"/>
      <w:numFmt w:val="upperLetter"/>
      <w:start w:val="24"/>
    </w:lvl>
  </w:abstractNum>
  <w:abstractNum w:abstractNumId="1">
    <w:nsid w:val="507ED7AB"/>
    <w:multiLevelType w:val="hybridMultilevel"/>
    <w:lvl w:ilvl="0">
      <w:lvlJc w:val="left"/>
      <w:lvlText w:val="(%1)"/>
      <w:numFmt w:val="decimal"/>
      <w:start w:val="2"/>
    </w:lvl>
  </w:abstractNum>
  <w:abstractNum w:abstractNumId="2">
    <w:nsid w:val="2EB141F2"/>
    <w:multiLevelType w:val="hybridMultilevel"/>
    <w:lvl w:ilvl="0">
      <w:lvlJc w:val="left"/>
      <w:lvlText w:val="(%1)"/>
      <w:numFmt w:val="decimal"/>
      <w:start w:val="5"/>
    </w:lvl>
  </w:abstractNum>
  <w:abstractNum w:abstractNumId="3">
    <w:nsid w:val="41B71EFB"/>
    <w:multiLevelType w:val="hybridMultilevel"/>
    <w:lvl w:ilvl="0">
      <w:lvlJc w:val="left"/>
      <w:lvlText w:val="(%1)"/>
      <w:numFmt w:val="decimal"/>
      <w:start w:val="8"/>
    </w:lvl>
  </w:abstractNum>
  <w:abstractNum w:abstractNumId="4">
    <w:nsid w:val="79E2A9E3"/>
    <w:multiLevelType w:val="hybridMultilevel"/>
    <w:lvl w:ilvl="0">
      <w:lvlJc w:val="left"/>
      <w:lvlText w:val="(%1)"/>
      <w:numFmt w:val="decimal"/>
      <w:start w:val="12"/>
    </w:lvl>
  </w:abstractNum>
  <w:abstractNum w:abstractNumId="5">
    <w:nsid w:val="7545E146"/>
    <w:multiLevelType w:val="hybridMultilevel"/>
    <w:lvl w:ilvl="0">
      <w:lvlJc w:val="left"/>
      <w:lvlText w:val="["/>
      <w:numFmt w:val="bullet"/>
      <w:start w:val="1"/>
    </w:lvl>
  </w:abstractNum>
  <w:abstractNum w:abstractNumId="6">
    <w:nsid w:val="515F007C"/>
    <w:multiLevelType w:val="hybridMultilevel"/>
    <w:lvl w:ilvl="0">
      <w:lvlJc w:val="left"/>
      <w:lvlText w:val="["/>
      <w:numFmt w:val="bullet"/>
      <w:start w:val="1"/>
    </w:lvl>
  </w:abstractNum>
  <w:abstractNum w:abstractNumId="7">
    <w:nsid w:val="5BD062C2"/>
    <w:multiLevelType w:val="hybridMultilevel"/>
    <w:lvl w:ilvl="0">
      <w:lvlJc w:val="left"/>
      <w:lvlText w:val="[%1]"/>
      <w:numFmt w:val="upperLetter"/>
      <w:start w:val="24"/>
    </w:lvl>
  </w:abstractNum>
  <w:abstractNum w:abstractNumId="8">
    <w:nsid w:val="12200854"/>
    <w:multiLevelType w:val="hybridMultilevel"/>
    <w:lvl w:ilvl="0">
      <w:lvlJc w:val="left"/>
      <w:lvlText w:val="["/>
      <w:numFmt w:val="bullet"/>
      <w:start w:val="1"/>
    </w:lvl>
  </w:abstractNum>
  <w:abstractNum w:abstractNumId="9">
    <w:nsid w:val="4DB127F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2024-03-07T11:35:29Z</dcterms:created>
  <dcterms:modified xsi:type="dcterms:W3CDTF">2024-03-07T11:35:29Z</dcterms:modified>
</cp:coreProperties>
</file>