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5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0"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 2005</w:t>
      </w:r>
    </w:p>
    <w:p>
      <w:pPr>
        <w:spacing w:after="0" w:line="12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MANPOWER INC.</w:t>
      </w:r>
    </w:p>
    <w:p>
      <w:pPr>
        <w:spacing w:after="0" w:line="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ectPr>
          <w:pgSz w:w="11900" w:h="16838" w:orient="portrait"/>
          <w:cols w:equalWidth="0" w:num="1">
            <w:col w:w="11020"/>
          </w:cols>
          <w:pgMar w:left="240" w:top="497" w:right="639" w:bottom="1440" w:gutter="0" w:footer="0" w:header="0"/>
        </w:sectPr>
      </w:pPr>
    </w:p>
    <w:p>
      <w:pPr>
        <w:spacing w:after="0" w:line="119"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6"/>
          <w:szCs w:val="16"/>
          <w:b w:val="1"/>
          <w:bCs w:val="1"/>
          <w:color w:val="auto"/>
        </w:rPr>
        <w:t>Wisconsin</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1-10686</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39-1672779</w:t>
      </w:r>
    </w:p>
    <w:p>
      <w:pPr>
        <w:spacing w:after="0" w:line="37" w:lineRule="exact"/>
        <w:rPr>
          <w:sz w:val="24"/>
          <w:szCs w:val="24"/>
          <w:color w:val="auto"/>
        </w:rPr>
      </w:pPr>
    </w:p>
    <w:p>
      <w:pPr>
        <w:sectPr>
          <w:pgSz w:w="11900" w:h="16838" w:orient="portrait"/>
          <w:cols w:equalWidth="0" w:num="3">
            <w:col w:w="4820" w:space="720"/>
            <w:col w:w="2920" w:space="720"/>
            <w:col w:w="1840"/>
          </w:cols>
          <w:pgMar w:left="240" w:top="497"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00"/>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41" w:lineRule="exact"/>
        <w:rPr>
          <w:sz w:val="24"/>
          <w:szCs w:val="24"/>
          <w:color w:val="auto"/>
        </w:rPr>
      </w:pPr>
    </w:p>
    <w:p>
      <w:pPr>
        <w:sectPr>
          <w:pgSz w:w="11900" w:h="16838" w:orient="portrait"/>
          <w:cols w:equalWidth="0" w:num="3">
            <w:col w:w="4740" w:space="720"/>
            <w:col w:w="2880" w:space="720"/>
            <w:col w:w="1960"/>
          </w:cols>
          <w:pgMar w:left="240" w:top="497" w:right="639" w:bottom="1440" w:gutter="0" w:footer="0" w:header="0"/>
          <w:type w:val="continuous"/>
        </w:sectPr>
      </w:pPr>
    </w:p>
    <w:p>
      <w:pPr>
        <w:jc w:val="center"/>
        <w:ind w:right="2000"/>
        <w:spacing w:after="0"/>
        <w:rPr>
          <w:sz w:val="20"/>
          <w:szCs w:val="20"/>
          <w:color w:val="auto"/>
        </w:rPr>
      </w:pPr>
      <w:r>
        <w:rPr>
          <w:rFonts w:ascii="Times New Roman" w:cs="Times New Roman" w:eastAsia="Times New Roman" w:hAnsi="Times New Roman"/>
          <w:sz w:val="16"/>
          <w:szCs w:val="16"/>
          <w:b w:val="1"/>
          <w:bCs w:val="1"/>
          <w:color w:val="auto"/>
        </w:rPr>
        <w:t>5301 North Ironwood Road</w:t>
      </w:r>
    </w:p>
    <w:p>
      <w:pPr>
        <w:spacing w:after="0" w:line="4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53217</w:t>
      </w:r>
    </w:p>
    <w:p>
      <w:pPr>
        <w:spacing w:after="0" w:line="46" w:lineRule="exact"/>
        <w:rPr>
          <w:sz w:val="24"/>
          <w:szCs w:val="24"/>
          <w:color w:val="auto"/>
        </w:rPr>
      </w:pPr>
    </w:p>
    <w:p>
      <w:pPr>
        <w:sectPr>
          <w:pgSz w:w="11900" w:h="16838" w:orient="portrait"/>
          <w:cols w:equalWidth="0" w:num="2">
            <w:col w:w="7740" w:space="720"/>
            <w:col w:w="2560"/>
          </w:cols>
          <w:pgMar w:left="240" w:top="497" w:right="639" w:bottom="1440" w:gutter="0" w:footer="0" w:header="0"/>
          <w:type w:val="continuous"/>
        </w:sectPr>
      </w:pPr>
    </w:p>
    <w:p>
      <w:pPr>
        <w:ind w:left="174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(Zip Code)</w:t>
      </w:r>
    </w:p>
    <w:p>
      <w:pPr>
        <w:spacing w:after="0" w:line="145" w:lineRule="exact"/>
        <w:rPr>
          <w:sz w:val="24"/>
          <w:szCs w:val="24"/>
          <w:color w:val="auto"/>
        </w:rPr>
      </w:pPr>
    </w:p>
    <w:p>
      <w:pPr>
        <w:sectPr>
          <w:pgSz w:w="11900" w:h="16838" w:orient="portrait"/>
          <w:cols w:equalWidth="0" w:num="2">
            <w:col w:w="7660" w:space="720"/>
            <w:col w:w="2640"/>
          </w:cols>
          <w:pgMar w:left="240" w:top="497" w:right="639" w:bottom="1440" w:gutter="0" w:footer="0" w:header="0"/>
          <w:type w:val="continuous"/>
        </w:sectPr>
      </w:pPr>
    </w:p>
    <w:p>
      <w:pPr>
        <w:ind w:left="32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(414) 961-1000</w:t>
      </w:r>
    </w:p>
    <w:p>
      <w:pPr>
        <w:spacing w:after="0" w:line="160" w:lineRule="exact"/>
        <w:rPr>
          <w:sz w:val="24"/>
          <w:szCs w:val="24"/>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Securities Act (17 CFR 240.14a-12)</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497"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79"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On February 1, 2005, we issued a press release announcing our results of operations for the three-month period and year ended December 31, 2004. A copy of the press release is attached hereto as Exhibit 99.1 and is incorporated herein by reference.</w:t>
      </w:r>
    </w:p>
    <w:p>
      <w:pPr>
        <w:spacing w:after="0" w:line="106"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On February 1, 2005, we are making available certain restated Net Earnings Per Share – Diluted amounts for the quarterly and annual periods from 2001 to 2004. During September 2004, the Emerging Issues Task Force (“EITF”) issued Issue No. 04-8, “The Effect of Contingently Convertible Debt on Diluted Earnings Per Share” (“EITF 04-8”), which requires the effect of contingently convertible debt securities with a market price trigger to be included in the calculation of diluted earnings per share, using the “if-converted” method, regardless of whether the market price trigger has been met. EITF 04-8 also requires restatement of previously reported earnings. Our convertible debentures, issued in August 2001, have such a feature, and therefore we have restated Net Earnings Per Share – Diluted for all periods since their issuance. A copy of these restated Net Earnings Per Share – Diluted amounts is attached hereto as Exhibit 99.2 and is incorporated herein by reference.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Item 9.01.</w:t>
            </w:r>
          </w:p>
        </w:tc>
        <w:tc>
          <w:tcPr>
            <w:tcW w:w="11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12"/>
        </w:trPr>
        <w:tc>
          <w:tcPr>
            <w:tcW w:w="460" w:type="dxa"/>
            <w:vAlign w:val="bottom"/>
          </w:tcPr>
          <w:p>
            <w:pPr>
              <w:spacing w:after="0"/>
              <w:rPr>
                <w:sz w:val="24"/>
                <w:szCs w:val="24"/>
                <w:color w:val="auto"/>
              </w:rPr>
            </w:pPr>
          </w:p>
        </w:tc>
        <w:tc>
          <w:tcPr>
            <w:tcW w:w="140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46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r>
      <w:tr>
        <w:trPr>
          <w:trHeight w:val="42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5"/>
              </w:rPr>
              <w:t>99.1</w:t>
            </w:r>
          </w:p>
        </w:tc>
        <w:tc>
          <w:tcPr>
            <w:tcW w:w="520" w:type="dxa"/>
            <w:vAlign w:val="bottom"/>
          </w:tcPr>
          <w:p>
            <w:pPr>
              <w:spacing w:after="0"/>
              <w:rPr>
                <w:sz w:val="24"/>
                <w:szCs w:val="24"/>
                <w:color w:val="auto"/>
              </w:rPr>
            </w:pP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Press Release dated February 1, 2005</w:t>
            </w:r>
          </w:p>
        </w:tc>
      </w:tr>
      <w:tr>
        <w:trPr>
          <w:trHeight w:val="324"/>
        </w:trPr>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5"/>
              </w:rPr>
              <w:t>99.2</w:t>
            </w:r>
          </w:p>
        </w:tc>
        <w:tc>
          <w:tcPr>
            <w:tcW w:w="520" w:type="dxa"/>
            <w:vAlign w:val="bottom"/>
          </w:tcPr>
          <w:p>
            <w:pPr>
              <w:spacing w:after="0"/>
              <w:rPr>
                <w:sz w:val="24"/>
                <w:szCs w:val="24"/>
                <w:color w:val="auto"/>
              </w:rPr>
            </w:pPr>
          </w:p>
        </w:tc>
        <w:tc>
          <w:tcPr>
            <w:tcW w:w="31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6"/>
              </w:rPr>
              <w:t>Restated Net Earnings Per Share - Diluted</w:t>
            </w:r>
          </w:p>
        </w:tc>
      </w:tr>
    </w:tbl>
    <w:p>
      <w:pPr>
        <w:sectPr>
          <w:pgSz w:w="11900" w:h="16838" w:orient="portrait"/>
          <w:cols w:equalWidth="0" w:num="1">
            <w:col w:w="11400"/>
          </w:cols>
          <w:pgMar w:left="240" w:top="272" w:right="2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60" w:lineRule="exact"/>
        <w:rPr>
          <w:sz w:val="20"/>
          <w:szCs w:val="20"/>
          <w:color w:val="auto"/>
        </w:rPr>
      </w:pPr>
    </w:p>
    <w:p>
      <w:pPr>
        <w:ind w:right="820" w:firstLine="456"/>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06"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3700" w:type="dxa"/>
            <w:vAlign w:val="bottom"/>
          </w:tcPr>
          <w:p>
            <w:pPr>
              <w:spacing w:after="0"/>
              <w:rPr>
                <w:sz w:val="19"/>
                <w:szCs w:val="19"/>
                <w:color w:val="auto"/>
              </w:rPr>
            </w:pPr>
          </w:p>
        </w:tc>
        <w:tc>
          <w:tcPr>
            <w:tcW w:w="73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MANPOWER INC.</w:t>
            </w:r>
          </w:p>
        </w:tc>
      </w:tr>
      <w:tr>
        <w:trPr>
          <w:trHeight w:val="43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1, 2005</w:t>
            </w:r>
          </w:p>
        </w:tc>
        <w:tc>
          <w:tcPr>
            <w:tcW w:w="73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By: /s/ Michael J. Van Handel</w:t>
            </w:r>
          </w:p>
        </w:tc>
      </w:tr>
      <w:tr>
        <w:trPr>
          <w:trHeight w:val="196"/>
        </w:trPr>
        <w:tc>
          <w:tcPr>
            <w:tcW w:w="37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120" w:type="dxa"/>
            <w:vAlign w:val="bottom"/>
            <w:tcBorders>
              <w:top w:val="single" w:sz="8" w:color="auto"/>
            </w:tcBorders>
          </w:tcPr>
          <w:p>
            <w:pPr>
              <w:ind w:left="100"/>
              <w:spacing w:after="0" w:line="196" w:lineRule="exact"/>
              <w:rPr>
                <w:sz w:val="20"/>
                <w:szCs w:val="20"/>
                <w:color w:val="auto"/>
              </w:rPr>
            </w:pPr>
            <w:r>
              <w:rPr>
                <w:rFonts w:ascii="Times New Roman" w:cs="Times New Roman" w:eastAsia="Times New Roman" w:hAnsi="Times New Roman"/>
                <w:sz w:val="18"/>
                <w:szCs w:val="18"/>
                <w:color w:val="auto"/>
              </w:rPr>
              <w:t>Michael J. Van Handel</w:t>
            </w:r>
          </w:p>
        </w:tc>
      </w:tr>
      <w:tr>
        <w:trPr>
          <w:trHeight w:val="216"/>
        </w:trPr>
        <w:tc>
          <w:tcPr>
            <w:tcW w:w="37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 Chief Financial</w:t>
            </w:r>
          </w:p>
        </w:tc>
      </w:tr>
      <w:tr>
        <w:trPr>
          <w:trHeight w:val="228"/>
        </w:trPr>
        <w:tc>
          <w:tcPr>
            <w:tcW w:w="37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Officer and Secretary</w:t>
            </w:r>
          </w:p>
        </w:tc>
      </w:tr>
    </w:tbl>
    <w:p>
      <w:pPr>
        <w:sectPr>
          <w:pgSz w:w="11900" w:h="16838" w:orient="portrait"/>
          <w:cols w:equalWidth="0" w:num="1">
            <w:col w:w="11420"/>
          </w:cols>
          <w:pgMar w:left="240" w:top="420" w:right="239" w:bottom="1440" w:gutter="0" w:footer="0" w:header="0"/>
        </w:sectPr>
      </w:pPr>
    </w:p>
    <w:bookmarkStart w:id="3" w:name="page4"/>
    <w:bookmarkEnd w:id="3"/>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Exhibit No.</w:t>
            </w:r>
          </w:p>
        </w:tc>
        <w:tc>
          <w:tcPr>
            <w:tcW w:w="366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r>
      <w:tr>
        <w:trPr>
          <w:trHeight w:val="42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36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Press Release dated February 1, 2005</w:t>
            </w:r>
          </w:p>
        </w:tc>
      </w:tr>
      <w:tr>
        <w:trPr>
          <w:trHeight w:val="32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36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w w:val="96"/>
              </w:rPr>
              <w:t>Restated Net Earnings Per Share - Diluted</w:t>
            </w:r>
          </w:p>
        </w:tc>
      </w:tr>
    </w:tbl>
    <w:p>
      <w:pPr>
        <w:sectPr>
          <w:pgSz w:w="11900" w:h="16838" w:orient="portrait"/>
          <w:cols w:equalWidth="0" w:num="1">
            <w:col w:w="9759"/>
          </w:cols>
          <w:pgMar w:left="700" w:top="420"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[MANPOWER logo]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w:t>
      </w:r>
      <w:r>
        <w:rPr>
          <w:rFonts w:ascii="Times New Roman" w:cs="Times New Roman" w:eastAsia="Times New Roman" w:hAnsi="Times New Roman"/>
          <w:sz w:val="14"/>
          <w:szCs w:val="14"/>
          <w:b w:val="1"/>
          <w:bCs w:val="1"/>
          <w:color w:val="auto"/>
        </w:rPr>
        <w:t>OR</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4"/>
          <w:szCs w:val="14"/>
          <w:b w:val="1"/>
          <w:bCs w:val="1"/>
          <w:color w:val="auto"/>
        </w:rPr>
        <w:t>MMEDIATE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4"/>
          <w:szCs w:val="14"/>
          <w:b w:val="1"/>
          <w:bCs w:val="1"/>
          <w:color w:val="auto"/>
        </w:rPr>
        <w:t>ELEASE</w:t>
      </w:r>
    </w:p>
    <w:p>
      <w:pPr>
        <w:spacing w:after="0" w:line="158"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3"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Mike Van Handel</w:t>
      </w:r>
    </w:p>
    <w:p>
      <w:pPr>
        <w:spacing w:after="0" w:line="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8"/>
          <w:szCs w:val="18"/>
          <w:color w:val="auto"/>
        </w:rPr>
        <w:t>(414) 906-6305</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Manpower Reports 4</w:t>
      </w:r>
      <w:r>
        <w:rPr>
          <w:rFonts w:ascii="Times New Roman" w:cs="Times New Roman" w:eastAsia="Times New Roman" w:hAnsi="Times New Roman"/>
          <w:sz w:val="22"/>
          <w:szCs w:val="22"/>
          <w:b w:val="1"/>
          <w:bCs w:val="1"/>
          <w:color w:val="auto"/>
          <w:vertAlign w:val="superscript"/>
        </w:rPr>
        <w:t>th</w:t>
      </w:r>
      <w:r>
        <w:rPr>
          <w:rFonts w:ascii="Times New Roman" w:cs="Times New Roman" w:eastAsia="Times New Roman" w:hAnsi="Times New Roman"/>
          <w:sz w:val="18"/>
          <w:szCs w:val="18"/>
          <w:b w:val="1"/>
          <w:bCs w:val="1"/>
          <w:color w:val="auto"/>
        </w:rPr>
        <w:t xml:space="preserve"> Quarter and Full-Year 2004 Results</w:t>
      </w:r>
    </w:p>
    <w:p>
      <w:pPr>
        <w:spacing w:after="0" w:line="114"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8"/>
          <w:szCs w:val="18"/>
          <w:color w:val="auto"/>
        </w:rPr>
        <w:t>MILWAUKEE, WI, USA, February 1, 2005 – Manpower Inc. (NYSE: MAN) today reported that net income for the three months ended December 31, 2004 increased 39 percent to $69.6 million, or 73 cents per diluted share, from $49.9 million, or 61 cents per diluted share, a year earlier. Revenues for the fourth quarter totaled $4.1 billion, an increase of 24 percent from the year-earlier period.</w:t>
      </w:r>
    </w:p>
    <w:p>
      <w:pPr>
        <w:spacing w:after="0" w:line="11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Results for the fourth quarter were positively affected by relatively stronger foreign currencies compared to the prior year period. On a constant currency basis, earnings per diluted share for the quarter were 69 cents on a 16 percent revenue increase.</w:t>
      </w:r>
    </w:p>
    <w:p>
      <w:pPr>
        <w:spacing w:after="0" w:line="106" w:lineRule="exact"/>
        <w:rPr>
          <w:sz w:val="20"/>
          <w:szCs w:val="20"/>
          <w:color w:val="auto"/>
        </w:rPr>
      </w:pPr>
    </w:p>
    <w:p>
      <w:pPr>
        <w:jc w:val="both"/>
        <w:ind w:right="700" w:firstLine="456"/>
        <w:spacing w:after="0" w:line="262" w:lineRule="auto"/>
        <w:rPr>
          <w:sz w:val="20"/>
          <w:szCs w:val="20"/>
          <w:color w:val="auto"/>
        </w:rPr>
      </w:pPr>
      <w:r>
        <w:rPr>
          <w:rFonts w:ascii="Times New Roman" w:cs="Times New Roman" w:eastAsia="Times New Roman" w:hAnsi="Times New Roman"/>
          <w:sz w:val="18"/>
          <w:szCs w:val="18"/>
          <w:color w:val="auto"/>
        </w:rPr>
        <w:t>“The Manpower team executed well in the fourth quarter, reflecting the strength and momentum that we gained throughout 2004, with significant contributions from our European operations and Jefferson Wells, our financial professional services unit,” said Jeffrey A. Joerres, Chairman and CEO of Manpower Inc.</w:t>
      </w:r>
    </w:p>
    <w:p>
      <w:pPr>
        <w:spacing w:after="0" w:line="119" w:lineRule="exact"/>
        <w:rPr>
          <w:sz w:val="20"/>
          <w:szCs w:val="20"/>
          <w:color w:val="auto"/>
        </w:rPr>
      </w:pPr>
    </w:p>
    <w:p>
      <w:pPr>
        <w:jc w:val="both"/>
        <w:ind w:right="700" w:firstLine="456"/>
        <w:spacing w:after="0" w:line="275" w:lineRule="auto"/>
        <w:rPr>
          <w:sz w:val="20"/>
          <w:szCs w:val="20"/>
          <w:color w:val="auto"/>
        </w:rPr>
      </w:pPr>
      <w:r>
        <w:rPr>
          <w:rFonts w:ascii="Times New Roman" w:cs="Times New Roman" w:eastAsia="Times New Roman" w:hAnsi="Times New Roman"/>
          <w:sz w:val="18"/>
          <w:szCs w:val="18"/>
          <w:color w:val="auto"/>
        </w:rPr>
        <w:t>“The fourth quarter also provided continuing evidence that the combined offering of Manpower and Right Management Consultants — our career transition and organizational consulting unit — is redefining the services that are required to compete effectively in this industry.”</w:t>
      </w:r>
    </w:p>
    <w:p>
      <w:pPr>
        <w:spacing w:after="0" w:line="106" w:lineRule="exact"/>
        <w:rPr>
          <w:sz w:val="20"/>
          <w:szCs w:val="20"/>
          <w:color w:val="auto"/>
        </w:rPr>
      </w:pPr>
    </w:p>
    <w:p>
      <w:pPr>
        <w:ind w:right="180" w:firstLine="456"/>
        <w:spacing w:after="0" w:line="262" w:lineRule="auto"/>
        <w:rPr>
          <w:sz w:val="20"/>
          <w:szCs w:val="20"/>
          <w:color w:val="auto"/>
        </w:rPr>
      </w:pPr>
      <w:r>
        <w:rPr>
          <w:rFonts w:ascii="Times New Roman" w:cs="Times New Roman" w:eastAsia="Times New Roman" w:hAnsi="Times New Roman"/>
          <w:sz w:val="18"/>
          <w:szCs w:val="18"/>
          <w:color w:val="auto"/>
        </w:rPr>
        <w:t>Net income for the year ended December 31, 2004 totaled $245.7 million or $2.59 per diluted share, up 78 percent from $137.7 million, or $1.69 per diluted share in 2003. Revenues for the year were $14.9 billion, an increase of 23 percent from the prior year. On a constant currency basis, earnings per diluted share for the year were $2.44 on a revenue increase of 14 percent.</w:t>
      </w:r>
    </w:p>
    <w:p>
      <w:pPr>
        <w:spacing w:after="0" w:line="119" w:lineRule="exact"/>
        <w:rPr>
          <w:sz w:val="20"/>
          <w:szCs w:val="20"/>
          <w:color w:val="auto"/>
        </w:rPr>
      </w:pPr>
    </w:p>
    <w:p>
      <w:pPr>
        <w:jc w:val="both"/>
        <w:ind w:right="160" w:firstLine="456"/>
        <w:spacing w:after="0" w:line="262" w:lineRule="auto"/>
        <w:rPr>
          <w:sz w:val="20"/>
          <w:szCs w:val="20"/>
          <w:color w:val="auto"/>
        </w:rPr>
      </w:pPr>
      <w:r>
        <w:rPr>
          <w:rFonts w:ascii="Times New Roman" w:cs="Times New Roman" w:eastAsia="Times New Roman" w:hAnsi="Times New Roman"/>
          <w:sz w:val="18"/>
          <w:szCs w:val="18"/>
          <w:color w:val="auto"/>
        </w:rPr>
        <w:t>“On a full year basis, earnings per share reached a record high of $2.59 per share for 2004,” said Joerres. “Throughout the year, we made investments and took actions that position us well for the future. We are confident that our unique service mix, designed to meet customer needs throughout the employment and business cycle, will continue to move us forward in 2005.</w:t>
      </w:r>
    </w:p>
    <w:p>
      <w:pPr>
        <w:sectPr>
          <w:pgSz w:w="11900" w:h="16838" w:orient="portrait"/>
          <w:cols w:equalWidth="0" w:num="1">
            <w:col w:w="11420"/>
          </w:cols>
          <w:pgMar w:left="240" w:top="274" w:right="239"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we look to the first quarter, we anticipate earnings per diluted share to range from 34 to 37 cents. This includes a one-cent benefit from currency.”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In conjunction with its fourth quarter earnings release, Manpower will broadcast its conference call live over the Internet on February 1 at 8:00 a.m. CST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a.m. EST). Interested parties are invited to listen by logging on to http://investor.manpower.com.</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financial information referenced in the conference call can be found at http://investor.manpower.com.</w:t>
      </w:r>
    </w:p>
    <w:p>
      <w:pPr>
        <w:spacing w:after="0" w:line="1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 # #</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Manpower Inc.</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Manpower Inc. (NYSE: MAN) is a world leader in the employment services industry, offering customers a continuum of services to meet their needs throughout the employment and business cycle. The company specializes in permanent, temporary and contract recruitment; employee assessment; training; career transition and organizational consulting services. Manpower’s worldwide network of 4,300 offices in 67 countries and territories enables the company to meet the needs of its 400,000 customers per year, including small and medium size enterprises in all industry sectors, as well as the world’s largest multinational corporations. The focus of Manpower’s work is on raising productivity through improved quality, efficiency and cost-reduction, enabling customers to concentrate on their core business activities. In addition to the Manpower brand, the company operates under the brand names of Right Management Consultants, Jefferson Wells, Elan and Brook Street. More information on Manpower Inc. is available at www.manpower.com.</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7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news release contains statements, including earning projections, that are forward-looking in nature and, accordingly, are subject to risks and uncertainties regarding the Company’s expected future results. The Company’s actual results may differ materially from those described or contemplated in the forward-looking statements. Factors that may cause the Company’s actual results to differ materially from those contained in the forward-looking statement can be found in the Company’s reports filed with the SEC, including its Annual Report on Form 10-K for the year ended December 31, 2003, which information is incorporated herein by reference.</w:t>
      </w:r>
    </w:p>
    <w:p>
      <w:pPr>
        <w:sectPr>
          <w:pgSz w:w="11900" w:h="16838" w:orient="portrait"/>
          <w:cols w:equalWidth="0" w:num="1">
            <w:col w:w="11400"/>
          </w:cols>
          <w:pgMar w:left="240" w:top="274" w:right="2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4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Three Months Ended December 31</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Constant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Currency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 (a)</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4,072.7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3,289.2</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3,308.5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2,689.5</w:t>
            </w:r>
          </w:p>
        </w:tc>
        <w:tc>
          <w:tcPr>
            <w:tcW w:w="1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23.0%</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1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profit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27.4%</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8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earnings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diluted (b)</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8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 (b)</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-1229995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-1229995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-1229995</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-1229995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-1229995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-1229995</wp:posOffset>
            </wp:positionV>
            <wp:extent cx="2159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-929640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-929640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-929640</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-929640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-929640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-929640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-629285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-629285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-629285</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-629285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-629285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-629285</wp:posOffset>
            </wp:positionV>
            <wp:extent cx="2159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-329565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-329565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-329565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-329565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-329565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-329565</wp:posOffset>
            </wp:positionV>
            <wp:extent cx="2159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-29210</wp:posOffset>
            </wp:positionV>
            <wp:extent cx="39878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38" w:lineRule="exact"/>
        <w:rPr>
          <w:sz w:val="20"/>
          <w:szCs w:val="20"/>
          <w:color w:val="auto"/>
        </w:rPr>
      </w:pPr>
    </w:p>
    <w:p>
      <w:pPr>
        <w:ind w:left="460" w:hanging="452"/>
        <w:spacing w:after="0" w:line="262"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services include fees received from our franchise offices of $9.5 million and $7.7 million for the three months ended December 31, 2004 and 2003, respectively. These fees are primarily based on revenues generated by the franchise offices, which were $418.2 million and $339.6 million for the three months ended December 31, 2004 and 2003, respectively.</w:t>
      </w:r>
    </w:p>
    <w:p>
      <w:pPr>
        <w:spacing w:after="0" w:line="3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figures have been restated to reflect the impact of applying the “if-converted” method to our convertible debentures.</w:t>
      </w:r>
    </w:p>
    <w:p>
      <w:pPr>
        <w:sectPr>
          <w:pgSz w:w="11900" w:h="16838" w:orient="portrait"/>
          <w:cols w:equalWidth="0" w:num="1">
            <w:col w:w="11420"/>
          </w:cols>
          <w:pgMar w:left="240" w:top="42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Unit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Three Months Ended December 31</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Constant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Currency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80" w:type="dxa"/>
            <w:vAlign w:val="bottom"/>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 (a)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France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1,409.9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1,233.1</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1,435.8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1,089.5</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31.8%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Jefferson Wells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173.9%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Right (b)</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413.5</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4,072.7</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3,289.2</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Unit Profit: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73.4%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France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141.7%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Jefferson Wells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Right</w:t>
            </w: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Operations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7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profit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expenses (c)</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-2413000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-2413000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-2413000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-2413000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-2413000</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-2413000</wp:posOffset>
            </wp:positionV>
            <wp:extent cx="3873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-29210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38" w:lineRule="exact"/>
        <w:rPr>
          <w:sz w:val="20"/>
          <w:szCs w:val="20"/>
          <w:color w:val="auto"/>
        </w:rPr>
      </w:pPr>
    </w:p>
    <w:p>
      <w:pPr>
        <w:ind w:left="460" w:right="220" w:hanging="452"/>
        <w:spacing w:after="0" w:line="26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revenues from services include fees received from the related franchise offices of $6.7 million and $6.2 million for the three months ended December 31, 2004 and 2003, respectively. These fees are primarily based on revenues generated by the franchise offices, which were $310.4 million and $286.8 million for the three months ended December 31, 2004 and 2003, respectively.</w:t>
      </w:r>
    </w:p>
    <w:p>
      <w:pPr>
        <w:spacing w:after="0" w:line="3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operations of Right Management Consultants, Inc., since its acquisition in January 2004, and the Empower Group.</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components of interest and other expense (income) were:</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60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20" w:type="dxa"/>
            <w:vAlign w:val="bottom"/>
            <w:gridSpan w:val="2"/>
          </w:tcPr>
          <w:p>
            <w:pPr>
              <w:jc w:val="right"/>
              <w:ind w:right="25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gains</w:t>
            </w:r>
          </w:p>
        </w:tc>
        <w:tc>
          <w:tcPr>
            <w:tcW w:w="2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ind w:right="2540"/>
              <w:spacing w:after="0"/>
              <w:rPr>
                <w:sz w:val="20"/>
                <w:szCs w:val="20"/>
                <w:color w:val="auto"/>
              </w:rPr>
            </w:pPr>
            <w:r>
              <w:rPr>
                <w:rFonts w:ascii="Times New Roman" w:cs="Times New Roman" w:eastAsia="Times New Roman" w:hAnsi="Times New Roman"/>
                <w:sz w:val="18"/>
                <w:szCs w:val="18"/>
                <w:color w:val="auto"/>
              </w:rPr>
              <w:t>(0.4)</w:t>
            </w:r>
          </w:p>
        </w:tc>
      </w:tr>
      <w:tr>
        <w:trPr>
          <w:trHeight w:val="228"/>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 net</w:t>
            </w:r>
          </w:p>
        </w:tc>
        <w:tc>
          <w:tcPr>
            <w:tcW w:w="2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0" w:type="dxa"/>
            <w:vAlign w:val="bottom"/>
          </w:tcPr>
          <w:p>
            <w:pPr>
              <w:spacing w:after="0"/>
              <w:rPr>
                <w:sz w:val="19"/>
                <w:szCs w:val="19"/>
                <w:color w:val="auto"/>
              </w:rPr>
            </w:pPr>
          </w:p>
        </w:tc>
      </w:tr>
      <w:tr>
        <w:trPr>
          <w:trHeight w:val="96"/>
        </w:trPr>
        <w:tc>
          <w:tcPr>
            <w:tcW w:w="67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r>
      <w:tr>
        <w:trPr>
          <w:trHeight w:val="102"/>
        </w:trPr>
        <w:tc>
          <w:tcPr>
            <w:tcW w:w="6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0" w:type="dxa"/>
            <w:vAlign w:val="bottom"/>
          </w:tcPr>
          <w:p>
            <w:pPr>
              <w:spacing w:after="0"/>
              <w:rPr>
                <w:sz w:val="8"/>
                <w:szCs w:val="8"/>
                <w:color w:val="auto"/>
              </w:rPr>
            </w:pPr>
          </w:p>
        </w:tc>
      </w:tr>
      <w:tr>
        <w:trPr>
          <w:trHeight w:val="216"/>
        </w:trPr>
        <w:tc>
          <w:tcPr>
            <w:tcW w:w="67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0" w:type="dxa"/>
            <w:vAlign w:val="bottom"/>
            <w:shd w:val="clear" w:color="auto" w:fill="CCEEFF"/>
          </w:tcPr>
          <w:p>
            <w:pPr>
              <w:spacing w:after="0"/>
              <w:rPr>
                <w:sz w:val="18"/>
                <w:szCs w:val="18"/>
                <w:color w:val="auto"/>
              </w:rPr>
            </w:pPr>
          </w:p>
        </w:tc>
      </w:tr>
      <w:tr>
        <w:trPr>
          <w:trHeight w:val="132"/>
        </w:trPr>
        <w:tc>
          <w:tcPr>
            <w:tcW w:w="67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6"/>
              </w:rPr>
              <w:t>Year Ended December 31</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Constant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2003</w:t>
            </w:r>
          </w:p>
        </w:tc>
        <w:tc>
          <w:tcPr>
            <w:tcW w:w="20" w:type="dxa"/>
            <w:vAlign w:val="bottom"/>
          </w:tcPr>
          <w:p>
            <w:pPr>
              <w:spacing w:after="0"/>
              <w:rPr>
                <w:sz w:val="15"/>
                <w:szCs w:val="15"/>
                <w:color w:val="auto"/>
              </w:rPr>
            </w:pPr>
          </w:p>
        </w:tc>
        <w:tc>
          <w:tcPr>
            <w:tcW w:w="13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Currency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4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14,930.0</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12,184.5</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12,141.9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10,047.7</w:t>
            </w:r>
          </w:p>
        </w:tc>
        <w:tc>
          <w:tcPr>
            <w:tcW w:w="1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20.8%</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1,878.9</w:t>
            </w:r>
          </w:p>
        </w:tc>
        <w:tc>
          <w:tcPr>
            <w:tcW w:w="1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27.3%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profit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-26.6%</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3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46.7%</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55.9%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per share - diluted (b)</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 diluted (b)</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3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-1229995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-1229995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-1229995</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-1229995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-1229995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-1229995</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-929640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-929640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-929640</wp:posOffset>
            </wp:positionV>
            <wp:extent cx="2159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-929640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-929640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-929640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-629285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-629285</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-629285</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-629285</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-629285</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-629285</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-329565</wp:posOffset>
            </wp:positionV>
            <wp:extent cx="45847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-329565</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-329565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-329565</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4584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138" w:lineRule="exact"/>
        <w:rPr>
          <w:sz w:val="20"/>
          <w:szCs w:val="20"/>
          <w:color w:val="auto"/>
        </w:rPr>
      </w:pPr>
    </w:p>
    <w:p>
      <w:pPr>
        <w:ind w:left="460" w:right="40" w:hanging="452"/>
        <w:spacing w:after="0" w:line="26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services include fees received from our franchise offices of $34.5 million and $26.5 million for the year ended December 31, 2004 and 2003, respectively. These fees are primarily based on revenues generated by the franchise offices, which were $1,487.1 million and $1,214.4 million for the year ended December 31, 2004 and 2003, respectively.</w:t>
      </w:r>
    </w:p>
    <w:p>
      <w:pPr>
        <w:spacing w:after="0" w:line="3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year figures have been restated to reflect the impact of applying the “if-converted” method to our convertible debentures.</w:t>
      </w:r>
    </w:p>
    <w:p>
      <w:pPr>
        <w:sectPr>
          <w:pgSz w:w="11900" w:h="16838" w:orient="portrait"/>
          <w:cols w:equalWidth="0" w:num="1">
            <w:col w:w="11420"/>
          </w:cols>
          <w:pgMar w:left="240" w:top="272"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Operating Unit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w w:val="98"/>
              </w:rPr>
              <w:t>Year Ended December 31</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0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5"/>
              </w:rPr>
              <w:t>Constant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2004</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2003</w:t>
            </w:r>
          </w:p>
        </w:tc>
        <w:tc>
          <w:tcPr>
            <w:tcW w:w="220" w:type="dxa"/>
            <w:vAlign w:val="bottom"/>
          </w:tcPr>
          <w:p>
            <w:pPr>
              <w:spacing w:after="0"/>
              <w:rPr>
                <w:sz w:val="15"/>
                <w:szCs w:val="15"/>
                <w:color w:val="auto"/>
              </w:rPr>
            </w:pPr>
          </w:p>
        </w:tc>
        <w:tc>
          <w:tcPr>
            <w:tcW w:w="116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Currency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80" w:type="dxa"/>
            <w:vAlign w:val="bottom"/>
            <w:gridSpan w:val="2"/>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Services: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 (a)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2,041.1</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1,945.8</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France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4,638.8</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3,920.2</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29.7%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Jefferson Wells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Right (b)</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14,930.0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12,184.5</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Unit Profit: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46.4%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France</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EMEA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122.4%</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Jefferson Wells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Right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N/A</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Operations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Corporate expenses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5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profit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expenses (c)</w:t>
            </w: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-2413000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-2413000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-2413000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-2413000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-2413000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-2413000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-29210</wp:posOffset>
            </wp:positionV>
            <wp:extent cx="48450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4505" cy="29845"/>
                    </a:xfrm>
                    <a:prstGeom prst="rect">
                      <a:avLst/>
                    </a:prstGeom>
                    <a:noFill/>
                  </pic:spPr>
                </pic:pic>
              </a:graphicData>
            </a:graphic>
          </wp:anchor>
        </w:drawing>
      </w:r>
    </w:p>
    <w:p>
      <w:pPr>
        <w:spacing w:after="0" w:line="138" w:lineRule="exact"/>
        <w:rPr>
          <w:sz w:val="20"/>
          <w:szCs w:val="20"/>
          <w:color w:val="auto"/>
        </w:rPr>
      </w:pPr>
    </w:p>
    <w:p>
      <w:pPr>
        <w:ind w:left="460" w:right="40" w:hanging="452"/>
        <w:spacing w:after="0" w:line="262"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United States, revenues from services include fees received from the related franchise offices of $25.0 million and $21.9 million for the year ended December 31, 2004 and 2003, respectively. These fees are primarily based on revenues generated by the franchise offices, which were $1,181.5 million and $1,026.2 million for the year ended December 31, 2004 and 2003, respectively.</w:t>
      </w:r>
    </w:p>
    <w:p>
      <w:pPr>
        <w:spacing w:after="0" w:line="3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operations of Right Management Consultants, Inc., since its acquisition in January 2004, and the Empower Group.</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components of interest and other expense (income) were:</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ind w:right="13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gains</w:t>
            </w:r>
          </w:p>
        </w:tc>
        <w:tc>
          <w:tcPr>
            <w:tcW w:w="19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40" w:type="dxa"/>
            <w:vAlign w:val="bottom"/>
            <w:gridSpan w:val="3"/>
            <w:shd w:val="clear" w:color="auto" w:fill="CCEEFF"/>
          </w:tcPr>
          <w:p>
            <w:pPr>
              <w:jc w:val="right"/>
              <w:ind w:right="1360"/>
              <w:spacing w:after="0"/>
              <w:rPr>
                <w:sz w:val="20"/>
                <w:szCs w:val="20"/>
                <w:color w:val="auto"/>
              </w:rPr>
            </w:pPr>
            <w:r>
              <w:rPr>
                <w:rFonts w:ascii="Times New Roman" w:cs="Times New Roman" w:eastAsia="Times New Roman" w:hAnsi="Times New Roman"/>
                <w:sz w:val="18"/>
                <w:szCs w:val="18"/>
                <w:color w:val="auto"/>
              </w:rPr>
              <w:t>(1.3)</w:t>
            </w:r>
          </w:p>
        </w:tc>
      </w:tr>
      <w:tr>
        <w:trPr>
          <w:trHeight w:val="228"/>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(income) expense, net</w:t>
            </w:r>
          </w:p>
        </w:tc>
        <w:tc>
          <w:tcPr>
            <w:tcW w:w="1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96"/>
        </w:trPr>
        <w:tc>
          <w:tcPr>
            <w:tcW w:w="45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102"/>
        </w:trPr>
        <w:tc>
          <w:tcPr>
            <w:tcW w:w="4540" w:type="dxa"/>
            <w:vAlign w:val="bottom"/>
          </w:tcPr>
          <w:p>
            <w:pPr>
              <w:spacing w:after="0"/>
              <w:rPr>
                <w:sz w:val="8"/>
                <w:szCs w:val="8"/>
                <w:color w:val="auto"/>
              </w:rPr>
            </w:pPr>
          </w:p>
        </w:tc>
        <w:tc>
          <w:tcPr>
            <w:tcW w:w="19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0" w:type="dxa"/>
            <w:vAlign w:val="bottom"/>
          </w:tcPr>
          <w:p>
            <w:pPr>
              <w:spacing w:after="0"/>
              <w:rPr>
                <w:sz w:val="8"/>
                <w:szCs w:val="8"/>
                <w:color w:val="auto"/>
              </w:rPr>
            </w:pPr>
          </w:p>
        </w:tc>
      </w:tr>
      <w:tr>
        <w:trPr>
          <w:trHeight w:val="216"/>
        </w:trPr>
        <w:tc>
          <w:tcPr>
            <w:tcW w:w="454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32"/>
        </w:trPr>
        <w:tc>
          <w:tcPr>
            <w:tcW w:w="45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-29210</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7"/>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531.8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3,227.8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2,600.9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Future income tax benefits</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3,994.2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3,228.6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Goodwill and other intangible assets, net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1,297.0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Investments in licensees</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222.8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other assets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1,602.5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Land, buildings, leasehold improvements and equipment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446.7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5,819.8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687.1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Employee compensation payable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Value added taxes payable</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225.7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2,578.6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1,877.9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676.1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other liabilities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1,067.2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Common stock</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2,296.4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Treasury stock, at cost</w:t>
            </w: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2,174.0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1,310.3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2"/>
              </w:rPr>
              <w:t>5,819.8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4,376.4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6237605</wp:posOffset>
            </wp:positionH>
            <wp:positionV relativeFrom="paragraph">
              <wp:posOffset>-3656965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-3656965</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-3656965</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-3656965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-3656965</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-3656965</wp:posOffset>
            </wp:positionV>
            <wp:extent cx="3873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6863715</wp:posOffset>
            </wp:positionH>
            <wp:positionV relativeFrom="paragraph">
              <wp:posOffset>-29210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43"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5"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6359525</wp:posOffset>
            </wp:positionH>
            <wp:positionV relativeFrom="paragraph">
              <wp:posOffset>60325</wp:posOffset>
            </wp:positionV>
            <wp:extent cx="84899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48995"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000" w:type="dxa"/>
            <w:vAlign w:val="bottom"/>
          </w:tcPr>
          <w:p>
            <w:pPr>
              <w:spacing w:after="0"/>
              <w:rPr>
                <w:sz w:val="15"/>
                <w:szCs w:val="15"/>
                <w:color w:val="auto"/>
              </w:rPr>
            </w:pPr>
          </w:p>
        </w:tc>
        <w:tc>
          <w:tcPr>
            <w:tcW w:w="5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2004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000" w:type="dxa"/>
            <w:vAlign w:val="bottom"/>
          </w:tcPr>
          <w:p>
            <w:pPr>
              <w:spacing w:after="0"/>
              <w:rPr>
                <w:sz w:val="21"/>
                <w:szCs w:val="21"/>
                <w:color w:val="auto"/>
              </w:rPr>
            </w:pPr>
          </w:p>
        </w:tc>
        <w:tc>
          <w:tcPr>
            <w:tcW w:w="140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earnings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$ 245.7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Amortization of discount on convertible debentures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income taxes</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non-operating gains</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Changes in operating assets and liabilities excluding the impact of acquisitions: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(363.9)</w:t>
            </w: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Other liabilities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(67.9)</w:t>
            </w: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 of an equity interest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Cash used by investing activities</w:t>
            </w:r>
          </w:p>
        </w:tc>
        <w:tc>
          <w:tcPr>
            <w:tcW w:w="8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(149.8)</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borrowings (repayments) of short-term facilities and long-term debt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Proceeds from stock option and purchase plans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paid</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(27.1)</w:t>
            </w:r>
          </w:p>
        </w:tc>
        <w:tc>
          <w:tcPr>
            <w:tcW w:w="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Cash provided (used) by financing activities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105.6</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0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$ 531.8</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0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-29210</wp:posOffset>
            </wp:positionV>
            <wp:extent cx="2159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Exhibit 99.2</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300" w:type="dxa"/>
            <w:vAlign w:val="bottom"/>
            <w:gridSpan w:val="2"/>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w w:val="96"/>
              </w:rPr>
              <w:t>Manpower Inc.</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300" w:type="dxa"/>
            <w:vAlign w:val="bottom"/>
            <w:gridSpan w:val="2"/>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w w:val="97"/>
              </w:rPr>
              <w:t>Restated Net Earnings Per Share - Diluted</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300" w:type="dxa"/>
            <w:vAlign w:val="bottom"/>
            <w:gridSpan w:val="2"/>
          </w:tcPr>
          <w:p>
            <w:pPr>
              <w:jc w:val="center"/>
              <w:ind w:left="712"/>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40" w:type="dxa"/>
            <w:vAlign w:val="bottom"/>
          </w:tcPr>
          <w:p>
            <w:pPr>
              <w:spacing w:after="0"/>
              <w:rPr>
                <w:sz w:val="24"/>
                <w:szCs w:val="24"/>
                <w:color w:val="auto"/>
              </w:rPr>
            </w:pPr>
          </w:p>
        </w:tc>
        <w:tc>
          <w:tcPr>
            <w:tcW w:w="1400" w:type="dxa"/>
            <w:vAlign w:val="bottom"/>
            <w:gridSpan w:val="3"/>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5060" w:type="dxa"/>
            <w:vAlign w:val="bottom"/>
          </w:tcPr>
          <w:p>
            <w:pPr>
              <w:spacing w:after="0"/>
              <w:rPr>
                <w:sz w:val="22"/>
                <w:szCs w:val="22"/>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As Reported</w:t>
            </w:r>
          </w:p>
        </w:tc>
        <w:tc>
          <w:tcPr>
            <w:tcW w:w="420" w:type="dxa"/>
            <w:vAlign w:val="bottom"/>
          </w:tcPr>
          <w:p>
            <w:pPr>
              <w:spacing w:after="0"/>
              <w:rPr>
                <w:sz w:val="22"/>
                <w:szCs w:val="22"/>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2"/>
              </w:rPr>
              <w:t>Restated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As Reported</w:t>
            </w:r>
          </w:p>
        </w:tc>
        <w:tc>
          <w:tcPr>
            <w:tcW w:w="4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Restated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2001</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March</w:t>
            </w:r>
          </w:p>
        </w:tc>
        <w:tc>
          <w:tcPr>
            <w:tcW w:w="53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  0.35</w:t>
            </w:r>
          </w:p>
        </w:tc>
        <w:tc>
          <w:tcPr>
            <w:tcW w:w="240" w:type="dxa"/>
            <w:vAlign w:val="bottom"/>
          </w:tcPr>
          <w:p>
            <w:pPr>
              <w:jc w:val="right"/>
              <w:ind w:right="85"/>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June</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0.45</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September</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December</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2002</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March</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0.09</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June</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September</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December</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0.50</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2003</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March</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June</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0.36</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September</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0.53</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December</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0.61</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2004</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March</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June</w:t>
            </w:r>
          </w:p>
        </w:tc>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0.56</w:t>
            </w: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September</w:t>
            </w:r>
          </w:p>
        </w:tc>
        <w:tc>
          <w:tcPr>
            <w:tcW w:w="5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3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0.87</w:t>
            </w: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6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December</w:t>
            </w:r>
          </w:p>
        </w:tc>
        <w:tc>
          <w:tcPr>
            <w:tcW w:w="5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13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0.73</w:t>
            </w: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September 2004, the Emerging Issues Task Force (“EITF”) issued Issue No. 04-8, “The Effect of Contingently Convertible Debt on Diluted Earnings Per Share” (“EITF 04-8”), which requires the effect of contingently convertible debt securities with a market price trigger to be included in the calculation of diluted earnings per share, using the “if-converted” method, regardless of whether the market price trigger has been met. EITF 04-8 also requires restatement of previously reported earnings. Our convertible debentures, issued in August 2001, have such a feature, and therefore we have restated Net Earnings Per Share - Diluted for all periods since the issuance.</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2019-12-20T17:09:36Z</dcterms:created>
  <dcterms:modified xsi:type="dcterms:W3CDTF">2019-12-20T17:09:36Z</dcterms:modified>
</cp:coreProperties>
</file>