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Read Paul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2031 or within 30 days after the reporting person's termination of service as a director, except as otherwise provided in the Terms and Conditions.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893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2025-01-03T15:57:57Z</dcterms:created>
  <dcterms:modified xsi:type="dcterms:W3CDTF">2025-01-03T15:57:57Z</dcterms:modified>
</cp:coreProperties>
</file>