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CHANDRASHEKAR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40"/>
        <w:spacing w:after="0" w:line="268" w:lineRule="auto"/>
        <w:rPr>
          <w:sz w:val="20"/>
          <w:szCs w:val="20"/>
          <w:color w:val="auto"/>
        </w:rPr>
      </w:pPr>
      <w:r>
        <w:rPr>
          <w:rFonts w:ascii="Arial" w:cs="Arial" w:eastAsia="Arial" w:hAnsi="Arial"/>
          <w:sz w:val="18"/>
          <w:szCs w:val="18"/>
          <w:color w:val="0000FF"/>
        </w:rPr>
        <w:t>MANPOWERGROUP INC. 10 HOE CHIANG ROAD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 04/05 KEPPEL TOWERS</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SINGAPORE</w:t>
            </w:r>
          </w:p>
        </w:tc>
        <w:tc>
          <w:tcPr>
            <w:tcW w:w="980" w:type="dxa"/>
            <w:vAlign w:val="bottom"/>
          </w:tcPr>
          <w:p>
            <w:pPr>
              <w:ind w:left="140"/>
              <w:spacing w:after="0"/>
              <w:rPr>
                <w:sz w:val="20"/>
                <w:szCs w:val="20"/>
                <w:color w:val="auto"/>
              </w:rPr>
            </w:pPr>
            <w:r>
              <w:rPr>
                <w:rFonts w:ascii="Arial" w:cs="Arial" w:eastAsia="Arial" w:hAnsi="Arial"/>
                <w:sz w:val="18"/>
                <w:szCs w:val="18"/>
                <w:color w:val="0000FF"/>
              </w:rPr>
              <w:t>U0</w:t>
            </w:r>
          </w:p>
        </w:tc>
        <w:tc>
          <w:tcPr>
            <w:tcW w:w="1680" w:type="dxa"/>
            <w:vAlign w:val="bottom"/>
          </w:tcPr>
          <w:p>
            <w:pPr>
              <w:ind w:left="420"/>
              <w:spacing w:after="0"/>
              <w:rPr>
                <w:sz w:val="20"/>
                <w:szCs w:val="20"/>
                <w:color w:val="auto"/>
              </w:rPr>
            </w:pPr>
            <w:r>
              <w:rPr>
                <w:rFonts w:ascii="Arial" w:cs="Arial" w:eastAsia="Arial" w:hAnsi="Arial"/>
                <w:sz w:val="18"/>
                <w:szCs w:val="18"/>
                <w:color w:val="0000FF"/>
              </w:rPr>
              <w:t>089315</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ManpowerGroup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60" w:type="dxa"/>
            <w:vAlign w:val="bottom"/>
          </w:tcPr>
          <w:p>
            <w:pPr>
              <w:ind w:left="2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restart"/>
          </w:tcPr>
          <w:p>
            <w:pPr>
              <w:ind w:left="1040"/>
              <w:spacing w:after="0"/>
              <w:rPr>
                <w:sz w:val="20"/>
                <w:szCs w:val="20"/>
                <w:color w:val="auto"/>
              </w:rPr>
            </w:pPr>
            <w:r>
              <w:rPr>
                <w:rFonts w:ascii="Arial" w:cs="Arial" w:eastAsia="Arial" w:hAnsi="Arial"/>
                <w:sz w:val="18"/>
                <w:szCs w:val="18"/>
                <w:color w:val="0000FF"/>
              </w:rPr>
              <w:t>EVP</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0000FF"/>
              </w:rPr>
              <w:t>10/24/2016</w:t>
            </w: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tcPr>
          <w:p>
            <w:pPr>
              <w:spacing w:after="0"/>
              <w:rPr>
                <w:sz w:val="8"/>
                <w:szCs w:val="8"/>
                <w:color w:val="auto"/>
              </w:rPr>
            </w:pPr>
          </w:p>
        </w:tc>
        <w:tc>
          <w:tcPr>
            <w:tcW w:w="2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10/24/2016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7,784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80.6135</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374"/>
              <w:spacing w:after="0"/>
              <w:rPr>
                <w:sz w:val="20"/>
                <w:szCs w:val="20"/>
                <w:color w:val="auto"/>
              </w:rPr>
            </w:pPr>
            <w:r>
              <w:rPr>
                <w:rFonts w:ascii="Arial" w:cs="Arial" w:eastAsia="Arial" w:hAnsi="Arial"/>
                <w:sz w:val="18"/>
                <w:szCs w:val="18"/>
                <w:color w:val="0000FF"/>
                <w:w w:val="84"/>
              </w:rPr>
              <w:t>1,477</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10/24/2016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1,477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81.2888</w:t>
            </w:r>
            <w:r>
              <w:rPr>
                <w:rFonts w:ascii="Arial" w:cs="Arial" w:eastAsia="Arial" w:hAnsi="Arial"/>
                <w:sz w:val="22"/>
                <w:szCs w:val="22"/>
                <w:color w:val="008000"/>
                <w:w w:val="90"/>
                <w:vertAlign w:val="superscript"/>
              </w:rPr>
              <w:t>(2)</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534"/>
              <w:spacing w:after="0"/>
              <w:rPr>
                <w:sz w:val="20"/>
                <w:szCs w:val="20"/>
                <w:color w:val="auto"/>
              </w:rPr>
            </w:pPr>
            <w:r>
              <w:rPr>
                <w:rFonts w:ascii="Arial" w:cs="Arial" w:eastAsia="Arial" w:hAnsi="Arial"/>
                <w:sz w:val="18"/>
                <w:szCs w:val="18"/>
                <w:color w:val="0000FF"/>
              </w:rPr>
              <w:t>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$80.15 to $81.02.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$81.25 to $81.43. Upon request, the reporting person will provide to the SEC staff, the issuer, or any security holder of the issuer, full information regarding the number of shares sold at each separate price within this range.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10/26/2016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signed)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6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6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9745"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2019-12-23T15:27:17Z</dcterms:created>
  <dcterms:modified xsi:type="dcterms:W3CDTF">2019-12-23T15:27:17Z</dcterms:modified>
</cp:coreProperties>
</file>