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39"/>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ind w:right="-639"/>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ind w:right="-6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ind w:right="-639"/>
        <w:spacing w:after="0"/>
        <w:rPr>
          <w:sz w:val="20"/>
          <w:szCs w:val="20"/>
          <w:color w:val="auto"/>
        </w:rPr>
      </w:pPr>
      <w:r>
        <w:rPr>
          <w:rFonts w:ascii="Arial" w:cs="Arial" w:eastAsia="Arial" w:hAnsi="Arial"/>
          <w:sz w:val="16"/>
          <w:szCs w:val="16"/>
          <w:color w:val="auto"/>
        </w:rPr>
        <w:t>Date of Report (Date of earliest event reported): July 21, 2011</w:t>
      </w:r>
    </w:p>
    <w:p>
      <w:pPr>
        <w:spacing w:after="0" w:line="199" w:lineRule="exact"/>
        <w:rPr>
          <w:sz w:val="24"/>
          <w:szCs w:val="24"/>
          <w:color w:val="auto"/>
        </w:rPr>
      </w:pPr>
    </w:p>
    <w:p>
      <w:pPr>
        <w:jc w:val="center"/>
        <w:ind w:right="-639"/>
        <w:spacing w:after="0"/>
        <w:rPr>
          <w:sz w:val="20"/>
          <w:szCs w:val="20"/>
          <w:color w:val="auto"/>
        </w:rPr>
      </w:pPr>
      <w:r>
        <w:rPr>
          <w:rFonts w:ascii="Arial" w:cs="Arial" w:eastAsia="Arial" w:hAnsi="Arial"/>
          <w:sz w:val="38"/>
          <w:szCs w:val="38"/>
          <w:b w:val="1"/>
          <w:bCs w:val="1"/>
          <w:color w:val="auto"/>
        </w:rPr>
        <w:t>MANPOWER INC.</w:t>
      </w:r>
    </w:p>
    <w:p>
      <w:pPr>
        <w:spacing w:after="0" w:line="43" w:lineRule="exact"/>
        <w:rPr>
          <w:sz w:val="24"/>
          <w:szCs w:val="24"/>
          <w:color w:val="auto"/>
        </w:rPr>
      </w:pPr>
    </w:p>
    <w:p>
      <w:pPr>
        <w:jc w:val="center"/>
        <w:ind w:right="-639"/>
        <w:spacing w:after="0"/>
        <w:rPr>
          <w:sz w:val="20"/>
          <w:szCs w:val="20"/>
          <w:color w:val="auto"/>
        </w:rPr>
      </w:pPr>
      <w:r>
        <w:rPr>
          <w:rFonts w:ascii="Arial" w:cs="Arial" w:eastAsia="Arial" w:hAnsi="Arial"/>
          <w:sz w:val="19"/>
          <w:szCs w:val="19"/>
          <w:b w:val="1"/>
          <w:bCs w:val="1"/>
          <w:color w:val="auto"/>
        </w:rPr>
        <w:t>(d/b/a ManpowerGroup)</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1140" w:type="dxa"/>
        <w:tblCellMar>
          <w:top w:w="0" w:type="dxa"/>
          <w:left w:w="0" w:type="dxa"/>
          <w:bottom w:w="0" w:type="dxa"/>
          <w:right w:w="0" w:type="dxa"/>
        </w:tblCellMar>
      </w:tblPr>
      <w:tr>
        <w:trPr>
          <w:trHeight w:val="213"/>
        </w:trPr>
        <w:tc>
          <w:tcPr>
            <w:tcW w:w="3580" w:type="dxa"/>
            <w:vAlign w:val="bottom"/>
            <w:tcBorders>
              <w:bottom w:val="single" w:sz="8" w:color="auto"/>
            </w:tcBorders>
          </w:tcPr>
          <w:p>
            <w:pPr>
              <w:jc w:val="center"/>
              <w:ind w:right="520"/>
              <w:spacing w:after="0"/>
              <w:rPr>
                <w:sz w:val="20"/>
                <w:szCs w:val="20"/>
                <w:color w:val="auto"/>
              </w:rPr>
            </w:pPr>
            <w:r>
              <w:rPr>
                <w:rFonts w:ascii="Arial" w:cs="Arial" w:eastAsia="Arial" w:hAnsi="Arial"/>
                <w:sz w:val="16"/>
                <w:szCs w:val="16"/>
                <w:b w:val="1"/>
                <w:bCs w:val="1"/>
                <w:color w:val="auto"/>
                <w:w w:val="87"/>
              </w:rPr>
              <w:t>Wisconsin</w:t>
            </w:r>
          </w:p>
        </w:tc>
        <w:tc>
          <w:tcPr>
            <w:tcW w:w="2360" w:type="dxa"/>
            <w:vAlign w:val="bottom"/>
            <w:tcBorders>
              <w:bottom w:val="single" w:sz="8" w:color="auto"/>
            </w:tcBorders>
          </w:tcPr>
          <w:p>
            <w:pPr>
              <w:jc w:val="right"/>
              <w:ind w:right="1020"/>
              <w:spacing w:after="0"/>
              <w:rPr>
                <w:sz w:val="20"/>
                <w:szCs w:val="20"/>
                <w:color w:val="auto"/>
              </w:rPr>
            </w:pPr>
            <w:r>
              <w:rPr>
                <w:rFonts w:ascii="Arial" w:cs="Arial" w:eastAsia="Arial" w:hAnsi="Arial"/>
                <w:sz w:val="16"/>
                <w:szCs w:val="16"/>
                <w:b w:val="1"/>
                <w:bCs w:val="1"/>
                <w:color w:val="auto"/>
              </w:rPr>
              <w:t>1-10686</w:t>
            </w:r>
          </w:p>
        </w:tc>
        <w:tc>
          <w:tcPr>
            <w:tcW w:w="3220" w:type="dxa"/>
            <w:vAlign w:val="bottom"/>
            <w:tcBorders>
              <w:bottom w:val="single" w:sz="8" w:color="auto"/>
            </w:tcBorders>
          </w:tcPr>
          <w:p>
            <w:pPr>
              <w:jc w:val="right"/>
              <w:ind w:right="1040"/>
              <w:spacing w:after="0"/>
              <w:rPr>
                <w:sz w:val="20"/>
                <w:szCs w:val="20"/>
                <w:color w:val="auto"/>
              </w:rPr>
            </w:pPr>
            <w:r>
              <w:rPr>
                <w:rFonts w:ascii="Arial" w:cs="Arial" w:eastAsia="Arial" w:hAnsi="Arial"/>
                <w:sz w:val="16"/>
                <w:szCs w:val="16"/>
                <w:b w:val="1"/>
                <w:bCs w:val="1"/>
                <w:color w:val="auto"/>
              </w:rPr>
              <w:t>39-1672779</w:t>
            </w:r>
          </w:p>
        </w:tc>
      </w:tr>
      <w:tr>
        <w:trPr>
          <w:trHeight w:val="176"/>
        </w:trPr>
        <w:tc>
          <w:tcPr>
            <w:tcW w:w="3580" w:type="dxa"/>
            <w:vAlign w:val="bottom"/>
          </w:tcPr>
          <w:p>
            <w:pPr>
              <w:jc w:val="center"/>
              <w:ind w:right="540"/>
              <w:spacing w:after="0" w:line="176" w:lineRule="exact"/>
              <w:rPr>
                <w:sz w:val="20"/>
                <w:szCs w:val="20"/>
                <w:color w:val="auto"/>
              </w:rPr>
            </w:pPr>
            <w:r>
              <w:rPr>
                <w:rFonts w:ascii="Arial" w:cs="Arial" w:eastAsia="Arial" w:hAnsi="Arial"/>
                <w:sz w:val="16"/>
                <w:szCs w:val="16"/>
                <w:b w:val="1"/>
                <w:bCs w:val="1"/>
                <w:color w:val="auto"/>
                <w:w w:val="91"/>
              </w:rPr>
              <w:t>(State or other jurisdiction of</w:t>
            </w:r>
          </w:p>
        </w:tc>
        <w:tc>
          <w:tcPr>
            <w:tcW w:w="2360" w:type="dxa"/>
            <w:vAlign w:val="bottom"/>
          </w:tcPr>
          <w:p>
            <w:pPr>
              <w:jc w:val="center"/>
              <w:ind w:right="300"/>
              <w:spacing w:after="0" w:line="176" w:lineRule="exact"/>
              <w:rPr>
                <w:sz w:val="20"/>
                <w:szCs w:val="20"/>
                <w:color w:val="auto"/>
              </w:rPr>
            </w:pPr>
            <w:r>
              <w:rPr>
                <w:rFonts w:ascii="Arial" w:cs="Arial" w:eastAsia="Arial" w:hAnsi="Arial"/>
                <w:sz w:val="16"/>
                <w:szCs w:val="16"/>
                <w:b w:val="1"/>
                <w:bCs w:val="1"/>
                <w:color w:val="auto"/>
                <w:w w:val="91"/>
              </w:rPr>
              <w:t>(Commission File Number)</w:t>
            </w:r>
          </w:p>
        </w:tc>
        <w:tc>
          <w:tcPr>
            <w:tcW w:w="3220" w:type="dxa"/>
            <w:vAlign w:val="bottom"/>
          </w:tcPr>
          <w:p>
            <w:pPr>
              <w:jc w:val="center"/>
              <w:ind w:left="140"/>
              <w:spacing w:after="0" w:line="176" w:lineRule="exact"/>
              <w:rPr>
                <w:sz w:val="20"/>
                <w:szCs w:val="20"/>
                <w:color w:val="auto"/>
              </w:rPr>
            </w:pPr>
            <w:r>
              <w:rPr>
                <w:rFonts w:ascii="Arial" w:cs="Arial" w:eastAsia="Arial" w:hAnsi="Arial"/>
                <w:sz w:val="16"/>
                <w:szCs w:val="16"/>
                <w:b w:val="1"/>
                <w:bCs w:val="1"/>
                <w:color w:val="auto"/>
                <w:w w:val="93"/>
              </w:rPr>
              <w:t>(IRS Employer Identification No.)</w:t>
            </w:r>
          </w:p>
        </w:tc>
      </w:tr>
      <w:tr>
        <w:trPr>
          <w:trHeight w:val="209"/>
        </w:trPr>
        <w:tc>
          <w:tcPr>
            <w:tcW w:w="3580" w:type="dxa"/>
            <w:vAlign w:val="bottom"/>
          </w:tcPr>
          <w:p>
            <w:pPr>
              <w:jc w:val="center"/>
              <w:ind w:right="540"/>
              <w:spacing w:after="0"/>
              <w:rPr>
                <w:sz w:val="20"/>
                <w:szCs w:val="20"/>
                <w:color w:val="auto"/>
              </w:rPr>
            </w:pPr>
            <w:r>
              <w:rPr>
                <w:rFonts w:ascii="Arial" w:cs="Arial" w:eastAsia="Arial" w:hAnsi="Arial"/>
                <w:sz w:val="16"/>
                <w:szCs w:val="16"/>
                <w:b w:val="1"/>
                <w:bCs w:val="1"/>
                <w:color w:val="auto"/>
                <w:w w:val="92"/>
              </w:rPr>
              <w:t>incorporation)</w:t>
            </w:r>
          </w:p>
        </w:tc>
        <w:tc>
          <w:tcPr>
            <w:tcW w:w="23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608"/>
        </w:trPr>
        <w:tc>
          <w:tcPr>
            <w:tcW w:w="3580" w:type="dxa"/>
            <w:vAlign w:val="bottom"/>
          </w:tcPr>
          <w:p>
            <w:pPr>
              <w:jc w:val="center"/>
              <w:ind w:left="740"/>
              <w:spacing w:after="0"/>
              <w:rPr>
                <w:sz w:val="20"/>
                <w:szCs w:val="20"/>
                <w:color w:val="auto"/>
              </w:rPr>
            </w:pPr>
            <w:r>
              <w:rPr>
                <w:rFonts w:ascii="Arial" w:cs="Arial" w:eastAsia="Arial" w:hAnsi="Arial"/>
                <w:sz w:val="16"/>
                <w:szCs w:val="16"/>
                <w:b w:val="1"/>
                <w:bCs w:val="1"/>
                <w:color w:val="auto"/>
                <w:w w:val="91"/>
              </w:rPr>
              <w:t>100 Manpower Place</w:t>
            </w:r>
          </w:p>
        </w:tc>
        <w:tc>
          <w:tcPr>
            <w:tcW w:w="23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3"/>
        </w:trPr>
        <w:tc>
          <w:tcPr>
            <w:tcW w:w="3580" w:type="dxa"/>
            <w:vAlign w:val="bottom"/>
            <w:tcBorders>
              <w:bottom w:val="single" w:sz="8" w:color="auto"/>
            </w:tcBorders>
          </w:tcPr>
          <w:p>
            <w:pPr>
              <w:jc w:val="center"/>
              <w:ind w:left="740"/>
              <w:spacing w:after="0"/>
              <w:rPr>
                <w:sz w:val="20"/>
                <w:szCs w:val="20"/>
                <w:color w:val="auto"/>
              </w:rPr>
            </w:pPr>
            <w:r>
              <w:rPr>
                <w:rFonts w:ascii="Arial" w:cs="Arial" w:eastAsia="Arial" w:hAnsi="Arial"/>
                <w:sz w:val="16"/>
                <w:szCs w:val="16"/>
                <w:b w:val="1"/>
                <w:bCs w:val="1"/>
                <w:color w:val="auto"/>
                <w:w w:val="89"/>
              </w:rPr>
              <w:t>Milwaukee, Wisconsin</w:t>
            </w:r>
          </w:p>
        </w:tc>
        <w:tc>
          <w:tcPr>
            <w:tcW w:w="2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2100"/>
              <w:spacing w:after="0"/>
              <w:rPr>
                <w:sz w:val="20"/>
                <w:szCs w:val="20"/>
                <w:color w:val="auto"/>
              </w:rPr>
            </w:pPr>
            <w:r>
              <w:rPr>
                <w:rFonts w:ascii="Arial" w:cs="Arial" w:eastAsia="Arial" w:hAnsi="Arial"/>
                <w:sz w:val="16"/>
                <w:szCs w:val="16"/>
                <w:b w:val="1"/>
                <w:bCs w:val="1"/>
                <w:color w:val="auto"/>
              </w:rPr>
              <w:t>53212</w:t>
            </w:r>
          </w:p>
        </w:tc>
      </w:tr>
      <w:tr>
        <w:trPr>
          <w:trHeight w:val="209"/>
        </w:trPr>
        <w:tc>
          <w:tcPr>
            <w:tcW w:w="3580" w:type="dxa"/>
            <w:vAlign w:val="bottom"/>
          </w:tcPr>
          <w:p>
            <w:pPr>
              <w:jc w:val="center"/>
              <w:ind w:left="74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360" w:type="dxa"/>
            <w:vAlign w:val="bottom"/>
          </w:tcPr>
          <w:p>
            <w:pPr>
              <w:spacing w:after="0"/>
              <w:rPr>
                <w:sz w:val="18"/>
                <w:szCs w:val="18"/>
                <w:color w:val="auto"/>
              </w:rPr>
            </w:pPr>
          </w:p>
        </w:tc>
        <w:tc>
          <w:tcPr>
            <w:tcW w:w="3220" w:type="dxa"/>
            <w:vAlign w:val="bottom"/>
          </w:tcPr>
          <w:p>
            <w:pPr>
              <w:jc w:val="center"/>
              <w:ind w:right="1480"/>
              <w:spacing w:after="0"/>
              <w:rPr>
                <w:sz w:val="20"/>
                <w:szCs w:val="20"/>
                <w:color w:val="auto"/>
              </w:rPr>
            </w:pPr>
            <w:r>
              <w:rPr>
                <w:rFonts w:ascii="Arial" w:cs="Arial" w:eastAsia="Arial" w:hAnsi="Arial"/>
                <w:sz w:val="16"/>
                <w:szCs w:val="16"/>
                <w:b w:val="1"/>
                <w:bCs w:val="1"/>
                <w:color w:val="auto"/>
                <w:w w:val="93"/>
              </w:rPr>
              <w:t>(Zip Code)</w:t>
            </w:r>
          </w:p>
        </w:tc>
      </w:tr>
    </w:tbl>
    <w:p>
      <w:pPr>
        <w:spacing w:after="0" w:line="187"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7"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On July 21, 2011, we issued a press release announcing our results of operations for the three- and six- month periods ended June 30, 2011. A copy of the press release is attached hereto as Exhibit 99.1 and is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Item 9.01. Exhibits</w:t>
            </w:r>
            <w:r>
              <w:rPr>
                <w:rFonts w:ascii="Arial" w:cs="Arial" w:eastAsia="Arial" w:hAnsi="Arial"/>
                <w:sz w:val="16"/>
                <w:szCs w:val="16"/>
                <w:color w:val="auto"/>
                <w:w w:val="94"/>
              </w:rPr>
              <w:t>.</w:t>
            </w:r>
          </w:p>
        </w:tc>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412"/>
        </w:trPr>
        <w:tc>
          <w:tcPr>
            <w:tcW w:w="2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Exhibit No.</w:t>
            </w:r>
          </w:p>
        </w:tc>
        <w:tc>
          <w:tcPr>
            <w:tcW w:w="53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Description</w:t>
            </w:r>
          </w:p>
        </w:tc>
        <w:tc>
          <w:tcPr>
            <w:tcW w:w="45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128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color w:val="auto"/>
                <w:w w:val="89"/>
              </w:rPr>
              <w:t>99.1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Press Release dated July 21, 2011</w:t>
            </w:r>
          </w:p>
        </w:tc>
        <w:tc>
          <w:tcPr>
            <w:tcW w:w="4580" w:type="dxa"/>
            <w:vAlign w:val="bottom"/>
          </w:tcPr>
          <w:p>
            <w:pPr>
              <w:spacing w:after="0"/>
              <w:rPr>
                <w:sz w:val="15"/>
                <w:szCs w:val="15"/>
                <w:color w:val="auto"/>
              </w:rPr>
            </w:pPr>
          </w:p>
        </w:tc>
      </w:tr>
      <w:tr>
        <w:trPr>
          <w:trHeight w:val="205"/>
        </w:trPr>
        <w:tc>
          <w:tcPr>
            <w:tcW w:w="1300" w:type="dxa"/>
            <w:vAlign w:val="bottom"/>
            <w:gridSpan w:val="2"/>
          </w:tcPr>
          <w:p>
            <w:pPr>
              <w:jc w:val="center"/>
              <w:spacing w:after="0"/>
              <w:rPr>
                <w:sz w:val="20"/>
                <w:szCs w:val="20"/>
                <w:color w:val="auto"/>
              </w:rPr>
            </w:pPr>
            <w:r>
              <w:rPr>
                <w:rFonts w:ascii="Arial" w:cs="Arial" w:eastAsia="Arial" w:hAnsi="Arial"/>
                <w:sz w:val="16"/>
                <w:szCs w:val="16"/>
                <w:color w:val="auto"/>
                <w:w w:val="89"/>
              </w:rPr>
              <w:t>99.2</w:t>
            </w:r>
          </w:p>
        </w:tc>
        <w:tc>
          <w:tcPr>
            <w:tcW w:w="200" w:type="dxa"/>
            <w:vAlign w:val="bottom"/>
          </w:tcPr>
          <w:p>
            <w:pPr>
              <w:spacing w:after="0"/>
              <w:rPr>
                <w:sz w:val="17"/>
                <w:szCs w:val="17"/>
                <w:color w:val="auto"/>
              </w:rPr>
            </w:pPr>
          </w:p>
        </w:tc>
        <w:tc>
          <w:tcPr>
            <w:tcW w:w="5360" w:type="dxa"/>
            <w:vAlign w:val="bottom"/>
            <w:gridSpan w:val="2"/>
          </w:tcPr>
          <w:p>
            <w:pPr>
              <w:ind w:left="160"/>
              <w:spacing w:after="0"/>
              <w:rPr>
                <w:sz w:val="20"/>
                <w:szCs w:val="20"/>
                <w:color w:val="auto"/>
              </w:rPr>
            </w:pPr>
            <w:r>
              <w:rPr>
                <w:rFonts w:ascii="Arial" w:cs="Arial" w:eastAsia="Arial" w:hAnsi="Arial"/>
                <w:sz w:val="16"/>
                <w:szCs w:val="16"/>
                <w:color w:val="auto"/>
              </w:rPr>
              <w:t>Presentation materials for July 21, 2011 conference call</w:t>
            </w:r>
          </w:p>
        </w:tc>
        <w:tc>
          <w:tcPr>
            <w:tcW w:w="4580" w:type="dxa"/>
            <w:vAlign w:val="bottom"/>
          </w:tcPr>
          <w:p>
            <w:pPr>
              <w:spacing w:after="0"/>
              <w:rPr>
                <w:sz w:val="17"/>
                <w:szCs w:val="17"/>
                <w:color w:val="auto"/>
              </w:rPr>
            </w:pPr>
          </w:p>
        </w:tc>
      </w:tr>
      <w:tr>
        <w:trPr>
          <w:trHeight w:val="537"/>
        </w:trPr>
        <w:tc>
          <w:tcPr>
            <w:tcW w:w="20" w:type="dxa"/>
            <w:vAlign w:val="bottom"/>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(d/b/a ManpowerGroup)</w:t>
      </w:r>
    </w:p>
    <w:p>
      <w:pPr>
        <w:spacing w:after="0" w:line="188"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July 21, 2011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339"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0" w:type="dxa"/>
            <w:vAlign w:val="bottom"/>
          </w:tcPr>
          <w:p>
            <w:pPr>
              <w:ind w:left="344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Exhibit No.</w:t>
            </w:r>
          </w:p>
        </w:tc>
        <w:tc>
          <w:tcPr>
            <w:tcW w:w="5560" w:type="dxa"/>
            <w:vAlign w:val="bottom"/>
            <w:gridSpan w:val="2"/>
          </w:tcPr>
          <w:p>
            <w:pPr>
              <w:ind w:left="36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300" w:type="dxa"/>
            <w:vAlign w:val="bottom"/>
            <w:tcBorders>
              <w:top w:val="single" w:sz="8" w:color="auto"/>
            </w:tcBorders>
          </w:tcPr>
          <w:p>
            <w:pPr>
              <w:jc w:val="right"/>
              <w:ind w:right="400"/>
              <w:spacing w:after="0" w:line="180" w:lineRule="exact"/>
              <w:rPr>
                <w:sz w:val="20"/>
                <w:szCs w:val="20"/>
                <w:color w:val="auto"/>
              </w:rPr>
            </w:pPr>
            <w:r>
              <w:rPr>
                <w:rFonts w:ascii="Arial" w:cs="Arial" w:eastAsia="Arial" w:hAnsi="Arial"/>
                <w:sz w:val="16"/>
                <w:szCs w:val="16"/>
                <w:color w:val="auto"/>
              </w:rPr>
              <w:t>99.1</w:t>
            </w:r>
          </w:p>
        </w:tc>
        <w:tc>
          <w:tcPr>
            <w:tcW w:w="360" w:type="dxa"/>
            <w:vAlign w:val="bottom"/>
          </w:tcPr>
          <w:p>
            <w:pPr>
              <w:spacing w:after="0"/>
              <w:rPr>
                <w:sz w:val="15"/>
                <w:szCs w:val="15"/>
                <w:color w:val="auto"/>
              </w:rPr>
            </w:pPr>
          </w:p>
        </w:tc>
        <w:tc>
          <w:tcPr>
            <w:tcW w:w="52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Press Release dated July 21, 2011</w:t>
            </w:r>
          </w:p>
        </w:tc>
      </w:tr>
      <w:tr>
        <w:trPr>
          <w:trHeight w:val="205"/>
        </w:trPr>
        <w:tc>
          <w:tcPr>
            <w:tcW w:w="1300" w:type="dxa"/>
            <w:vAlign w:val="bottom"/>
          </w:tcPr>
          <w:p>
            <w:pPr>
              <w:jc w:val="right"/>
              <w:ind w:right="400"/>
              <w:spacing w:after="0"/>
              <w:rPr>
                <w:sz w:val="20"/>
                <w:szCs w:val="20"/>
                <w:color w:val="auto"/>
              </w:rPr>
            </w:pPr>
            <w:r>
              <w:rPr>
                <w:rFonts w:ascii="Arial" w:cs="Arial" w:eastAsia="Arial" w:hAnsi="Arial"/>
                <w:sz w:val="16"/>
                <w:szCs w:val="16"/>
                <w:color w:val="auto"/>
              </w:rPr>
              <w:t>99.2</w:t>
            </w:r>
          </w:p>
        </w:tc>
        <w:tc>
          <w:tcPr>
            <w:tcW w:w="5560" w:type="dxa"/>
            <w:vAlign w:val="bottom"/>
            <w:gridSpan w:val="2"/>
          </w:tcPr>
          <w:p>
            <w:pPr>
              <w:ind w:left="360"/>
              <w:spacing w:after="0"/>
              <w:rPr>
                <w:sz w:val="20"/>
                <w:szCs w:val="20"/>
                <w:color w:val="auto"/>
              </w:rPr>
            </w:pPr>
            <w:r>
              <w:rPr>
                <w:rFonts w:ascii="Arial" w:cs="Arial" w:eastAsia="Arial" w:hAnsi="Arial"/>
                <w:sz w:val="16"/>
                <w:szCs w:val="16"/>
                <w:color w:val="auto"/>
              </w:rPr>
              <w:t>Presentation materials for July 21, 2011 conference call</w:t>
            </w:r>
          </w:p>
        </w:tc>
      </w:tr>
    </w:tbl>
    <w:p>
      <w:pPr>
        <w:sectPr>
          <w:pgSz w:w="11900" w:h="16838" w:orient="portrait"/>
          <w:cols w:equalWidth="0" w:num="1">
            <w:col w:w="10219"/>
          </w:cols>
          <w:pgMar w:left="240" w:top="33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Mike Van Handel</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michael.vanhandel@manpowergroup.com</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Reports 2</w:t>
      </w:r>
      <w:r>
        <w:rPr>
          <w:rFonts w:ascii="Arial" w:cs="Arial" w:eastAsia="Arial" w:hAnsi="Arial"/>
          <w:sz w:val="22"/>
          <w:szCs w:val="22"/>
          <w:b w:val="1"/>
          <w:bCs w:val="1"/>
          <w:color w:val="auto"/>
          <w:vertAlign w:val="superscript"/>
        </w:rPr>
        <w:t>nd</w:t>
      </w:r>
      <w:r>
        <w:rPr>
          <w:rFonts w:ascii="Arial" w:cs="Arial" w:eastAsia="Arial" w:hAnsi="Arial"/>
          <w:sz w:val="16"/>
          <w:szCs w:val="16"/>
          <w:b w:val="1"/>
          <w:bCs w:val="1"/>
          <w:color w:val="auto"/>
        </w:rPr>
        <w:t xml:space="preserve"> Quarter and First Half 2011 Results</w:t>
      </w:r>
    </w:p>
    <w:p>
      <w:pPr>
        <w:spacing w:after="0" w:line="348" w:lineRule="exact"/>
        <w:rPr>
          <w:sz w:val="20"/>
          <w:szCs w:val="20"/>
          <w:color w:val="auto"/>
        </w:rPr>
      </w:pPr>
    </w:p>
    <w:p>
      <w:pPr>
        <w:ind w:right="700" w:firstLine="593"/>
        <w:spacing w:after="0" w:line="292" w:lineRule="auto"/>
        <w:rPr>
          <w:sz w:val="20"/>
          <w:szCs w:val="20"/>
          <w:color w:val="auto"/>
        </w:rPr>
      </w:pPr>
      <w:r>
        <w:rPr>
          <w:rFonts w:ascii="Arial" w:cs="Arial" w:eastAsia="Arial" w:hAnsi="Arial"/>
          <w:sz w:val="15"/>
          <w:szCs w:val="15"/>
          <w:b w:val="1"/>
          <w:bCs w:val="1"/>
          <w:color w:val="auto"/>
        </w:rPr>
        <w:t xml:space="preserve">MILWAUKEE, July 21, 2011 -- </w:t>
      </w:r>
      <w:r>
        <w:rPr>
          <w:rFonts w:ascii="Arial" w:cs="Arial" w:eastAsia="Arial" w:hAnsi="Arial"/>
          <w:sz w:val="15"/>
          <w:szCs w:val="15"/>
          <w:color w:val="auto"/>
        </w:rPr>
        <w:t>ManpowerGroup (NYSE: MAN) today reported that net earnings per diluted share for the three months ended June 30, 2011</w:t>
      </w:r>
      <w:r>
        <w:rPr>
          <w:rFonts w:ascii="Arial" w:cs="Arial" w:eastAsia="Arial" w:hAnsi="Arial"/>
          <w:sz w:val="15"/>
          <w:szCs w:val="15"/>
          <w:b w:val="1"/>
          <w:bCs w:val="1"/>
          <w:color w:val="auto"/>
        </w:rPr>
        <w:t xml:space="preserve"> </w:t>
      </w:r>
      <w:r>
        <w:rPr>
          <w:rFonts w:ascii="Arial" w:cs="Arial" w:eastAsia="Arial" w:hAnsi="Arial"/>
          <w:sz w:val="15"/>
          <w:szCs w:val="15"/>
          <w:color w:val="auto"/>
        </w:rPr>
        <w:t>were 87 cents compared to 40 cents in the prior year period. Net earnings in the quarter were $72.7 million compared to $32.7 million a year earlier. Revenues for the second quarter were $5.7 billion, an increase of 24 percent from the year earlier period, or an increase of 12 percent in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Net earnings in the second quarter were favorably impacted by 11 cents per diluted share, as foreign currencies were relatively stronger compared to the prior year period.</w:t>
      </w:r>
    </w:p>
    <w:p>
      <w:pPr>
        <w:spacing w:after="0" w:line="212"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ManpowerGroup Chairman and CEO Jeffrey A. Joerres, said, “We continued to drive solid revenue growth with all geographies participating; Mexico, France and Italy all grew in excess of 15 percent in constant currency. Our emerging markets grew in excess of that. Experis, our professional resourcing brand, performed well, with global revenue increasing 12 percent in constant currency. These solid revenue gains clearly contributed to very good operational leverage. In the latter part of June certain markets experienced softening, however, we continue to be optimistic that we will achieve good year-over-year growth.</w:t>
      </w:r>
    </w:p>
    <w:p>
      <w:pPr>
        <w:spacing w:after="0" w:line="150"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“We are anticipating the third quarter of 2011 diluted earnings per share to be in the range of 90 cents to $1.00, which includes an estimated favorable currency impact of 10 cents,” Joerres stated.</w:t>
      </w:r>
    </w:p>
    <w:p>
      <w:pPr>
        <w:spacing w:after="0" w:line="152"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Earnings per diluted share for the six months ended June 30, 2011 were $1.30 compared to 44 cents per diluted share in 2010. Net earnings were $108.4 million compared to $35.5 million in the prior year. Revenues for the six-month period were $10.7 billion, an increase of 24 percent from the prior year or 17 percent in constant currency. Foreign currency exchange rates had a favorable impact of 14 cents for the six-month period.</w:t>
      </w:r>
    </w:p>
    <w:p>
      <w:pPr>
        <w:spacing w:after="0" w:line="162" w:lineRule="exact"/>
        <w:rPr>
          <w:sz w:val="20"/>
          <w:szCs w:val="20"/>
          <w:color w:val="auto"/>
        </w:rPr>
      </w:pPr>
    </w:p>
    <w:p>
      <w:pPr>
        <w:ind w:right="620"/>
        <w:spacing w:after="0" w:line="312" w:lineRule="auto"/>
        <w:rPr>
          <w:sz w:val="20"/>
          <w:szCs w:val="20"/>
          <w:color w:val="auto"/>
        </w:rPr>
      </w:pPr>
      <w:r>
        <w:rPr>
          <w:rFonts w:ascii="Arial" w:cs="Arial" w:eastAsia="Arial" w:hAnsi="Arial"/>
          <w:sz w:val="15"/>
          <w:szCs w:val="15"/>
          <w:color w:val="auto"/>
        </w:rPr>
        <w:t xml:space="preserve">In conjunction with its second quarter earnings release, ManpowerGroup will broadcast its conference call live over the Internet on July 21, 2011 at 7:30 a.m. CDT (8:30 a.m. EDT). Interested parties are invited to listen to the webcast and view the presentation by logging on to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2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ManpowerGroup™ (NYSE: MAN), the world leader in innovative workforce solutions, creates and delivers high-impact solutions that enable our clients to achieve their business goals and enhance their competitiveness. With over 60 years of experience, our $22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3,900 offices in over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the ManpowerGroup can help you win in the Human Age at www.manpowergroup.com.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This news release contains statements, including earnings projections and statements about revenue growth,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2010, which information is incorporated herein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5,667.3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4,585.6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3,788.6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717.9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34.5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91.6%</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0.89</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0.40</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122.5%</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0.87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0.40</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117.5%</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82.0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81.5</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0.6%</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83.3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82.5</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1.0%</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32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$5.7 million and $5.8 million for the three months ended June 30, 2011 and 2010, respectively. These fees are primarily based on revenues generated by the franchise offices, which were $249.6 million and $237.3 million for the three months ended June 30,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726.6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306.1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1,644.0</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1,255.9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344.9</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258.8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33.3%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2,182.6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1,683.2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662.8</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505.7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5,667.3</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4,585.6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Operating Unit Profit: (a)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14.7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23.4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69.2%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24.8</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148.9%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28.4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97.4%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18.9</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-64.4%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(30.5)</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(22.8)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 (c)</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(11.8)</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(11.9)</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67.2</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180" w:hanging="4"/>
        <w:spacing w:after="0" w:line="282" w:lineRule="auto"/>
        <w:tabs>
          <w:tab w:leader="none" w:pos="222" w:val="left"/>
        </w:tabs>
        <w:numPr>
          <w:ilvl w:val="0"/>
          <w:numId w:val="2"/>
        </w:numPr>
        <w:rPr>
          <w:rFonts w:ascii="Arial" w:cs="Arial" w:eastAsia="Arial" w:hAnsi="Arial"/>
          <w:sz w:val="15"/>
          <w:szCs w:val="15"/>
          <w:color w:val="auto"/>
        </w:rPr>
      </w:pPr>
      <w:r>
        <w:rPr>
          <w:rFonts w:ascii="Arial" w:cs="Arial" w:eastAsia="Arial" w:hAnsi="Arial"/>
          <w:sz w:val="15"/>
          <w:szCs w:val="15"/>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150" w:lineRule="exact"/>
        <w:rPr>
          <w:rFonts w:ascii="Arial" w:cs="Arial" w:eastAsia="Arial" w:hAnsi="Arial"/>
          <w:sz w:val="15"/>
          <w:szCs w:val="15"/>
          <w:color w:val="auto"/>
        </w:rPr>
      </w:pPr>
    </w:p>
    <w:p>
      <w:pPr>
        <w:ind w:left="4" w:right="260" w:hanging="4"/>
        <w:spacing w:after="0" w:line="264" w:lineRule="auto"/>
        <w:tabs>
          <w:tab w:leader="none" w:pos="231"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$3.2 million and $3.4 million for the three months ended June 30, 2011 and 2010, respectively. These fees are primarily based on revenues generated by the franchise offices, which were $163.2 million and $155.8 million for the three months ended June 30, 2011 and 2010,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2010</w:t>
            </w:r>
          </w:p>
        </w:tc>
        <w:tc>
          <w:tcPr>
            <w:tcW w:w="2880" w:type="dxa"/>
            <w:vAlign w:val="bottom"/>
          </w:tcPr>
          <w:p>
            <w:pPr>
              <w:spacing w:after="0"/>
              <w:rPr>
                <w:sz w:val="17"/>
                <w:szCs w:val="17"/>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11.1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12.5</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6"/>
                <w:szCs w:val="16"/>
                <w:color w:val="auto"/>
              </w:rPr>
            </w:pPr>
          </w:p>
        </w:tc>
        <w:tc>
          <w:tcPr>
            <w:tcW w:w="3740" w:type="dxa"/>
            <w:vAlign w:val="bottom"/>
            <w:gridSpan w:val="2"/>
          </w:tcPr>
          <w:p>
            <w:pPr>
              <w:jc w:val="right"/>
              <w:ind w:right="2820"/>
              <w:spacing w:after="0"/>
              <w:rPr>
                <w:sz w:val="20"/>
                <w:szCs w:val="20"/>
                <w:color w:val="auto"/>
              </w:rPr>
            </w:pPr>
            <w:r>
              <w:rPr>
                <w:rFonts w:ascii="Arial" w:cs="Arial" w:eastAsia="Arial" w:hAnsi="Arial"/>
                <w:sz w:val="16"/>
                <w:szCs w:val="16"/>
                <w:color w:val="auto"/>
              </w:rPr>
              <w:t>(1.4)</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0.9</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 (income), net</w:t>
            </w:r>
          </w:p>
        </w:tc>
        <w:tc>
          <w:tcPr>
            <w:tcW w:w="8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40" w:type="dxa"/>
            <w:vAlign w:val="bottom"/>
            <w:gridSpan w:val="2"/>
          </w:tcPr>
          <w:p>
            <w:pPr>
              <w:jc w:val="right"/>
              <w:ind w:right="2820"/>
              <w:spacing w:after="0"/>
              <w:rPr>
                <w:sz w:val="20"/>
                <w:szCs w:val="20"/>
                <w:color w:val="auto"/>
              </w:rPr>
            </w:pPr>
            <w:r>
              <w:rPr>
                <w:rFonts w:ascii="Arial" w:cs="Arial" w:eastAsia="Arial" w:hAnsi="Arial"/>
                <w:sz w:val="16"/>
                <w:szCs w:val="16"/>
                <w:color w:val="auto"/>
              </w:rPr>
              <w:t>(0.1)</w:t>
            </w:r>
          </w:p>
        </w:tc>
      </w:tr>
      <w:tr>
        <w:trPr>
          <w:trHeight w:val="24"/>
        </w:trPr>
        <w:tc>
          <w:tcPr>
            <w:tcW w:w="6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11.9</w:t>
            </w:r>
          </w:p>
        </w:tc>
      </w:tr>
      <w:tr>
        <w:trPr>
          <w:trHeight w:val="741"/>
        </w:trPr>
        <w:tc>
          <w:tcPr>
            <w:tcW w:w="608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10,739.7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8,684.9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8,919.9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7,186.4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1,583.4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1,386.8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24.8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51.4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104.3%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205.8%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1.32</w:t>
            </w:r>
          </w:p>
        </w:tc>
        <w:tc>
          <w:tcPr>
            <w:tcW w:w="22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0.44</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200.0%</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1.30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0.44</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195.5%</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82.0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80.1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2.3%</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83.7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81.2</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3.0%</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0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$11.6 million and $10.4 million for the six months ended June 30, 2011 and 2010, respectively. These fees are primarily based on revenues generated by the franchise offices, which were $524.1 million and $431.2 million for the six months ended June 30,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741.2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600.6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1,809.9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2,997.8</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2,363.4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629.5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493.0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27.7%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4,001.0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3,183.3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1,265.7</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1,003.2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10,739.7</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8,684.9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Operating Unit Profit: (a)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35.9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21.1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189.1%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36.8</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263.3%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35.3</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320.2%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47.4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106.9%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35.4</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20.3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-70.0%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144.9</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(62.5)</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(46.8)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30.1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 (c)</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(24.8)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86.9</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180" w:hanging="4"/>
        <w:spacing w:after="0" w:line="282" w:lineRule="auto"/>
        <w:tabs>
          <w:tab w:leader="none" w:pos="222" w:val="left"/>
        </w:tabs>
        <w:numPr>
          <w:ilvl w:val="0"/>
          <w:numId w:val="4"/>
        </w:numPr>
        <w:rPr>
          <w:rFonts w:ascii="Arial" w:cs="Arial" w:eastAsia="Arial" w:hAnsi="Arial"/>
          <w:sz w:val="15"/>
          <w:szCs w:val="15"/>
          <w:color w:val="auto"/>
        </w:rPr>
      </w:pPr>
      <w:r>
        <w:rPr>
          <w:rFonts w:ascii="Arial" w:cs="Arial" w:eastAsia="Arial" w:hAnsi="Arial"/>
          <w:sz w:val="15"/>
          <w:szCs w:val="15"/>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150" w:lineRule="exact"/>
        <w:rPr>
          <w:rFonts w:ascii="Arial" w:cs="Arial" w:eastAsia="Arial" w:hAnsi="Arial"/>
          <w:sz w:val="15"/>
          <w:szCs w:val="15"/>
          <w:color w:val="auto"/>
        </w:rPr>
      </w:pPr>
    </w:p>
    <w:p>
      <w:pPr>
        <w:ind w:left="4" w:right="360" w:hanging="4"/>
        <w:spacing w:after="0" w:line="264" w:lineRule="auto"/>
        <w:tabs>
          <w:tab w:leader="none" w:pos="231"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$5.9 million for the six months ended June 30, 2011 and 2010. These fees are primarily based on revenues generated by the franchise offices, which were $311.7 million and $288.0 million for the six months ended June 30, 2011 and 2010, respectively.</w:t>
      </w:r>
    </w:p>
    <w:p>
      <w:pPr>
        <w:spacing w:after="0" w:line="161" w:lineRule="exact"/>
        <w:rPr>
          <w:rFonts w:ascii="Arial" w:cs="Arial" w:eastAsia="Arial" w:hAnsi="Arial"/>
          <w:sz w:val="16"/>
          <w:szCs w:val="16"/>
          <w:color w:val="auto"/>
        </w:rPr>
      </w:pPr>
    </w:p>
    <w:p>
      <w:pPr>
        <w:ind w:left="264" w:hanging="264"/>
        <w:spacing w:after="0"/>
        <w:tabs>
          <w:tab w:leader="none" w:pos="26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2010</w:t>
            </w:r>
          </w:p>
        </w:tc>
        <w:tc>
          <w:tcPr>
            <w:tcW w:w="2880" w:type="dxa"/>
            <w:vAlign w:val="bottom"/>
          </w:tcPr>
          <w:p>
            <w:pPr>
              <w:spacing w:after="0"/>
              <w:rPr>
                <w:sz w:val="17"/>
                <w:szCs w:val="17"/>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21.3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23.6</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6"/>
                <w:szCs w:val="16"/>
                <w:color w:val="auto"/>
              </w:rPr>
            </w:pPr>
          </w:p>
        </w:tc>
        <w:tc>
          <w:tcPr>
            <w:tcW w:w="3740" w:type="dxa"/>
            <w:vAlign w:val="bottom"/>
            <w:gridSpan w:val="2"/>
          </w:tcPr>
          <w:p>
            <w:pPr>
              <w:jc w:val="right"/>
              <w:ind w:right="2820"/>
              <w:spacing w:after="0"/>
              <w:rPr>
                <w:sz w:val="20"/>
                <w:szCs w:val="20"/>
                <w:color w:val="auto"/>
              </w:rPr>
            </w:pPr>
            <w:r>
              <w:rPr>
                <w:rFonts w:ascii="Arial" w:cs="Arial" w:eastAsia="Arial" w:hAnsi="Arial"/>
                <w:sz w:val="16"/>
                <w:szCs w:val="16"/>
                <w:color w:val="auto"/>
              </w:rPr>
              <w:t>(3.0)</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26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2.8</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8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40" w:type="dxa"/>
            <w:vAlign w:val="bottom"/>
            <w:gridSpan w:val="2"/>
          </w:tcPr>
          <w:p>
            <w:pPr>
              <w:jc w:val="right"/>
              <w:ind w:right="2880"/>
              <w:spacing w:after="0"/>
              <w:rPr>
                <w:sz w:val="20"/>
                <w:szCs w:val="20"/>
                <w:color w:val="auto"/>
              </w:rPr>
            </w:pPr>
            <w:r>
              <w:rPr>
                <w:rFonts w:ascii="Arial" w:cs="Arial" w:eastAsia="Arial" w:hAnsi="Arial"/>
                <w:sz w:val="16"/>
                <w:szCs w:val="16"/>
                <w:color w:val="auto"/>
              </w:rPr>
              <w:t>1.4</w:t>
            </w:r>
          </w:p>
        </w:tc>
      </w:tr>
      <w:tr>
        <w:trPr>
          <w:trHeight w:val="24"/>
        </w:trPr>
        <w:tc>
          <w:tcPr>
            <w:tcW w:w="6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24.8</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543.5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772.6</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4,496.8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3,844.1</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197.6</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59.7</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5,288.6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4,874.0</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1,330.3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456.6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355.1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1,685.4</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688.8</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518.5</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170.3</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7,276.6</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6,729.7</w:t>
            </w:r>
          </w:p>
        </w:tc>
      </w:tr>
      <w:tr>
        <w:trPr>
          <w:trHeight w:val="20"/>
        </w:trPr>
        <w:tc>
          <w:tcPr>
            <w:tcW w:w="8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1,541.0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1,313.9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214.0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240.2</w:t>
            </w: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547.4</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730.6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677.7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482.2</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468.2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28.7</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4,024.3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3,290.1</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669.3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406.0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373.1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1,042.4</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2,815.1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2,781.7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785.2</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87.0</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(1,257.8)</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2,555.7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2,397.2</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7,276.6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6,729.7</w:t>
            </w:r>
          </w:p>
        </w:tc>
      </w:tr>
      <w:tr>
        <w:trPr>
          <w:trHeight w:val="525"/>
        </w:trPr>
        <w:tc>
          <w:tcPr>
            <w:tcW w:w="88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20" w:type="dxa"/>
            <w:vAlign w:val="bottom"/>
          </w:tcPr>
          <w:p>
            <w:pPr>
              <w:jc w:val="right"/>
              <w:ind w:right="56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108.4</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stock options</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(425.1)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(480.1)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153.8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operating activities</w:t>
            </w:r>
          </w:p>
        </w:tc>
        <w:tc>
          <w:tcPr>
            <w:tcW w:w="7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(192.1)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2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Excess tax benefit on exercise of stock options</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7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financing activities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(229.1)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772.6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1,014.6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20" w:type="dxa"/>
            <w:vAlign w:val="bottom"/>
            <w:shd w:val="clear" w:color="auto" w:fill="CCEEFF"/>
          </w:tcPr>
          <w:p>
            <w:pPr>
              <w:jc w:val="right"/>
              <w:ind w:right="5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543.5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37"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288290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80" w:val="left"/>
        </w:tabs>
        <w:rPr>
          <w:sz w:val="20"/>
          <w:szCs w:val="20"/>
          <w:color w:val="auto"/>
        </w:rPr>
      </w:pPr>
      <w:r>
        <w:rPr>
          <w:rFonts w:ascii="Arial" w:cs="Arial" w:eastAsia="Arial" w:hAnsi="Arial"/>
          <w:sz w:val="26"/>
          <w:szCs w:val="26"/>
          <w:b w:val="1"/>
          <w:bCs w:val="1"/>
          <w:color w:val="FFFFFF"/>
        </w:rPr>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w:t>
      </w:r>
      <w:r>
        <w:rPr>
          <w:sz w:val="20"/>
          <w:szCs w:val="20"/>
          <w:color w:val="auto"/>
        </w:rPr>
        <w:tab/>
      </w:r>
      <w:r>
        <w:rPr>
          <w:rFonts w:ascii="Arial" w:cs="Arial" w:eastAsia="Arial" w:hAnsi="Arial"/>
          <w:sz w:val="25"/>
          <w:szCs w:val="25"/>
          <w:b w:val="1"/>
          <w:bCs w:val="1"/>
          <w:color w:val="FFFFFF"/>
        </w:rPr>
        <w:t>July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40"/>
        <w:spacing w:after="0"/>
        <w:rPr>
          <w:sz w:val="20"/>
          <w:szCs w:val="20"/>
          <w:color w:val="auto"/>
        </w:rPr>
      </w:pPr>
      <w:r>
        <w:rPr>
          <w:rFonts w:ascii="Arial" w:cs="Arial" w:eastAsia="Arial" w:hAnsi="Arial"/>
          <w:sz w:val="51"/>
          <w:szCs w:val="51"/>
          <w:color w:val="498BB8"/>
        </w:rPr>
        <w:t>ManpowerGroup</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38"/>
          <w:szCs w:val="38"/>
          <w:color w:val="498BB8"/>
        </w:rPr>
        <w:t>2</w:t>
      </w:r>
      <w:r>
        <w:rPr>
          <w:rFonts w:ascii="Arial" w:cs="Arial" w:eastAsia="Arial" w:hAnsi="Arial"/>
          <w:sz w:val="53"/>
          <w:szCs w:val="53"/>
          <w:color w:val="498BB8"/>
          <w:vertAlign w:val="superscript"/>
        </w:rPr>
        <w:t>nd</w:t>
      </w:r>
      <w:r>
        <w:rPr>
          <w:rFonts w:ascii="Arial" w:cs="Arial" w:eastAsia="Arial" w:hAnsi="Arial"/>
          <w:sz w:val="38"/>
          <w:szCs w:val="38"/>
          <w:color w:val="498BB8"/>
        </w:rPr>
        <w:t xml:space="preserve"> Quarter</w:t>
      </w:r>
    </w:p>
    <w:p>
      <w:pPr>
        <w:ind w:left="940"/>
        <w:spacing w:after="0"/>
        <w:rPr>
          <w:sz w:val="20"/>
          <w:szCs w:val="20"/>
          <w:color w:val="auto"/>
        </w:rPr>
      </w:pPr>
      <w:r>
        <w:rPr>
          <w:rFonts w:ascii="Arial" w:cs="Arial" w:eastAsia="Arial" w:hAnsi="Arial"/>
          <w:sz w:val="38"/>
          <w:szCs w:val="38"/>
          <w:color w:val="498BB8"/>
        </w:rPr>
        <w:t>July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810260</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20"/>
          </w:cols>
          <w:pgMar w:left="460" w:top="116" w:right="219" w:bottom="1440" w:gutter="0" w:footer="0" w:header="0"/>
        </w:sectPr>
      </w:pPr>
    </w:p>
    <w:bookmarkStart w:id="12" w:name="page13"/>
    <w:bookmarkEnd w:id="12"/>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459" w:lineRule="exact"/>
        <w:rPr>
          <w:sz w:val="20"/>
          <w:szCs w:val="20"/>
          <w:color w:val="auto"/>
        </w:rPr>
      </w:pPr>
    </w:p>
    <w:p>
      <w:pPr>
        <w:sectPr>
          <w:pgSz w:w="11900" w:h="16838" w:orient="portrait"/>
          <w:cols w:equalWidth="0" w:num="2">
            <w:col w:w="8980" w:space="720"/>
            <w:col w:w="520"/>
          </w:cols>
          <w:pgMar w:left="680" w:top="452" w:right="999" w:bottom="1440" w:gutter="0" w:footer="0" w:header="0"/>
        </w:sectPr>
      </w:pPr>
    </w:p>
    <w:p>
      <w:pPr>
        <w:ind w:left="140"/>
        <w:spacing w:after="0"/>
        <w:rPr>
          <w:sz w:val="20"/>
          <w:szCs w:val="20"/>
          <w:color w:val="auto"/>
        </w:rPr>
      </w:pPr>
      <w:r>
        <w:rPr>
          <w:rFonts w:ascii="Arial" w:cs="Arial" w:eastAsia="Arial" w:hAnsi="Arial"/>
          <w:sz w:val="51"/>
          <w:szCs w:val="51"/>
          <w:color w:val="5F81AA"/>
        </w:rPr>
        <w:t>Forward-Looking Statement</w:t>
      </w:r>
    </w:p>
    <w:p>
      <w:pPr>
        <w:spacing w:after="0" w:line="200" w:lineRule="exact"/>
        <w:rPr>
          <w:sz w:val="20"/>
          <w:szCs w:val="20"/>
          <w:color w:val="auto"/>
        </w:rPr>
      </w:pPr>
    </w:p>
    <w:p>
      <w:pPr>
        <w:spacing w:after="0" w:line="288" w:lineRule="exact"/>
        <w:rPr>
          <w:sz w:val="20"/>
          <w:szCs w:val="20"/>
          <w:color w:val="auto"/>
        </w:rPr>
      </w:pPr>
    </w:p>
    <w:p>
      <w:pPr>
        <w:ind w:left="140" w:right="2920"/>
        <w:spacing w:after="0" w:line="252" w:lineRule="auto"/>
        <w:rPr>
          <w:sz w:val="20"/>
          <w:szCs w:val="20"/>
          <w:color w:val="auto"/>
        </w:rPr>
      </w:pPr>
      <w:r>
        <w:rPr>
          <w:rFonts w:ascii="Arial" w:cs="Arial" w:eastAsia="Arial" w:hAnsi="Arial"/>
          <w:sz w:val="25"/>
          <w:szCs w:val="25"/>
          <w:color w:val="67696F"/>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Manpower Inc. Annual Report on Form 10-K dated December 31, 2010,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2529840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20"/>
          </w:cols>
          <w:pgMar w:left="680" w:top="452" w:right="999" w:bottom="1440" w:gutter="0" w:footer="0" w:header="0"/>
          <w:type w:val="continuous"/>
        </w:sectPr>
      </w:pPr>
    </w:p>
    <w:bookmarkStart w:id="13" w:name="page14"/>
    <w:bookmarkEnd w:id="13"/>
    <w:p>
      <w:pPr>
        <w:ind w:left="440"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1" w:lineRule="exact"/>
        <w:rPr>
          <w:sz w:val="20"/>
          <w:szCs w:val="20"/>
          <w:color w:val="auto"/>
        </w:rPr>
      </w:pPr>
    </w:p>
    <w:p>
      <w:pPr>
        <w:sectPr>
          <w:pgSz w:w="11900" w:h="16838" w:orient="portrait"/>
          <w:cols w:equalWidth="0" w:num="2">
            <w:col w:w="9420" w:space="720"/>
            <w:col w:w="1300"/>
          </w:cols>
          <w:pgMar w:left="240" w:top="452" w:right="219" w:bottom="1440" w:gutter="0" w:footer="0" w:header="0"/>
        </w:sectPr>
      </w:pPr>
    </w:p>
    <w:p>
      <w:pPr>
        <w:ind w:left="640"/>
        <w:spacing w:after="0"/>
        <w:rPr>
          <w:sz w:val="20"/>
          <w:szCs w:val="20"/>
          <w:color w:val="auto"/>
        </w:rPr>
      </w:pPr>
      <w:r>
        <w:rPr>
          <w:rFonts w:ascii="Arial" w:cs="Arial" w:eastAsia="Arial" w:hAnsi="Arial"/>
          <w:sz w:val="51"/>
          <w:szCs w:val="51"/>
          <w:color w:val="5F81AA"/>
        </w:rPr>
        <w:t>Consolidated Financial Highlights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653"/>
        </w:trPr>
        <w:tc>
          <w:tcPr>
            <w:tcW w:w="1300" w:type="dxa"/>
            <w:vAlign w:val="bottom"/>
          </w:tcPr>
          <w:p>
            <w:pPr>
              <w:spacing w:after="0"/>
              <w:rPr>
                <w:sz w:val="24"/>
                <w:szCs w:val="24"/>
                <w:color w:val="auto"/>
              </w:rPr>
            </w:pPr>
          </w:p>
        </w:tc>
        <w:tc>
          <w:tcPr>
            <w:tcW w:w="2580" w:type="dxa"/>
            <w:vAlign w:val="bottom"/>
            <w:tcBorders>
              <w:right w:val="single" w:sz="8" w:color="D47C18"/>
            </w:tcBorders>
          </w:tcPr>
          <w:p>
            <w:pPr>
              <w:spacing w:after="0"/>
              <w:rPr>
                <w:sz w:val="24"/>
                <w:szCs w:val="24"/>
                <w:color w:val="auto"/>
              </w:rPr>
            </w:pPr>
          </w:p>
        </w:tc>
        <w:tc>
          <w:tcPr>
            <w:tcW w:w="6720" w:type="dxa"/>
            <w:vAlign w:val="bottom"/>
            <w:gridSpan w:val="2"/>
          </w:tcPr>
          <w:p>
            <w:pPr>
              <w:ind w:left="300"/>
              <w:spacing w:after="0"/>
              <w:rPr>
                <w:sz w:val="20"/>
                <w:szCs w:val="20"/>
                <w:color w:val="auto"/>
              </w:rPr>
            </w:pPr>
            <w:r>
              <w:rPr>
                <w:rFonts w:ascii="Arial" w:cs="Arial" w:eastAsia="Arial" w:hAnsi="Arial"/>
                <w:sz w:val="42"/>
                <w:szCs w:val="42"/>
                <w:b w:val="1"/>
                <w:bCs w:val="1"/>
                <w:color w:val="auto"/>
              </w:rPr>
              <w:t>Q2 Financial Highlights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2580" w:type="dxa"/>
            <w:vAlign w:val="bottom"/>
            <w:tcBorders>
              <w:bottom w:val="single" w:sz="8" w:color="D47C18"/>
              <w:right w:val="single" w:sz="8" w:color="D47C18"/>
            </w:tcBorders>
          </w:tcPr>
          <w:p>
            <w:pPr>
              <w:spacing w:after="0"/>
              <w:rPr>
                <w:sz w:val="12"/>
                <w:szCs w:val="12"/>
                <w:color w:val="auto"/>
              </w:rPr>
            </w:pPr>
          </w:p>
        </w:tc>
        <w:tc>
          <w:tcPr>
            <w:tcW w:w="6300" w:type="dxa"/>
            <w:vAlign w:val="bottom"/>
            <w:tcBorders>
              <w:bottom w:val="single" w:sz="8" w:color="D47C18"/>
            </w:tcBorders>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7"/>
        </w:trPr>
        <w:tc>
          <w:tcPr>
            <w:tcW w:w="3880" w:type="dxa"/>
            <w:vAlign w:val="bottom"/>
            <w:tcBorders>
              <w:right w:val="single" w:sz="8" w:color="D47C18"/>
            </w:tcBorders>
            <w:gridSpan w:val="2"/>
          </w:tcPr>
          <w:p>
            <w:pPr>
              <w:jc w:val="center"/>
              <w:ind w:left="1449"/>
              <w:spacing w:after="0"/>
              <w:rPr>
                <w:sz w:val="20"/>
                <w:szCs w:val="20"/>
                <w:color w:val="auto"/>
              </w:rPr>
            </w:pPr>
            <w:r>
              <w:rPr>
                <w:rFonts w:ascii="Arial" w:cs="Arial" w:eastAsia="Arial" w:hAnsi="Arial"/>
                <w:sz w:val="38"/>
                <w:szCs w:val="38"/>
                <w:color w:val="auto"/>
                <w:w w:val="99"/>
              </w:rPr>
              <w:t>24%</w:t>
            </w:r>
          </w:p>
        </w:tc>
        <w:tc>
          <w:tcPr>
            <w:tcW w:w="672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$5.7B</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2580" w:type="dxa"/>
            <w:vAlign w:val="bottom"/>
            <w:tcBorders>
              <w:right w:val="single" w:sz="8" w:color="D47C18"/>
            </w:tcBorders>
            <w:vMerge w:val="restart"/>
          </w:tcPr>
          <w:p>
            <w:pPr>
              <w:jc w:val="center"/>
              <w:ind w:left="108"/>
              <w:spacing w:after="0"/>
              <w:rPr>
                <w:sz w:val="20"/>
                <w:szCs w:val="20"/>
                <w:color w:val="auto"/>
              </w:rPr>
            </w:pPr>
            <w:r>
              <w:rPr>
                <w:rFonts w:ascii="Arial" w:cs="Arial" w:eastAsia="Arial" w:hAnsi="Arial"/>
                <w:sz w:val="38"/>
                <w:szCs w:val="38"/>
                <w:color w:val="auto"/>
              </w:rPr>
              <w:t>12% CC</w:t>
            </w:r>
          </w:p>
        </w:tc>
        <w:tc>
          <w:tcPr>
            <w:tcW w:w="6720" w:type="dxa"/>
            <w:vAlign w:val="bottom"/>
            <w:gridSpan w:val="2"/>
            <w:vMerge w:val="continue"/>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580" w:type="dxa"/>
            <w:vAlign w:val="bottom"/>
            <w:tcBorders>
              <w:right w:val="single" w:sz="8" w:color="D47C18"/>
            </w:tcBorders>
            <w:vMerge w:val="continue"/>
          </w:tcPr>
          <w:p>
            <w:pPr>
              <w:spacing w:after="0"/>
              <w:rPr>
                <w:sz w:val="18"/>
                <w:szCs w:val="18"/>
                <w:color w:val="auto"/>
              </w:rPr>
            </w:pPr>
          </w:p>
        </w:tc>
        <w:tc>
          <w:tcPr>
            <w:tcW w:w="6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2580" w:type="dxa"/>
            <w:vAlign w:val="bottom"/>
            <w:tcBorders>
              <w:bottom w:val="single" w:sz="8" w:color="D47C18"/>
              <w:right w:val="single" w:sz="8" w:color="D47C18"/>
            </w:tcBorders>
          </w:tcPr>
          <w:p>
            <w:pPr>
              <w:spacing w:after="0"/>
              <w:rPr>
                <w:sz w:val="6"/>
                <w:szCs w:val="6"/>
                <w:color w:val="auto"/>
              </w:rPr>
            </w:pPr>
          </w:p>
        </w:tc>
        <w:tc>
          <w:tcPr>
            <w:tcW w:w="6300" w:type="dxa"/>
            <w:vAlign w:val="bottom"/>
            <w:tcBorders>
              <w:bottom w:val="single" w:sz="8" w:color="D47C18"/>
            </w:tcBorders>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5"/>
        </w:trPr>
        <w:tc>
          <w:tcPr>
            <w:tcW w:w="1300" w:type="dxa"/>
            <w:vAlign w:val="bottom"/>
          </w:tcPr>
          <w:p>
            <w:pPr>
              <w:spacing w:after="0"/>
              <w:rPr>
                <w:sz w:val="24"/>
                <w:szCs w:val="24"/>
                <w:color w:val="auto"/>
              </w:rPr>
            </w:pPr>
          </w:p>
        </w:tc>
        <w:tc>
          <w:tcPr>
            <w:tcW w:w="2580" w:type="dxa"/>
            <w:vAlign w:val="bottom"/>
            <w:tcBorders>
              <w:right w:val="single" w:sz="8" w:color="D47C18"/>
            </w:tcBorders>
          </w:tcPr>
          <w:p>
            <w:pPr>
              <w:jc w:val="center"/>
              <w:ind w:left="108"/>
              <w:spacing w:after="0"/>
              <w:rPr>
                <w:sz w:val="20"/>
                <w:szCs w:val="20"/>
                <w:color w:val="auto"/>
              </w:rPr>
            </w:pPr>
            <w:r>
              <w:rPr>
                <w:rFonts w:ascii="Arial" w:cs="Arial" w:eastAsia="Arial" w:hAnsi="Arial"/>
                <w:sz w:val="38"/>
                <w:szCs w:val="38"/>
                <w:color w:val="auto"/>
              </w:rPr>
              <w:t>40 bps</w:t>
            </w:r>
          </w:p>
        </w:tc>
        <w:tc>
          <w:tcPr>
            <w:tcW w:w="6720" w:type="dxa"/>
            <w:vAlign w:val="bottom"/>
            <w:gridSpan w:val="2"/>
          </w:tcPr>
          <w:p>
            <w:pPr>
              <w:ind w:left="300"/>
              <w:spacing w:after="0"/>
              <w:rPr>
                <w:sz w:val="20"/>
                <w:szCs w:val="20"/>
                <w:color w:val="auto"/>
              </w:rPr>
            </w:pPr>
            <w:r>
              <w:rPr>
                <w:rFonts w:ascii="Arial" w:cs="Arial" w:eastAsia="Arial" w:hAnsi="Arial"/>
                <w:sz w:val="42"/>
                <w:szCs w:val="42"/>
                <w:b w:val="1"/>
                <w:bCs w:val="1"/>
                <w:color w:val="auto"/>
              </w:rPr>
              <w:t xml:space="preserve">Gross Margin </w:t>
            </w:r>
            <w:r>
              <w:rPr>
                <w:rFonts w:ascii="Arial" w:cs="Arial" w:eastAsia="Arial" w:hAnsi="Arial"/>
                <w:sz w:val="44"/>
                <w:szCs w:val="44"/>
                <w:b w:val="1"/>
                <w:bCs w:val="1"/>
                <w:color w:val="5F81AA"/>
              </w:rPr>
              <w:t>17.0%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580" w:type="dxa"/>
            <w:vAlign w:val="bottom"/>
            <w:tcBorders>
              <w:bottom w:val="single" w:sz="8" w:color="D47C18"/>
              <w:right w:val="single" w:sz="8" w:color="D47C18"/>
            </w:tcBorders>
          </w:tcPr>
          <w:p>
            <w:pPr>
              <w:spacing w:after="0"/>
              <w:rPr>
                <w:sz w:val="9"/>
                <w:szCs w:val="9"/>
                <w:color w:val="auto"/>
              </w:rPr>
            </w:pPr>
          </w:p>
        </w:tc>
        <w:tc>
          <w:tcPr>
            <w:tcW w:w="6300" w:type="dxa"/>
            <w:vAlign w:val="bottom"/>
            <w:tcBorders>
              <w:bottom w:val="single" w:sz="8" w:color="D47C18"/>
            </w:tcBorders>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3880" w:type="dxa"/>
            <w:vAlign w:val="bottom"/>
            <w:tcBorders>
              <w:right w:val="single" w:sz="8" w:color="D47C18"/>
            </w:tcBorders>
            <w:gridSpan w:val="2"/>
          </w:tcPr>
          <w:p>
            <w:pPr>
              <w:jc w:val="center"/>
              <w:ind w:left="1449"/>
              <w:spacing w:after="0"/>
              <w:rPr>
                <w:sz w:val="20"/>
                <w:szCs w:val="20"/>
                <w:color w:val="auto"/>
              </w:rPr>
            </w:pPr>
            <w:r>
              <w:rPr>
                <w:rFonts w:ascii="Arial" w:cs="Arial" w:eastAsia="Arial" w:hAnsi="Arial"/>
                <w:sz w:val="38"/>
                <w:szCs w:val="38"/>
                <w:color w:val="auto"/>
                <w:w w:val="99"/>
              </w:rPr>
              <w:t>91%</w:t>
            </w:r>
          </w:p>
        </w:tc>
        <w:tc>
          <w:tcPr>
            <w:tcW w:w="672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 xml:space="preserve">Operating Profit </w:t>
            </w:r>
            <w:r>
              <w:rPr>
                <w:rFonts w:ascii="Arial" w:cs="Arial" w:eastAsia="Arial" w:hAnsi="Arial"/>
                <w:sz w:val="44"/>
                <w:szCs w:val="44"/>
                <w:b w:val="1"/>
                <w:bCs w:val="1"/>
                <w:color w:val="5F81AA"/>
              </w:rPr>
              <w:t>$151M</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2580" w:type="dxa"/>
            <w:vAlign w:val="bottom"/>
            <w:tcBorders>
              <w:right w:val="single" w:sz="8" w:color="D47C18"/>
            </w:tcBorders>
            <w:vMerge w:val="restart"/>
          </w:tcPr>
          <w:p>
            <w:pPr>
              <w:jc w:val="center"/>
              <w:ind w:left="108"/>
              <w:spacing w:after="0"/>
              <w:rPr>
                <w:sz w:val="20"/>
                <w:szCs w:val="20"/>
                <w:color w:val="auto"/>
              </w:rPr>
            </w:pPr>
            <w:r>
              <w:rPr>
                <w:rFonts w:ascii="Arial" w:cs="Arial" w:eastAsia="Arial" w:hAnsi="Arial"/>
                <w:sz w:val="38"/>
                <w:szCs w:val="38"/>
                <w:color w:val="auto"/>
              </w:rPr>
              <w:t>67% CC</w:t>
            </w:r>
          </w:p>
        </w:tc>
        <w:tc>
          <w:tcPr>
            <w:tcW w:w="6720" w:type="dxa"/>
            <w:vAlign w:val="bottom"/>
            <w:gridSpan w:val="2"/>
            <w:vMerge w:val="continue"/>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2580" w:type="dxa"/>
            <w:vAlign w:val="bottom"/>
            <w:tcBorders>
              <w:right w:val="single" w:sz="8" w:color="D47C18"/>
            </w:tcBorders>
            <w:vMerge w:val="continue"/>
          </w:tcPr>
          <w:p>
            <w:pPr>
              <w:spacing w:after="0"/>
              <w:rPr>
                <w:sz w:val="21"/>
                <w:szCs w:val="21"/>
                <w:color w:val="auto"/>
              </w:rPr>
            </w:pPr>
          </w:p>
        </w:tc>
        <w:tc>
          <w:tcPr>
            <w:tcW w:w="6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1300" w:type="dxa"/>
            <w:vAlign w:val="bottom"/>
          </w:tcPr>
          <w:p>
            <w:pPr>
              <w:spacing w:after="0"/>
              <w:rPr>
                <w:sz w:val="3"/>
                <w:szCs w:val="3"/>
                <w:color w:val="auto"/>
              </w:rPr>
            </w:pPr>
          </w:p>
        </w:tc>
        <w:tc>
          <w:tcPr>
            <w:tcW w:w="2580" w:type="dxa"/>
            <w:vAlign w:val="bottom"/>
            <w:tcBorders>
              <w:bottom w:val="single" w:sz="8" w:color="D47C18"/>
              <w:right w:val="single" w:sz="8" w:color="D47C18"/>
            </w:tcBorders>
          </w:tcPr>
          <w:p>
            <w:pPr>
              <w:spacing w:after="0"/>
              <w:rPr>
                <w:sz w:val="3"/>
                <w:szCs w:val="3"/>
                <w:color w:val="auto"/>
              </w:rPr>
            </w:pPr>
          </w:p>
        </w:tc>
        <w:tc>
          <w:tcPr>
            <w:tcW w:w="6300" w:type="dxa"/>
            <w:vAlign w:val="bottom"/>
            <w:tcBorders>
              <w:bottom w:val="single" w:sz="8" w:color="D47C18"/>
            </w:tcBorders>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5"/>
        </w:trPr>
        <w:tc>
          <w:tcPr>
            <w:tcW w:w="1300" w:type="dxa"/>
            <w:vAlign w:val="bottom"/>
          </w:tcPr>
          <w:p>
            <w:pPr>
              <w:spacing w:after="0"/>
              <w:rPr>
                <w:sz w:val="24"/>
                <w:szCs w:val="24"/>
                <w:color w:val="auto"/>
              </w:rPr>
            </w:pPr>
          </w:p>
        </w:tc>
        <w:tc>
          <w:tcPr>
            <w:tcW w:w="2580" w:type="dxa"/>
            <w:vAlign w:val="bottom"/>
            <w:tcBorders>
              <w:right w:val="single" w:sz="8" w:color="D47C18"/>
            </w:tcBorders>
          </w:tcPr>
          <w:p>
            <w:pPr>
              <w:jc w:val="center"/>
              <w:ind w:left="108"/>
              <w:spacing w:after="0"/>
              <w:rPr>
                <w:sz w:val="20"/>
                <w:szCs w:val="20"/>
                <w:color w:val="auto"/>
              </w:rPr>
            </w:pPr>
            <w:r>
              <w:rPr>
                <w:rFonts w:ascii="Arial" w:cs="Arial" w:eastAsia="Arial" w:hAnsi="Arial"/>
                <w:sz w:val="38"/>
                <w:szCs w:val="38"/>
                <w:color w:val="auto"/>
              </w:rPr>
              <w:t>100 bps</w:t>
            </w:r>
          </w:p>
        </w:tc>
        <w:tc>
          <w:tcPr>
            <w:tcW w:w="6720" w:type="dxa"/>
            <w:vAlign w:val="bottom"/>
            <w:gridSpan w:val="2"/>
          </w:tcPr>
          <w:p>
            <w:pPr>
              <w:ind w:left="300"/>
              <w:spacing w:after="0"/>
              <w:rPr>
                <w:sz w:val="20"/>
                <w:szCs w:val="20"/>
                <w:color w:val="auto"/>
              </w:rPr>
            </w:pPr>
            <w:r>
              <w:rPr>
                <w:rFonts w:ascii="Arial" w:cs="Arial" w:eastAsia="Arial" w:hAnsi="Arial"/>
                <w:sz w:val="42"/>
                <w:szCs w:val="42"/>
                <w:b w:val="1"/>
                <w:bCs w:val="1"/>
                <w:color w:val="auto"/>
              </w:rPr>
              <w:t xml:space="preserve">OP Margin </w:t>
            </w:r>
            <w:r>
              <w:rPr>
                <w:rFonts w:ascii="Arial" w:cs="Arial" w:eastAsia="Arial" w:hAnsi="Arial"/>
                <w:sz w:val="44"/>
                <w:szCs w:val="44"/>
                <w:b w:val="1"/>
                <w:bCs w:val="1"/>
                <w:color w:val="5F81AA"/>
              </w:rPr>
              <w:t>2.7%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580" w:type="dxa"/>
            <w:vAlign w:val="bottom"/>
            <w:tcBorders>
              <w:bottom w:val="single" w:sz="8" w:color="D47C18"/>
              <w:right w:val="single" w:sz="8" w:color="D47C18"/>
            </w:tcBorders>
          </w:tcPr>
          <w:p>
            <w:pPr>
              <w:spacing w:after="0"/>
              <w:rPr>
                <w:sz w:val="9"/>
                <w:szCs w:val="9"/>
                <w:color w:val="auto"/>
              </w:rPr>
            </w:pPr>
          </w:p>
        </w:tc>
        <w:tc>
          <w:tcPr>
            <w:tcW w:w="6300" w:type="dxa"/>
            <w:vAlign w:val="bottom"/>
            <w:tcBorders>
              <w:bottom w:val="single" w:sz="8" w:color="D47C18"/>
            </w:tcBorders>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3880" w:type="dxa"/>
            <w:vAlign w:val="bottom"/>
            <w:tcBorders>
              <w:right w:val="single" w:sz="8" w:color="D47C18"/>
            </w:tcBorders>
            <w:gridSpan w:val="2"/>
          </w:tcPr>
          <w:p>
            <w:pPr>
              <w:jc w:val="center"/>
              <w:ind w:left="1429"/>
              <w:spacing w:after="0"/>
              <w:rPr>
                <w:sz w:val="20"/>
                <w:szCs w:val="20"/>
                <w:color w:val="auto"/>
              </w:rPr>
            </w:pPr>
            <w:r>
              <w:rPr>
                <w:rFonts w:ascii="Arial" w:cs="Arial" w:eastAsia="Arial" w:hAnsi="Arial"/>
                <w:sz w:val="38"/>
                <w:szCs w:val="38"/>
                <w:color w:val="auto"/>
              </w:rPr>
              <w:t>118%</w:t>
            </w:r>
          </w:p>
        </w:tc>
        <w:tc>
          <w:tcPr>
            <w:tcW w:w="672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 xml:space="preserve">EPS </w:t>
            </w:r>
            <w:r>
              <w:rPr>
                <w:rFonts w:ascii="Arial" w:cs="Arial" w:eastAsia="Arial" w:hAnsi="Arial"/>
                <w:sz w:val="44"/>
                <w:szCs w:val="44"/>
                <w:b w:val="1"/>
                <w:bCs w:val="1"/>
                <w:color w:val="5F81AA"/>
              </w:rPr>
              <w:t>$0.87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2580" w:type="dxa"/>
            <w:vAlign w:val="bottom"/>
            <w:tcBorders>
              <w:right w:val="single" w:sz="8" w:color="D47C18"/>
            </w:tcBorders>
            <w:vMerge w:val="restart"/>
          </w:tcPr>
          <w:p>
            <w:pPr>
              <w:jc w:val="center"/>
              <w:ind w:left="128"/>
              <w:spacing w:after="0"/>
              <w:rPr>
                <w:sz w:val="20"/>
                <w:szCs w:val="20"/>
                <w:color w:val="auto"/>
              </w:rPr>
            </w:pPr>
            <w:r>
              <w:rPr>
                <w:rFonts w:ascii="Arial" w:cs="Arial" w:eastAsia="Arial" w:hAnsi="Arial"/>
                <w:sz w:val="38"/>
                <w:szCs w:val="38"/>
                <w:color w:val="auto"/>
              </w:rPr>
              <w:t>90% CC</w:t>
            </w:r>
          </w:p>
        </w:tc>
        <w:tc>
          <w:tcPr>
            <w:tcW w:w="67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00" w:type="dxa"/>
            <w:vAlign w:val="bottom"/>
          </w:tcPr>
          <w:p>
            <w:pPr>
              <w:spacing w:after="0"/>
              <w:rPr>
                <w:sz w:val="24"/>
                <w:szCs w:val="24"/>
                <w:color w:val="auto"/>
              </w:rPr>
            </w:pPr>
          </w:p>
        </w:tc>
        <w:tc>
          <w:tcPr>
            <w:tcW w:w="2580" w:type="dxa"/>
            <w:vAlign w:val="bottom"/>
            <w:tcBorders>
              <w:right w:val="single" w:sz="8" w:color="D47C18"/>
            </w:tcBorders>
            <w:vMerge w:val="continue"/>
          </w:tcPr>
          <w:p>
            <w:pPr>
              <w:spacing w:after="0"/>
              <w:rPr>
                <w:sz w:val="24"/>
                <w:szCs w:val="24"/>
                <w:color w:val="auto"/>
              </w:rPr>
            </w:pPr>
          </w:p>
        </w:tc>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600" w:type="dxa"/>
            <w:vAlign w:val="bottom"/>
            <w:gridSpan w:val="4"/>
          </w:tcPr>
          <w:p>
            <w:pPr>
              <w:ind w:left="720"/>
              <w:spacing w:after="0"/>
              <w:rPr>
                <w:sz w:val="20"/>
                <w:szCs w:val="20"/>
                <w:color w:val="auto"/>
              </w:rPr>
            </w:pPr>
            <w:r>
              <w:rPr>
                <w:rFonts w:ascii="Arial" w:cs="Arial" w:eastAsia="Arial" w:hAnsi="Arial"/>
                <w:sz w:val="18"/>
                <w:szCs w:val="18"/>
                <w:b w:val="1"/>
                <w:bCs w:val="1"/>
                <w:color w:val="auto"/>
              </w:rPr>
              <w:t>Throughout this presentation, the difference between reported variances and Constant Currency (CC) variances</w:t>
            </w:r>
          </w:p>
        </w:tc>
        <w:tc>
          <w:tcPr>
            <w:tcW w:w="840" w:type="dxa"/>
            <w:vAlign w:val="bottom"/>
            <w:vMerge w:val="restart"/>
          </w:tcPr>
          <w:p>
            <w:pPr>
              <w:jc w:val="right"/>
              <w:ind w:right="408"/>
              <w:spacing w:after="0"/>
              <w:rPr>
                <w:sz w:val="20"/>
                <w:szCs w:val="20"/>
                <w:color w:val="auto"/>
              </w:rPr>
            </w:pPr>
            <w:r>
              <w:rPr>
                <w:rFonts w:ascii="Arial" w:cs="Arial" w:eastAsia="Arial" w:hAnsi="Arial"/>
                <w:sz w:val="14"/>
                <w:szCs w:val="14"/>
                <w:color w:val="898989"/>
              </w:rPr>
              <w:t>3</w:t>
            </w:r>
          </w:p>
        </w:tc>
        <w:tc>
          <w:tcPr>
            <w:tcW w:w="0" w:type="dxa"/>
            <w:vAlign w:val="bottom"/>
          </w:tcPr>
          <w:p>
            <w:pPr>
              <w:spacing w:after="0"/>
              <w:rPr>
                <w:sz w:val="1"/>
                <w:szCs w:val="1"/>
                <w:color w:val="auto"/>
              </w:rPr>
            </w:pPr>
          </w:p>
        </w:tc>
      </w:tr>
      <w:tr>
        <w:trPr>
          <w:trHeight w:val="115"/>
        </w:trPr>
        <w:tc>
          <w:tcPr>
            <w:tcW w:w="10600" w:type="dxa"/>
            <w:vAlign w:val="bottom"/>
            <w:gridSpan w:val="4"/>
            <w:vMerge w:val="restart"/>
          </w:tcPr>
          <w:p>
            <w:pPr>
              <w:ind w:left="720"/>
              <w:spacing w:after="0"/>
              <w:rPr>
                <w:sz w:val="20"/>
                <w:szCs w:val="20"/>
                <w:color w:val="auto"/>
              </w:rPr>
            </w:pPr>
            <w:r>
              <w:rPr>
                <w:rFonts w:ascii="Arial" w:cs="Arial" w:eastAsia="Arial" w:hAnsi="Arial"/>
                <w:sz w:val="18"/>
                <w:szCs w:val="18"/>
                <w:b w:val="1"/>
                <w:bCs w:val="1"/>
                <w:color w:val="auto"/>
              </w:rPr>
              <w:t>represents the impact of currency on our financial results. Constant Currency is further explained on our Web site.</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60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9"/>
        </w:trPr>
        <w:tc>
          <w:tcPr>
            <w:tcW w:w="130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6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type w:val="continuous"/>
        </w:sectPr>
      </w:pPr>
    </w:p>
    <w:bookmarkStart w:id="14" w:name="page15"/>
    <w:bookmarkEnd w:id="14"/>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spacing w:after="0" w:line="95" w:lineRule="exact"/>
        <w:rPr>
          <w:sz w:val="20"/>
          <w:szCs w:val="20"/>
          <w:color w:val="auto"/>
        </w:rPr>
      </w:pPr>
    </w:p>
    <w:p>
      <w:pPr>
        <w:ind w:left="300"/>
        <w:spacing w:after="0"/>
        <w:rPr>
          <w:sz w:val="20"/>
          <w:szCs w:val="20"/>
          <w:color w:val="auto"/>
        </w:rPr>
      </w:pPr>
      <w:r>
        <w:rPr>
          <w:rFonts w:ascii="Arial" w:cs="Arial" w:eastAsia="Arial" w:hAnsi="Arial"/>
          <w:sz w:val="51"/>
          <w:szCs w:val="51"/>
          <w:color w:val="5F81AA"/>
        </w:rPr>
        <w:t>Consolidated Gross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5" w:name="page16"/>
    <w:bookmarkEnd w:id="15"/>
    <w:p>
      <w:pPr>
        <w:ind w:right="3800"/>
        <w:spacing w:after="0" w:line="273" w:lineRule="auto"/>
        <w:rPr>
          <w:sz w:val="20"/>
          <w:szCs w:val="20"/>
          <w:color w:val="auto"/>
        </w:rPr>
      </w:pPr>
      <w:r>
        <w:rPr>
          <w:rFonts w:ascii="Arial" w:cs="Arial" w:eastAsia="Arial" w:hAnsi="Arial"/>
          <w:sz w:val="26"/>
          <w:szCs w:val="26"/>
          <w:b w:val="1"/>
          <w:bCs w:val="1"/>
          <w:color w:val="FFFFFF"/>
        </w:rPr>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43"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ind w:left="380"/>
        <w:spacing w:after="0"/>
        <w:rPr>
          <w:sz w:val="20"/>
          <w:szCs w:val="20"/>
          <w:color w:val="auto"/>
        </w:rPr>
      </w:pPr>
      <w:r>
        <w:rPr>
          <w:rFonts w:ascii="Arial" w:cs="Arial" w:eastAsia="Arial" w:hAnsi="Arial"/>
          <w:sz w:val="51"/>
          <w:szCs w:val="51"/>
          <w:color w:val="5F81AA"/>
        </w:rPr>
        <w:t>Americas Segment</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32"/>
          <w:szCs w:val="32"/>
          <w:color w:val="5F81AA"/>
        </w:rPr>
        <w:t>(21%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255270</wp:posOffset>
            </wp:positionV>
            <wp:extent cx="4980940" cy="2784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0940" cy="278447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Arial" w:cs="Arial" w:eastAsia="Arial" w:hAnsi="Arial"/>
          <w:sz w:val="42"/>
          <w:szCs w:val="42"/>
          <w:b w:val="1"/>
          <w:bCs w:val="1"/>
          <w:color w:val="auto"/>
        </w:rPr>
        <w:t>Q2 Financial Highlights</w:t>
      </w:r>
      <w:r>
        <w:rPr>
          <w:rFonts w:ascii="Arial" w:cs="Arial" w:eastAsia="Arial" w:hAnsi="Arial"/>
          <w:sz w:val="35"/>
          <w:szCs w:val="35"/>
          <w:b w:val="1"/>
          <w:bCs w:val="1"/>
          <w:color w:val="auto"/>
          <w:vertAlign w:val="superscript"/>
        </w:rPr>
        <w:t>(1)</w:t>
      </w:r>
    </w:p>
    <w:p>
      <w:pPr>
        <w:spacing w:after="0" w:line="200" w:lineRule="exact"/>
        <w:rPr>
          <w:sz w:val="20"/>
          <w:szCs w:val="20"/>
          <w:color w:val="auto"/>
        </w:rPr>
      </w:pPr>
    </w:p>
    <w:p>
      <w:pPr>
        <w:spacing w:after="0" w:line="340" w:lineRule="exact"/>
        <w:rPr>
          <w:sz w:val="20"/>
          <w:szCs w:val="20"/>
          <w:color w:val="auto"/>
        </w:rPr>
      </w:pPr>
    </w:p>
    <w:tbl>
      <w:tblPr>
        <w:tblLayout w:type="fixed"/>
        <w:tblInd w:w="1580" w:type="dxa"/>
        <w:tblCellMar>
          <w:top w:w="0" w:type="dxa"/>
          <w:left w:w="0" w:type="dxa"/>
          <w:bottom w:w="0" w:type="dxa"/>
          <w:right w:w="0" w:type="dxa"/>
        </w:tblCellMar>
      </w:tblPr>
      <w:tr>
        <w:trPr>
          <w:trHeight w:val="456"/>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13%</w:t>
            </w:r>
          </w:p>
        </w:tc>
        <w:tc>
          <w:tcPr>
            <w:tcW w:w="354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$1.2B</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12% CC</w:t>
            </w:r>
          </w:p>
        </w:tc>
        <w:tc>
          <w:tcPr>
            <w:tcW w:w="35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69%</w:t>
            </w:r>
          </w:p>
        </w:tc>
        <w:tc>
          <w:tcPr>
            <w:tcW w:w="138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160" w:type="dxa"/>
            <w:vAlign w:val="bottom"/>
            <w:vMerge w:val="restart"/>
          </w:tcPr>
          <w:p>
            <w:pPr>
              <w:ind w:left="120"/>
              <w:spacing w:after="0"/>
              <w:rPr>
                <w:sz w:val="20"/>
                <w:szCs w:val="20"/>
                <w:color w:val="auto"/>
              </w:rPr>
            </w:pPr>
            <w:r>
              <w:rPr>
                <w:rFonts w:ascii="Arial" w:cs="Arial" w:eastAsia="Arial" w:hAnsi="Arial"/>
                <w:sz w:val="45"/>
                <w:szCs w:val="45"/>
                <w:b w:val="1"/>
                <w:bCs w:val="1"/>
                <w:color w:val="5F81AA"/>
              </w:rPr>
              <w:t>$40M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67% CC</w:t>
            </w:r>
          </w:p>
        </w:tc>
        <w:tc>
          <w:tcPr>
            <w:tcW w:w="1380" w:type="dxa"/>
            <w:vAlign w:val="bottom"/>
            <w:vMerge w:val="continue"/>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3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620"/>
        <w:spacing w:after="0"/>
        <w:tabs>
          <w:tab w:leader="none" w:pos="3720" w:val="left"/>
        </w:tabs>
        <w:rPr>
          <w:sz w:val="20"/>
          <w:szCs w:val="20"/>
          <w:color w:val="auto"/>
        </w:rPr>
      </w:pPr>
      <w:r>
        <w:rPr>
          <w:rFonts w:ascii="Arial" w:cs="Arial" w:eastAsia="Arial" w:hAnsi="Arial"/>
          <w:sz w:val="38"/>
          <w:szCs w:val="38"/>
          <w:color w:val="auto"/>
        </w:rPr>
        <w:t>110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3.4%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80" w:hanging="263"/>
        <w:spacing w:after="0"/>
        <w:tabs>
          <w:tab w:leader="none" w:pos="780" w:val="left"/>
        </w:tabs>
        <w:numPr>
          <w:ilvl w:val="0"/>
          <w:numId w:val="5"/>
        </w:numPr>
        <w:rPr>
          <w:rFonts w:ascii="Arial" w:cs="Arial" w:eastAsia="Arial" w:hAnsi="Arial"/>
          <w:sz w:val="27"/>
          <w:szCs w:val="27"/>
          <w:color w:val="auto"/>
          <w:vertAlign w:val="superscript"/>
        </w:rPr>
      </w:pPr>
      <w:r>
        <w:rPr>
          <w:rFonts w:ascii="Arial" w:cs="Arial" w:eastAsia="Arial" w:hAnsi="Arial"/>
          <w:sz w:val="19"/>
          <w:szCs w:val="19"/>
          <w:color w:val="auto"/>
        </w:rPr>
        <w:t>Included in these amounts is the US, which had revenue of $792M (+9%) and OUP of $27M (+85%).</w:t>
      </w:r>
    </w:p>
    <w:p>
      <w:pPr>
        <w:spacing w:after="0" w:line="388"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Operating Unit Profit (OUP) is the measure that we use to evaluate segment performance.</w:t>
      </w:r>
    </w:p>
    <w:p>
      <w:pPr>
        <w:spacing w:after="0" w:line="25" w:lineRule="exact"/>
        <w:rPr>
          <w:sz w:val="20"/>
          <w:szCs w:val="20"/>
          <w:color w:val="auto"/>
        </w:rPr>
      </w:pPr>
    </w:p>
    <w:p>
      <w:pPr>
        <w:ind w:left="520"/>
        <w:spacing w:after="0" w:line="208" w:lineRule="auto"/>
        <w:rPr>
          <w:sz w:val="20"/>
          <w:szCs w:val="20"/>
          <w:color w:val="auto"/>
        </w:rPr>
      </w:pPr>
      <w:r>
        <w:rPr>
          <w:rFonts w:ascii="Arial" w:cs="Arial" w:eastAsia="Arial" w:hAnsi="Arial"/>
          <w:sz w:val="21"/>
          <w:szCs w:val="21"/>
          <w:b w:val="1"/>
          <w:bCs w:val="1"/>
          <w:color w:val="auto"/>
        </w:rPr>
        <w:t xml:space="preserve">OUP is equal to segment revenues less direct costs and branch and national </w:t>
      </w:r>
      <w:r>
        <w:rPr>
          <w:rFonts w:ascii="Arial" w:cs="Arial" w:eastAsia="Arial" w:hAnsi="Arial"/>
          <w:sz w:val="28"/>
          <w:szCs w:val="28"/>
          <w:color w:val="898989"/>
          <w:vertAlign w:val="subscript"/>
        </w:rPr>
        <w:t>5</w:t>
      </w:r>
      <w:r>
        <w:rPr>
          <w:rFonts w:ascii="Arial" w:cs="Arial" w:eastAsia="Arial" w:hAnsi="Arial"/>
          <w:sz w:val="21"/>
          <w:szCs w:val="21"/>
          <w:b w:val="1"/>
          <w:bCs w:val="1"/>
          <w:color w:val="auto"/>
        </w:rPr>
        <w:t xml:space="preserve">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302895</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6" w:name="page17"/>
    <w:bookmarkEnd w:id="16"/>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31"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ind w:left="420"/>
        <w:spacing w:after="0"/>
        <w:rPr>
          <w:sz w:val="20"/>
          <w:szCs w:val="20"/>
          <w:color w:val="auto"/>
        </w:rPr>
      </w:pPr>
      <w:r>
        <w:rPr>
          <w:rFonts w:ascii="Arial" w:cs="Arial" w:eastAsia="Arial" w:hAnsi="Arial"/>
          <w:sz w:val="50"/>
          <w:szCs w:val="50"/>
          <w:color w:val="5F81AA"/>
        </w:rPr>
        <w:t>Americas - Q2 Revenue Growth YoY</w:t>
      </w:r>
    </w:p>
    <w:p>
      <w:pPr>
        <w:spacing w:after="0" w:line="200" w:lineRule="exact"/>
        <w:rPr>
          <w:sz w:val="20"/>
          <w:szCs w:val="20"/>
          <w:color w:val="auto"/>
        </w:rPr>
      </w:pPr>
    </w:p>
    <w:p>
      <w:pPr>
        <w:spacing w:after="0" w:line="344" w:lineRule="exact"/>
        <w:rPr>
          <w:sz w:val="20"/>
          <w:szCs w:val="20"/>
          <w:color w:val="auto"/>
        </w:rPr>
      </w:pPr>
    </w:p>
    <w:p>
      <w:pPr>
        <w:ind w:left="580" w:right="8640" w:hanging="293"/>
        <w:spacing w:after="0" w:line="288" w:lineRule="auto"/>
        <w:tabs>
          <w:tab w:leader="none" w:pos="567" w:val="left"/>
        </w:tabs>
        <w:numPr>
          <w:ilvl w:val="0"/>
          <w:numId w:val="6"/>
        </w:numPr>
        <w:rPr>
          <w:rFonts w:ascii="Arial" w:cs="Arial" w:eastAsia="Arial" w:hAnsi="Arial"/>
          <w:sz w:val="24"/>
          <w:szCs w:val="24"/>
          <w:b w:val="1"/>
          <w:bCs w:val="1"/>
          <w:color w:val="auto"/>
        </w:rPr>
      </w:pPr>
      <w:r>
        <w:rPr>
          <w:rFonts w:ascii="Arial" w:cs="Arial" w:eastAsia="Arial" w:hAnsi="Arial"/>
          <w:sz w:val="24"/>
          <w:szCs w:val="24"/>
          <w:b w:val="1"/>
          <w:bCs w:val="1"/>
          <w:color w:val="auto"/>
        </w:rPr>
        <w:t>of Segment Revenue</w:t>
      </w:r>
    </w:p>
    <w:p>
      <w:pPr>
        <w:spacing w:after="0" w:line="200" w:lineRule="exact"/>
        <w:rPr>
          <w:sz w:val="20"/>
          <w:szCs w:val="20"/>
          <w:color w:val="auto"/>
        </w:rPr>
      </w:pPr>
    </w:p>
    <w:p>
      <w:pPr>
        <w:spacing w:after="0" w:line="253" w:lineRule="exact"/>
        <w:rPr>
          <w:sz w:val="20"/>
          <w:szCs w:val="20"/>
          <w:color w:val="auto"/>
        </w:rPr>
      </w:pPr>
    </w:p>
    <w:p>
      <w:pPr>
        <w:ind w:left="780"/>
        <w:spacing w:after="0"/>
        <w:rPr>
          <w:sz w:val="20"/>
          <w:szCs w:val="20"/>
          <w:color w:val="auto"/>
        </w:rPr>
      </w:pPr>
      <w:r>
        <w:rPr>
          <w:rFonts w:ascii="Arial" w:cs="Arial" w:eastAsia="Arial" w:hAnsi="Arial"/>
          <w:sz w:val="29"/>
          <w:szCs w:val="29"/>
          <w:b w:val="1"/>
          <w:bCs w:val="1"/>
          <w:color w:val="6698C2"/>
        </w:rPr>
        <w:t>68%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12%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6698C2"/>
        </w:rPr>
        <w:t>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14%</w:t>
      </w:r>
    </w:p>
    <w:p>
      <w:pPr>
        <w:sectPr>
          <w:pgSz w:w="11900" w:h="16838" w:orient="portrait"/>
          <w:cols w:equalWidth="0" w:num="1">
            <w:col w:w="10520"/>
          </w:cols>
          <w:pgMar w:left="680" w:top="452"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Revenue</w:t>
      </w:r>
    </w:p>
    <w:p>
      <w:pPr>
        <w:spacing w:after="0" w:line="39"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Growth - CC</w:t>
      </w:r>
    </w:p>
    <w:p>
      <w:pPr>
        <w:spacing w:after="0" w:line="388" w:lineRule="exact"/>
        <w:rPr>
          <w:sz w:val="20"/>
          <w:szCs w:val="20"/>
          <w:color w:val="auto"/>
        </w:rPr>
      </w:pPr>
    </w:p>
    <w:p>
      <w:pPr>
        <w:sectPr>
          <w:pgSz w:w="11900" w:h="16838" w:orient="portrait"/>
          <w:cols w:equalWidth="0" w:num="2">
            <w:col w:w="5040" w:space="720"/>
            <w:col w:w="4760"/>
          </w:cols>
          <w:pgMar w:left="680" w:top="452" w:right="699" w:bottom="1440" w:gutter="0" w:footer="0" w:header="0"/>
          <w:type w:val="continuous"/>
        </w:sectPr>
      </w:pPr>
    </w:p>
    <w:p>
      <w:pPr>
        <w:jc w:val="right"/>
        <w:spacing w:after="0"/>
        <w:rPr>
          <w:sz w:val="20"/>
          <w:szCs w:val="20"/>
          <w:color w:val="auto"/>
        </w:rPr>
      </w:pPr>
      <w:r>
        <w:rPr>
          <w:rFonts w:ascii="Arial" w:cs="Arial" w:eastAsia="Arial" w:hAnsi="Arial"/>
          <w:sz w:val="14"/>
          <w:szCs w:val="14"/>
          <w:color w:val="89898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7" w:name="page18"/>
    <w:bookmarkEnd w:id="17"/>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Southern Europe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(38% of Revenue)</w:t>
      </w:r>
    </w:p>
    <w:p>
      <w:pPr>
        <w:spacing w:after="0" w:line="200" w:lineRule="exact"/>
        <w:rPr>
          <w:sz w:val="20"/>
          <w:szCs w:val="20"/>
          <w:color w:val="auto"/>
        </w:rPr>
      </w:pPr>
    </w:p>
    <w:p>
      <w:pPr>
        <w:spacing w:after="0" w:line="383" w:lineRule="exact"/>
        <w:rPr>
          <w:sz w:val="20"/>
          <w:szCs w:val="20"/>
          <w:color w:val="auto"/>
        </w:rPr>
      </w:pPr>
    </w:p>
    <w:tbl>
      <w:tblPr>
        <w:tblLayout w:type="fixed"/>
        <w:tblInd w:w="1060" w:type="dxa"/>
        <w:tblCellMar>
          <w:top w:w="0" w:type="dxa"/>
          <w:left w:w="0" w:type="dxa"/>
          <w:bottom w:w="0" w:type="dxa"/>
          <w:right w:w="0" w:type="dxa"/>
        </w:tblCellMar>
      </w:tblPr>
      <w:tr>
        <w:trPr>
          <w:trHeight w:val="403"/>
        </w:trPr>
        <w:tc>
          <w:tcPr>
            <w:tcW w:w="2580" w:type="dxa"/>
            <w:vAlign w:val="bottom"/>
            <w:tcBorders>
              <w:right w:val="single" w:sz="8" w:color="D47C18"/>
            </w:tcBorders>
          </w:tcPr>
          <w:p>
            <w:pPr>
              <w:jc w:val="right"/>
              <w:ind w:right="1796"/>
              <w:spacing w:after="0"/>
              <w:rPr>
                <w:sz w:val="20"/>
                <w:szCs w:val="20"/>
                <w:color w:val="auto"/>
              </w:rPr>
            </w:pPr>
            <w:r>
              <w:rPr>
                <w:rFonts w:ascii="Arial" w:cs="Arial" w:eastAsia="Arial" w:hAnsi="Arial"/>
                <w:sz w:val="29"/>
                <w:szCs w:val="29"/>
                <w:b w:val="1"/>
                <w:bCs w:val="1"/>
                <w:color w:val="FFFFFF"/>
              </w:rPr>
              <w:t>111</w:t>
            </w:r>
          </w:p>
        </w:tc>
        <w:tc>
          <w:tcPr>
            <w:tcW w:w="5280" w:type="dxa"/>
            <w:vAlign w:val="bottom"/>
            <w:gridSpan w:val="2"/>
            <w:vMerge w:val="restart"/>
          </w:tcPr>
          <w:p>
            <w:pPr>
              <w:ind w:left="300"/>
              <w:spacing w:after="0"/>
              <w:rPr>
                <w:sz w:val="20"/>
                <w:szCs w:val="20"/>
                <w:color w:val="auto"/>
              </w:rPr>
            </w:pPr>
            <w:r>
              <w:rPr>
                <w:rFonts w:ascii="Arial" w:cs="Arial" w:eastAsia="Arial" w:hAnsi="Arial"/>
                <w:sz w:val="42"/>
                <w:szCs w:val="42"/>
                <w:b w:val="1"/>
                <w:bCs w:val="1"/>
                <w:color w:val="auto"/>
              </w:rPr>
              <w:t>Q2 Financial Highlights</w:t>
            </w:r>
            <w:r>
              <w:rPr>
                <w:rFonts w:ascii="Arial" w:cs="Arial" w:eastAsia="Arial" w:hAnsi="Arial"/>
                <w:sz w:val="35"/>
                <w:szCs w:val="35"/>
                <w:b w:val="1"/>
                <w:bCs w:val="1"/>
                <w:color w:val="auto"/>
                <w:vertAlign w:val="superscript"/>
              </w:rPr>
              <w:t>(1)</w:t>
            </w:r>
          </w:p>
        </w:tc>
        <w:tc>
          <w:tcPr>
            <w:tcW w:w="0" w:type="dxa"/>
            <w:vAlign w:val="bottom"/>
          </w:tcPr>
          <w:p>
            <w:pPr>
              <w:spacing w:after="0"/>
              <w:rPr>
                <w:sz w:val="1"/>
                <w:szCs w:val="1"/>
                <w:color w:val="auto"/>
              </w:rPr>
            </w:pPr>
          </w:p>
        </w:tc>
      </w:tr>
      <w:tr>
        <w:trPr>
          <w:trHeight w:val="358"/>
        </w:trPr>
        <w:tc>
          <w:tcPr>
            <w:tcW w:w="2580" w:type="dxa"/>
            <w:vAlign w:val="bottom"/>
            <w:tcBorders>
              <w:right w:val="single" w:sz="8" w:color="D47C18"/>
            </w:tcBorders>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D47C18"/>
              <w:right w:val="single" w:sz="8" w:color="D47C18"/>
            </w:tcBorders>
          </w:tcPr>
          <w:p>
            <w:pPr>
              <w:spacing w:after="0"/>
              <w:rPr>
                <w:sz w:val="22"/>
                <w:szCs w:val="22"/>
                <w:color w:val="auto"/>
              </w:rPr>
            </w:pPr>
          </w:p>
        </w:tc>
        <w:tc>
          <w:tcPr>
            <w:tcW w:w="1360" w:type="dxa"/>
            <w:vAlign w:val="bottom"/>
            <w:tcBorders>
              <w:bottom w:val="single" w:sz="8" w:color="D47C18"/>
            </w:tcBorders>
          </w:tcPr>
          <w:p>
            <w:pPr>
              <w:spacing w:after="0"/>
              <w:rPr>
                <w:sz w:val="22"/>
                <w:szCs w:val="22"/>
                <w:color w:val="auto"/>
              </w:rPr>
            </w:pPr>
          </w:p>
        </w:tc>
        <w:tc>
          <w:tcPr>
            <w:tcW w:w="3920" w:type="dxa"/>
            <w:vAlign w:val="bottom"/>
            <w:tcBorders>
              <w:bottom w:val="single" w:sz="8" w:color="D47C18"/>
            </w:tcBorders>
          </w:tcPr>
          <w:p>
            <w:pPr>
              <w:spacing w:after="0"/>
              <w:rPr>
                <w:sz w:val="22"/>
                <w:szCs w:val="22"/>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16"/>
              <w:spacing w:after="0"/>
              <w:rPr>
                <w:sz w:val="20"/>
                <w:szCs w:val="20"/>
                <w:color w:val="auto"/>
              </w:rPr>
            </w:pPr>
            <w:r>
              <w:rPr>
                <w:rFonts w:ascii="Arial" w:cs="Arial" w:eastAsia="Arial" w:hAnsi="Arial"/>
                <w:sz w:val="38"/>
                <w:szCs w:val="38"/>
                <w:color w:val="auto"/>
                <w:w w:val="99"/>
              </w:rPr>
              <w:t>30%</w:t>
            </w:r>
          </w:p>
        </w:tc>
        <w:tc>
          <w:tcPr>
            <w:tcW w:w="528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$2.2B</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16"/>
              <w:spacing w:after="0"/>
              <w:rPr>
                <w:sz w:val="20"/>
                <w:szCs w:val="20"/>
                <w:color w:val="auto"/>
              </w:rPr>
            </w:pPr>
            <w:r>
              <w:rPr>
                <w:rFonts w:ascii="Arial" w:cs="Arial" w:eastAsia="Arial" w:hAnsi="Arial"/>
                <w:sz w:val="38"/>
                <w:szCs w:val="38"/>
                <w:color w:val="auto"/>
              </w:rPr>
              <w:t>15% CC</w:t>
            </w:r>
          </w:p>
        </w:tc>
        <w:tc>
          <w:tcPr>
            <w:tcW w:w="52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80" w:type="dxa"/>
            <w:vAlign w:val="bottom"/>
            <w:tcBorders>
              <w:right w:val="single" w:sz="8" w:color="D47C18"/>
            </w:tcBorders>
            <w:vMerge w:val="continue"/>
          </w:tcPr>
          <w:p>
            <w:pPr>
              <w:spacing w:after="0"/>
              <w:rPr>
                <w:sz w:val="18"/>
                <w:szCs w:val="18"/>
                <w:color w:val="auto"/>
              </w:rPr>
            </w:pPr>
          </w:p>
        </w:tc>
        <w:tc>
          <w:tcPr>
            <w:tcW w:w="13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580" w:type="dxa"/>
            <w:vAlign w:val="bottom"/>
            <w:tcBorders>
              <w:bottom w:val="single" w:sz="8" w:color="D47C18"/>
              <w:right w:val="single" w:sz="8" w:color="D47C18"/>
            </w:tcBorders>
          </w:tcPr>
          <w:p>
            <w:pPr>
              <w:spacing w:after="0"/>
              <w:rPr>
                <w:sz w:val="6"/>
                <w:szCs w:val="6"/>
                <w:color w:val="auto"/>
              </w:rPr>
            </w:pPr>
          </w:p>
        </w:tc>
        <w:tc>
          <w:tcPr>
            <w:tcW w:w="1360" w:type="dxa"/>
            <w:vAlign w:val="bottom"/>
            <w:tcBorders>
              <w:bottom w:val="single" w:sz="8" w:color="D47C18"/>
            </w:tcBorders>
          </w:tcPr>
          <w:p>
            <w:pPr>
              <w:spacing w:after="0"/>
              <w:rPr>
                <w:sz w:val="6"/>
                <w:szCs w:val="6"/>
                <w:color w:val="auto"/>
              </w:rPr>
            </w:pPr>
          </w:p>
        </w:tc>
        <w:tc>
          <w:tcPr>
            <w:tcW w:w="392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16"/>
              <w:spacing w:after="0"/>
              <w:rPr>
                <w:sz w:val="20"/>
                <w:szCs w:val="20"/>
                <w:color w:val="auto"/>
              </w:rPr>
            </w:pPr>
            <w:r>
              <w:rPr>
                <w:rFonts w:ascii="Arial" w:cs="Arial" w:eastAsia="Arial" w:hAnsi="Arial"/>
                <w:sz w:val="38"/>
                <w:szCs w:val="38"/>
                <w:color w:val="auto"/>
                <w:w w:val="99"/>
              </w:rPr>
              <w:t>95%</w:t>
            </w:r>
          </w:p>
        </w:tc>
        <w:tc>
          <w:tcPr>
            <w:tcW w:w="1360" w:type="dxa"/>
            <w:vAlign w:val="bottom"/>
            <w:vMerge w:val="restart"/>
          </w:tcPr>
          <w:p>
            <w:pPr>
              <w:ind w:left="340"/>
              <w:spacing w:after="0"/>
              <w:rPr>
                <w:sz w:val="20"/>
                <w:szCs w:val="20"/>
                <w:color w:val="auto"/>
              </w:rPr>
            </w:pPr>
            <w:r>
              <w:rPr>
                <w:rFonts w:ascii="Arial" w:cs="Arial" w:eastAsia="Arial" w:hAnsi="Arial"/>
                <w:sz w:val="42"/>
                <w:szCs w:val="42"/>
                <w:b w:val="1"/>
                <w:bCs w:val="1"/>
                <w:color w:val="auto"/>
              </w:rPr>
              <w:t>OUP</w:t>
            </w:r>
          </w:p>
        </w:tc>
        <w:tc>
          <w:tcPr>
            <w:tcW w:w="3920" w:type="dxa"/>
            <w:vAlign w:val="bottom"/>
            <w:vMerge w:val="restart"/>
          </w:tcPr>
          <w:p>
            <w:pPr>
              <w:ind w:left="100"/>
              <w:spacing w:after="0"/>
              <w:rPr>
                <w:sz w:val="20"/>
                <w:szCs w:val="20"/>
                <w:color w:val="auto"/>
              </w:rPr>
            </w:pPr>
            <w:r>
              <w:rPr>
                <w:rFonts w:ascii="Arial" w:cs="Arial" w:eastAsia="Arial" w:hAnsi="Arial"/>
                <w:sz w:val="45"/>
                <w:szCs w:val="45"/>
                <w:b w:val="1"/>
                <w:bCs w:val="1"/>
                <w:color w:val="5F81AA"/>
              </w:rPr>
              <w:t>$50M</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16"/>
              <w:spacing w:after="0"/>
              <w:rPr>
                <w:sz w:val="20"/>
                <w:szCs w:val="20"/>
                <w:color w:val="auto"/>
              </w:rPr>
            </w:pPr>
            <w:r>
              <w:rPr>
                <w:rFonts w:ascii="Arial" w:cs="Arial" w:eastAsia="Arial" w:hAnsi="Arial"/>
                <w:sz w:val="38"/>
                <w:szCs w:val="38"/>
                <w:color w:val="auto"/>
              </w:rPr>
              <w:t>72% CC</w:t>
            </w:r>
          </w:p>
        </w:tc>
        <w:tc>
          <w:tcPr>
            <w:tcW w:w="1360" w:type="dxa"/>
            <w:vAlign w:val="bottom"/>
            <w:vMerge w:val="continue"/>
          </w:tcPr>
          <w:p>
            <w:pPr>
              <w:spacing w:after="0"/>
              <w:rPr>
                <w:sz w:val="23"/>
                <w:szCs w:val="23"/>
                <w:color w:val="auto"/>
              </w:rPr>
            </w:pPr>
          </w:p>
        </w:tc>
        <w:tc>
          <w:tcPr>
            <w:tcW w:w="3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580" w:type="dxa"/>
            <w:vAlign w:val="bottom"/>
            <w:tcBorders>
              <w:right w:val="single" w:sz="8" w:color="D47C18"/>
            </w:tcBorders>
            <w:vMerge w:val="continue"/>
          </w:tcPr>
          <w:p>
            <w:pPr>
              <w:spacing w:after="0"/>
              <w:rPr>
                <w:sz w:val="21"/>
                <w:szCs w:val="21"/>
                <w:color w:val="auto"/>
              </w:rPr>
            </w:pPr>
          </w:p>
        </w:tc>
        <w:tc>
          <w:tcPr>
            <w:tcW w:w="13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80" w:type="dxa"/>
            <w:vAlign w:val="bottom"/>
            <w:tcBorders>
              <w:bottom w:val="single" w:sz="8" w:color="D47C18"/>
              <w:right w:val="single" w:sz="8" w:color="D47C18"/>
            </w:tcBorders>
          </w:tcPr>
          <w:p>
            <w:pPr>
              <w:spacing w:after="0"/>
              <w:rPr>
                <w:sz w:val="3"/>
                <w:szCs w:val="3"/>
                <w:color w:val="auto"/>
              </w:rPr>
            </w:pPr>
          </w:p>
        </w:tc>
        <w:tc>
          <w:tcPr>
            <w:tcW w:w="5280" w:type="dxa"/>
            <w:vAlign w:val="bottom"/>
            <w:tcBorders>
              <w:bottom w:val="single" w:sz="8" w:color="D47C1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807"/>
        </w:trPr>
        <w:tc>
          <w:tcPr>
            <w:tcW w:w="2580" w:type="dxa"/>
            <w:vAlign w:val="bottom"/>
            <w:tcBorders>
              <w:right w:val="single" w:sz="8" w:color="D47C18"/>
            </w:tcBorders>
          </w:tcPr>
          <w:p>
            <w:pPr>
              <w:jc w:val="center"/>
              <w:ind w:left="116"/>
              <w:spacing w:after="0"/>
              <w:rPr>
                <w:sz w:val="20"/>
                <w:szCs w:val="20"/>
                <w:color w:val="auto"/>
              </w:rPr>
            </w:pPr>
            <w:r>
              <w:rPr>
                <w:rFonts w:ascii="Arial" w:cs="Arial" w:eastAsia="Arial" w:hAnsi="Arial"/>
                <w:sz w:val="38"/>
                <w:szCs w:val="38"/>
                <w:color w:val="auto"/>
              </w:rPr>
              <w:t>80 bps</w:t>
            </w:r>
          </w:p>
        </w:tc>
        <w:tc>
          <w:tcPr>
            <w:tcW w:w="5280" w:type="dxa"/>
            <w:vAlign w:val="bottom"/>
            <w:gridSpan w:val="2"/>
          </w:tcPr>
          <w:p>
            <w:pPr>
              <w:ind w:left="300"/>
              <w:spacing w:after="0"/>
              <w:rPr>
                <w:sz w:val="20"/>
                <w:szCs w:val="20"/>
                <w:color w:val="auto"/>
              </w:rPr>
            </w:pP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2.3%</w:t>
            </w:r>
          </w:p>
        </w:tc>
        <w:tc>
          <w:tcPr>
            <w:tcW w:w="0" w:type="dxa"/>
            <w:vAlign w:val="bottom"/>
          </w:tcPr>
          <w:p>
            <w:pPr>
              <w:spacing w:after="0"/>
              <w:rPr>
                <w:sz w:val="1"/>
                <w:szCs w:val="1"/>
                <w:color w:val="auto"/>
              </w:rPr>
            </w:pPr>
          </w:p>
        </w:tc>
      </w:tr>
      <w:tr>
        <w:trPr>
          <w:trHeight w:val="226"/>
        </w:trPr>
        <w:tc>
          <w:tcPr>
            <w:tcW w:w="2580" w:type="dxa"/>
            <w:vAlign w:val="bottom"/>
            <w:tcBorders>
              <w:right w:val="single" w:sz="8" w:color="D47C18"/>
            </w:tcBorders>
          </w:tcPr>
          <w:p>
            <w:pPr>
              <w:spacing w:after="0"/>
              <w:rPr>
                <w:sz w:val="19"/>
                <w:szCs w:val="19"/>
                <w:color w:val="auto"/>
              </w:rPr>
            </w:pPr>
          </w:p>
        </w:tc>
        <w:tc>
          <w:tcPr>
            <w:tcW w:w="13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80" w:hanging="271"/>
        <w:spacing w:after="0"/>
        <w:tabs>
          <w:tab w:leader="none" w:pos="680" w:val="left"/>
        </w:tabs>
        <w:numPr>
          <w:ilvl w:val="0"/>
          <w:numId w:val="7"/>
        </w:numPr>
        <w:rPr>
          <w:rFonts w:ascii="Arial" w:cs="Arial" w:eastAsia="Arial" w:hAnsi="Arial"/>
          <w:sz w:val="27"/>
          <w:szCs w:val="27"/>
          <w:color w:val="auto"/>
          <w:vertAlign w:val="superscript"/>
        </w:rPr>
      </w:pPr>
      <w:r>
        <w:rPr>
          <w:rFonts w:ascii="Arial" w:cs="Arial" w:eastAsia="Arial" w:hAnsi="Arial"/>
          <w:sz w:val="19"/>
          <w:szCs w:val="19"/>
          <w:color w:val="auto"/>
        </w:rPr>
        <w:t>Included in these amounts is France, which had revenue of $1.6B (+15% CC) and OUP of $25M (+118% CC).</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8" w:name="page19"/>
    <w:bookmarkEnd w:id="18"/>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spacing w:after="0" w:line="83" w:lineRule="exact"/>
        <w:rPr>
          <w:sz w:val="20"/>
          <w:szCs w:val="20"/>
          <w:color w:val="auto"/>
        </w:rPr>
      </w:pPr>
    </w:p>
    <w:p>
      <w:pPr>
        <w:ind w:left="100"/>
        <w:spacing w:after="0"/>
        <w:rPr>
          <w:sz w:val="20"/>
          <w:szCs w:val="20"/>
          <w:color w:val="auto"/>
        </w:rPr>
      </w:pPr>
      <w:r>
        <w:rPr>
          <w:rFonts w:ascii="Arial" w:cs="Arial" w:eastAsia="Arial" w:hAnsi="Arial"/>
          <w:sz w:val="50"/>
          <w:szCs w:val="50"/>
          <w:color w:val="5F81AA"/>
        </w:rPr>
        <w:t>Southern Europe - Q2 Revenue Growth YoY</w:t>
      </w:r>
    </w:p>
    <w:p>
      <w:pPr>
        <w:spacing w:after="0" w:line="200" w:lineRule="exact"/>
        <w:rPr>
          <w:sz w:val="20"/>
          <w:szCs w:val="20"/>
          <w:color w:val="auto"/>
        </w:rPr>
      </w:pPr>
    </w:p>
    <w:p>
      <w:pPr>
        <w:spacing w:after="0" w:line="356" w:lineRule="exact"/>
        <w:rPr>
          <w:sz w:val="20"/>
          <w:szCs w:val="20"/>
          <w:color w:val="auto"/>
        </w:rPr>
      </w:pPr>
    </w:p>
    <w:p>
      <w:pPr>
        <w:ind w:left="400" w:right="8820" w:hanging="287"/>
        <w:spacing w:after="0" w:line="288" w:lineRule="auto"/>
        <w:tabs>
          <w:tab w:leader="none" w:pos="387" w:val="left"/>
        </w:tabs>
        <w:numPr>
          <w:ilvl w:val="0"/>
          <w:numId w:val="8"/>
        </w:numPr>
        <w:rPr>
          <w:rFonts w:ascii="Arial" w:cs="Arial" w:eastAsia="Arial" w:hAnsi="Arial"/>
          <w:sz w:val="24"/>
          <w:szCs w:val="24"/>
          <w:b w:val="1"/>
          <w:bCs w:val="1"/>
          <w:color w:val="auto"/>
        </w:rPr>
      </w:pPr>
      <w:r>
        <w:rPr>
          <w:rFonts w:ascii="Arial" w:cs="Arial" w:eastAsia="Arial" w:hAnsi="Arial"/>
          <w:sz w:val="24"/>
          <w:szCs w:val="24"/>
          <w:b w:val="1"/>
          <w:bCs w:val="1"/>
          <w:color w:val="auto"/>
        </w:rPr>
        <w:t>of Segment Revenue</w:t>
      </w:r>
    </w:p>
    <w:p>
      <w:pPr>
        <w:spacing w:after="0" w:line="357" w:lineRule="exact"/>
        <w:rPr>
          <w:sz w:val="20"/>
          <w:szCs w:val="20"/>
          <w:color w:val="auto"/>
        </w:rPr>
      </w:pPr>
    </w:p>
    <w:p>
      <w:pPr>
        <w:ind w:left="680"/>
        <w:spacing w:after="0"/>
        <w:rPr>
          <w:sz w:val="20"/>
          <w:szCs w:val="20"/>
          <w:color w:val="auto"/>
        </w:rPr>
      </w:pPr>
      <w:r>
        <w:rPr>
          <w:rFonts w:ascii="Arial" w:cs="Arial" w:eastAsia="Arial" w:hAnsi="Arial"/>
          <w:sz w:val="29"/>
          <w:szCs w:val="29"/>
          <w:b w:val="1"/>
          <w:bCs w:val="1"/>
          <w:color w:val="6698C2"/>
        </w:rPr>
        <w:t>75%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29"/>
          <w:szCs w:val="29"/>
          <w:b w:val="1"/>
          <w:bCs w:val="1"/>
          <w:color w:val="6698C2"/>
        </w:rPr>
        <w:t>16%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0"/>
        <w:spacing w:after="0"/>
        <w:rPr>
          <w:sz w:val="20"/>
          <w:szCs w:val="20"/>
          <w:color w:val="auto"/>
        </w:rPr>
      </w:pPr>
      <w:r>
        <w:rPr>
          <w:rFonts w:ascii="Arial" w:cs="Arial" w:eastAsia="Arial" w:hAnsi="Arial"/>
          <w:sz w:val="29"/>
          <w:szCs w:val="29"/>
          <w:b w:val="1"/>
          <w:bCs w:val="1"/>
          <w:color w:val="6698C2"/>
        </w:rPr>
        <w:t>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6698C2"/>
        </w:rPr>
        <w:t>4%</w:t>
      </w:r>
    </w:p>
    <w:p>
      <w:pPr>
        <w:sectPr>
          <w:pgSz w:w="11900" w:h="16838" w:orient="portrait"/>
          <w:cols w:equalWidth="0" w:num="1">
            <w:col w:w="10520"/>
          </w:cols>
          <w:pgMar w:left="680" w:top="452"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Revenue</w:t>
      </w:r>
    </w:p>
    <w:p>
      <w:pPr>
        <w:spacing w:after="0" w:line="39"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Growth - CC</w:t>
      </w:r>
    </w:p>
    <w:p>
      <w:pPr>
        <w:spacing w:after="0" w:line="293" w:lineRule="exact"/>
        <w:rPr>
          <w:sz w:val="20"/>
          <w:szCs w:val="20"/>
          <w:color w:val="auto"/>
        </w:rPr>
      </w:pPr>
    </w:p>
    <w:p>
      <w:pPr>
        <w:sectPr>
          <w:pgSz w:w="11900" w:h="16838" w:orient="portrait"/>
          <w:cols w:equalWidth="0" w:num="2">
            <w:col w:w="4880" w:space="720"/>
            <w:col w:w="4920"/>
          </w:cols>
          <w:pgMar w:left="680" w:top="452" w:right="699" w:bottom="1440" w:gutter="0" w:footer="0" w:header="0"/>
          <w:type w:val="continuous"/>
        </w:sectPr>
      </w:pPr>
    </w:p>
    <w:p>
      <w:pPr>
        <w:jc w:val="right"/>
        <w:spacing w:after="0" w:line="202" w:lineRule="auto"/>
        <w:rPr>
          <w:sz w:val="20"/>
          <w:szCs w:val="20"/>
          <w:color w:val="auto"/>
        </w:rPr>
      </w:pPr>
      <w:r>
        <w:rPr>
          <w:rFonts w:ascii="Arial" w:cs="Arial" w:eastAsia="Arial" w:hAnsi="Arial"/>
          <w:sz w:val="14"/>
          <w:szCs w:val="14"/>
          <w:color w:val="89898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428625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19" w:name="page20"/>
    <w:bookmarkEnd w:id="19"/>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Northern Europe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(28%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40"/>
        <w:spacing w:after="0"/>
        <w:rPr>
          <w:sz w:val="20"/>
          <w:szCs w:val="20"/>
          <w:color w:val="auto"/>
        </w:rPr>
      </w:pPr>
      <w:r>
        <w:rPr>
          <w:rFonts w:ascii="Arial" w:cs="Arial" w:eastAsia="Arial" w:hAnsi="Arial"/>
          <w:sz w:val="42"/>
          <w:szCs w:val="42"/>
          <w:b w:val="1"/>
          <w:bCs w:val="1"/>
          <w:color w:val="auto"/>
        </w:rPr>
        <w:t>Q2 Financial Highlights</w:t>
      </w:r>
    </w:p>
    <w:p>
      <w:pPr>
        <w:spacing w:after="0" w:line="200" w:lineRule="exact"/>
        <w:rPr>
          <w:sz w:val="20"/>
          <w:szCs w:val="20"/>
          <w:color w:val="auto"/>
        </w:rPr>
      </w:pPr>
    </w:p>
    <w:p>
      <w:pPr>
        <w:spacing w:after="0" w:line="287" w:lineRule="exact"/>
        <w:rPr>
          <w:sz w:val="20"/>
          <w:szCs w:val="20"/>
          <w:color w:val="auto"/>
        </w:rPr>
      </w:pPr>
    </w:p>
    <w:tbl>
      <w:tblPr>
        <w:tblLayout w:type="fixed"/>
        <w:tblInd w:w="1880" w:type="dxa"/>
        <w:tblCellMar>
          <w:top w:w="0" w:type="dxa"/>
          <w:left w:w="0" w:type="dxa"/>
          <w:bottom w:w="0" w:type="dxa"/>
          <w:right w:w="0" w:type="dxa"/>
        </w:tblCellMar>
      </w:tblPr>
      <w:tr>
        <w:trPr>
          <w:trHeight w:val="456"/>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24%</w:t>
            </w:r>
          </w:p>
        </w:tc>
        <w:tc>
          <w:tcPr>
            <w:tcW w:w="354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$1.6B</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208"/>
              <w:spacing w:after="0"/>
              <w:rPr>
                <w:sz w:val="20"/>
                <w:szCs w:val="20"/>
                <w:color w:val="auto"/>
              </w:rPr>
            </w:pPr>
            <w:r>
              <w:rPr>
                <w:rFonts w:ascii="Arial" w:cs="Arial" w:eastAsia="Arial" w:hAnsi="Arial"/>
                <w:sz w:val="38"/>
                <w:szCs w:val="38"/>
                <w:color w:val="auto"/>
              </w:rPr>
              <w:t>9% CC</w:t>
            </w:r>
          </w:p>
        </w:tc>
        <w:tc>
          <w:tcPr>
            <w:tcW w:w="35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97%</w:t>
            </w:r>
          </w:p>
        </w:tc>
        <w:tc>
          <w:tcPr>
            <w:tcW w:w="138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160" w:type="dxa"/>
            <w:vAlign w:val="bottom"/>
            <w:vMerge w:val="restart"/>
          </w:tcPr>
          <w:p>
            <w:pPr>
              <w:ind w:left="120"/>
              <w:spacing w:after="0"/>
              <w:rPr>
                <w:sz w:val="20"/>
                <w:szCs w:val="20"/>
                <w:color w:val="auto"/>
              </w:rPr>
            </w:pPr>
            <w:r>
              <w:rPr>
                <w:rFonts w:ascii="Arial" w:cs="Arial" w:eastAsia="Arial" w:hAnsi="Arial"/>
                <w:sz w:val="45"/>
                <w:szCs w:val="45"/>
                <w:b w:val="1"/>
                <w:bCs w:val="1"/>
                <w:color w:val="5F81AA"/>
              </w:rPr>
              <w:t>$56M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72% CC</w:t>
            </w:r>
          </w:p>
        </w:tc>
        <w:tc>
          <w:tcPr>
            <w:tcW w:w="1380" w:type="dxa"/>
            <w:vAlign w:val="bottom"/>
            <w:vMerge w:val="continue"/>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3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920"/>
        <w:spacing w:after="0"/>
        <w:tabs>
          <w:tab w:leader="none" w:pos="4020" w:val="left"/>
        </w:tabs>
        <w:rPr>
          <w:sz w:val="20"/>
          <w:szCs w:val="20"/>
          <w:color w:val="auto"/>
        </w:rPr>
      </w:pPr>
      <w:r>
        <w:rPr>
          <w:rFonts w:ascii="Arial" w:cs="Arial" w:eastAsia="Arial" w:hAnsi="Arial"/>
          <w:sz w:val="38"/>
          <w:szCs w:val="38"/>
          <w:color w:val="auto"/>
        </w:rPr>
        <w:t>130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0" w:name="page21"/>
    <w:bookmarkEnd w:id="20"/>
    <w:p>
      <w:pPr>
        <w:ind w:left="440"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31" w:lineRule="exact"/>
        <w:rPr>
          <w:sz w:val="20"/>
          <w:szCs w:val="20"/>
          <w:color w:val="auto"/>
        </w:rPr>
      </w:pPr>
    </w:p>
    <w:p>
      <w:pPr>
        <w:sectPr>
          <w:pgSz w:w="11900" w:h="16838" w:orient="portrait"/>
          <w:cols w:equalWidth="0" w:num="2">
            <w:col w:w="9420" w:space="720"/>
            <w:col w:w="1300"/>
          </w:cols>
          <w:pgMar w:left="240" w:top="452" w:right="219" w:bottom="1440" w:gutter="0" w:footer="0" w:header="0"/>
        </w:sectPr>
      </w:pPr>
    </w:p>
    <w:p>
      <w:pPr>
        <w:ind w:left="880"/>
        <w:spacing w:after="0"/>
        <w:rPr>
          <w:sz w:val="20"/>
          <w:szCs w:val="20"/>
          <w:color w:val="auto"/>
        </w:rPr>
      </w:pPr>
      <w:r>
        <w:rPr>
          <w:rFonts w:ascii="Arial" w:cs="Arial" w:eastAsia="Arial" w:hAnsi="Arial"/>
          <w:sz w:val="51"/>
          <w:szCs w:val="51"/>
          <w:color w:val="5F81AA"/>
        </w:rPr>
        <w:t>Northern Europe - Q2 Revenue Growth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00" w:type="dxa"/>
            <w:vAlign w:val="bottom"/>
          </w:tcPr>
          <w:p>
            <w:pPr>
              <w:jc w:val="center"/>
              <w:ind w:left="3928"/>
              <w:spacing w:after="0"/>
              <w:rPr>
                <w:sz w:val="20"/>
                <w:szCs w:val="20"/>
                <w:color w:val="auto"/>
              </w:rPr>
            </w:pPr>
            <w:r>
              <w:rPr>
                <w:rFonts w:ascii="Arial" w:cs="Arial" w:eastAsia="Arial" w:hAnsi="Arial"/>
                <w:sz w:val="22"/>
                <w:szCs w:val="22"/>
                <w:b w:val="1"/>
                <w:bCs w:val="1"/>
                <w:color w:val="auto"/>
              </w:rPr>
              <w:t>Revenue</w:t>
            </w:r>
          </w:p>
        </w:tc>
        <w:tc>
          <w:tcPr>
            <w:tcW w:w="3840" w:type="dxa"/>
            <w:vAlign w:val="bottom"/>
          </w:tcPr>
          <w:p>
            <w:pPr>
              <w:ind w:left="480"/>
              <w:spacing w:after="0"/>
              <w:rPr>
                <w:sz w:val="20"/>
                <w:szCs w:val="20"/>
                <w:color w:val="auto"/>
              </w:rPr>
            </w:pPr>
            <w:r>
              <w:rPr>
                <w:rFonts w:ascii="Arial" w:cs="Arial" w:eastAsia="Arial" w:hAnsi="Arial"/>
                <w:sz w:val="22"/>
                <w:szCs w:val="22"/>
                <w:b w:val="1"/>
                <w:bCs w:val="1"/>
                <w:color w:val="auto"/>
              </w:rPr>
              <w:t>Revenue Growth - CC</w:t>
            </w:r>
          </w:p>
        </w:tc>
        <w:tc>
          <w:tcPr>
            <w:tcW w:w="1700" w:type="dxa"/>
            <w:vAlign w:val="bottom"/>
          </w:tcPr>
          <w:p>
            <w:pPr>
              <w:jc w:val="right"/>
              <w:ind w:right="408"/>
              <w:spacing w:after="0"/>
              <w:rPr>
                <w:sz w:val="20"/>
                <w:szCs w:val="20"/>
                <w:color w:val="auto"/>
              </w:rPr>
            </w:pPr>
            <w:r>
              <w:rPr>
                <w:rFonts w:ascii="Arial" w:cs="Arial" w:eastAsia="Arial" w:hAnsi="Arial"/>
                <w:sz w:val="14"/>
                <w:szCs w:val="14"/>
                <w:color w:val="898989"/>
              </w:rPr>
              <w:t>10</w:t>
            </w:r>
          </w:p>
        </w:tc>
      </w:tr>
      <w:tr>
        <w:trPr>
          <w:trHeight w:val="297"/>
        </w:trPr>
        <w:tc>
          <w:tcPr>
            <w:tcW w:w="5900" w:type="dxa"/>
            <w:vAlign w:val="bottom"/>
          </w:tcPr>
          <w:p>
            <w:pPr>
              <w:jc w:val="center"/>
              <w:ind w:left="3928"/>
              <w:spacing w:after="0"/>
              <w:rPr>
                <w:sz w:val="20"/>
                <w:szCs w:val="20"/>
                <w:color w:val="auto"/>
              </w:rPr>
            </w:pPr>
            <w:r>
              <w:rPr>
                <w:rFonts w:ascii="Arial" w:cs="Arial" w:eastAsia="Arial" w:hAnsi="Arial"/>
                <w:sz w:val="22"/>
                <w:szCs w:val="22"/>
                <w:b w:val="1"/>
                <w:bCs w:val="1"/>
                <w:color w:val="auto"/>
              </w:rPr>
              <w:t>Growth</w:t>
            </w: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8"/>
        </w:trPr>
        <w:tc>
          <w:tcPr>
            <w:tcW w:w="590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type w:val="continuous"/>
        </w:sectPr>
      </w:pPr>
    </w:p>
    <w:bookmarkStart w:id="21" w:name="page22"/>
    <w:bookmarkEnd w:id="21"/>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APME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(12%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0"/>
        <w:spacing w:after="0"/>
        <w:rPr>
          <w:sz w:val="20"/>
          <w:szCs w:val="20"/>
          <w:color w:val="auto"/>
        </w:rPr>
      </w:pPr>
      <w:r>
        <w:rPr>
          <w:rFonts w:ascii="Arial" w:cs="Arial" w:eastAsia="Arial" w:hAnsi="Arial"/>
          <w:sz w:val="42"/>
          <w:szCs w:val="42"/>
          <w:b w:val="1"/>
          <w:bCs w:val="1"/>
          <w:color w:val="auto"/>
        </w:rPr>
        <w:t>Q2 Financial Highlights</w:t>
      </w:r>
    </w:p>
    <w:p>
      <w:pPr>
        <w:spacing w:after="0" w:line="200" w:lineRule="exact"/>
        <w:rPr>
          <w:sz w:val="20"/>
          <w:szCs w:val="20"/>
          <w:color w:val="auto"/>
        </w:rPr>
      </w:pPr>
    </w:p>
    <w:p>
      <w:pPr>
        <w:spacing w:after="0" w:line="287" w:lineRule="exact"/>
        <w:rPr>
          <w:sz w:val="20"/>
          <w:szCs w:val="20"/>
          <w:color w:val="auto"/>
        </w:rPr>
      </w:pPr>
    </w:p>
    <w:tbl>
      <w:tblPr>
        <w:tblLayout w:type="fixed"/>
        <w:tblInd w:w="1840" w:type="dxa"/>
        <w:tblCellMar>
          <w:top w:w="0" w:type="dxa"/>
          <w:left w:w="0" w:type="dxa"/>
          <w:bottom w:w="0" w:type="dxa"/>
          <w:right w:w="0" w:type="dxa"/>
        </w:tblCellMar>
      </w:tblPr>
      <w:tr>
        <w:trPr>
          <w:trHeight w:val="456"/>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31%</w:t>
            </w:r>
          </w:p>
        </w:tc>
        <w:tc>
          <w:tcPr>
            <w:tcW w:w="372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$663M</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16% CC</w:t>
            </w:r>
          </w:p>
        </w:tc>
        <w:tc>
          <w:tcPr>
            <w:tcW w:w="37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59%</w:t>
            </w:r>
          </w:p>
        </w:tc>
        <w:tc>
          <w:tcPr>
            <w:tcW w:w="140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320" w:type="dxa"/>
            <w:vAlign w:val="bottom"/>
            <w:vMerge w:val="restart"/>
          </w:tcPr>
          <w:p>
            <w:pPr>
              <w:ind w:left="100"/>
              <w:spacing w:after="0"/>
              <w:rPr>
                <w:sz w:val="20"/>
                <w:szCs w:val="20"/>
                <w:color w:val="auto"/>
              </w:rPr>
            </w:pPr>
            <w:r>
              <w:rPr>
                <w:rFonts w:ascii="Arial" w:cs="Arial" w:eastAsia="Arial" w:hAnsi="Arial"/>
                <w:sz w:val="45"/>
                <w:szCs w:val="45"/>
                <w:b w:val="1"/>
                <w:bCs w:val="1"/>
                <w:color w:val="5F81AA"/>
              </w:rPr>
              <w:t>$19M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43% CC</w:t>
            </w:r>
          </w:p>
        </w:tc>
        <w:tc>
          <w:tcPr>
            <w:tcW w:w="140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980"/>
        <w:spacing w:after="0"/>
        <w:tabs>
          <w:tab w:leader="none" w:pos="3980" w:val="left"/>
        </w:tabs>
        <w:rPr>
          <w:sz w:val="20"/>
          <w:szCs w:val="20"/>
          <w:color w:val="auto"/>
        </w:rPr>
      </w:pPr>
      <w:r>
        <w:rPr>
          <w:rFonts w:ascii="Arial" w:cs="Arial" w:eastAsia="Arial" w:hAnsi="Arial"/>
          <w:sz w:val="38"/>
          <w:szCs w:val="38"/>
          <w:color w:val="auto"/>
        </w:rPr>
        <w:t>50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2" w:name="page23"/>
    <w:bookmarkEnd w:id="22"/>
    <w:p>
      <w:pPr>
        <w:ind w:left="19"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331" w:lineRule="exact"/>
        <w:rPr>
          <w:sz w:val="20"/>
          <w:szCs w:val="20"/>
          <w:color w:val="auto"/>
        </w:rPr>
      </w:pPr>
    </w:p>
    <w:p>
      <w:pPr>
        <w:ind w:left="439"/>
        <w:spacing w:after="0"/>
        <w:rPr>
          <w:sz w:val="20"/>
          <w:szCs w:val="20"/>
          <w:color w:val="auto"/>
        </w:rPr>
      </w:pPr>
      <w:r>
        <w:rPr>
          <w:rFonts w:ascii="Arial" w:cs="Arial" w:eastAsia="Arial" w:hAnsi="Arial"/>
          <w:sz w:val="51"/>
          <w:szCs w:val="51"/>
          <w:color w:val="5F81AA"/>
        </w:rPr>
        <w:t>APME - Q2 Revenue Growth YoY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9" w:right="7420" w:hanging="299"/>
        <w:spacing w:after="0" w:line="311" w:lineRule="auto"/>
        <w:tabs>
          <w:tab w:leader="none" w:pos="286" w:val="left"/>
        </w:tabs>
        <w:numPr>
          <w:ilvl w:val="0"/>
          <w:numId w:val="9"/>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214" w:lineRule="exact"/>
        <w:rPr>
          <w:sz w:val="20"/>
          <w:szCs w:val="20"/>
          <w:color w:val="auto"/>
        </w:rPr>
      </w:pPr>
    </w:p>
    <w:p>
      <w:pPr>
        <w:ind w:left="539"/>
        <w:spacing w:after="0"/>
        <w:rPr>
          <w:sz w:val="20"/>
          <w:szCs w:val="20"/>
          <w:color w:val="auto"/>
        </w:rPr>
      </w:pPr>
      <w:r>
        <w:rPr>
          <w:rFonts w:ascii="Arial" w:cs="Arial" w:eastAsia="Arial" w:hAnsi="Arial"/>
          <w:sz w:val="29"/>
          <w:szCs w:val="29"/>
          <w:b w:val="1"/>
          <w:bCs w:val="1"/>
          <w:color w:val="6698C2"/>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9"/>
        <w:spacing w:after="0"/>
        <w:rPr>
          <w:sz w:val="20"/>
          <w:szCs w:val="20"/>
          <w:color w:val="auto"/>
        </w:rPr>
      </w:pPr>
      <w:r>
        <w:rPr>
          <w:rFonts w:ascii="Arial" w:cs="Arial" w:eastAsia="Arial" w:hAnsi="Arial"/>
          <w:sz w:val="29"/>
          <w:szCs w:val="29"/>
          <w:b w:val="1"/>
          <w:bCs w:val="1"/>
          <w:color w:val="6698C2"/>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979"/>
        <w:spacing w:after="0"/>
        <w:rPr>
          <w:sz w:val="20"/>
          <w:szCs w:val="20"/>
          <w:color w:val="auto"/>
        </w:rPr>
      </w:pPr>
      <w:r>
        <w:rPr>
          <w:rFonts w:ascii="Arial" w:cs="Arial" w:eastAsia="Arial" w:hAnsi="Arial"/>
          <w:sz w:val="18"/>
          <w:szCs w:val="18"/>
          <w:b w:val="1"/>
          <w:bCs w:val="1"/>
          <w:color w:val="4F81BD"/>
        </w:rPr>
        <w:t>(1)</w:t>
      </w:r>
    </w:p>
    <w:p>
      <w:pPr>
        <w:ind w:left="519"/>
        <w:spacing w:after="0"/>
        <w:rPr>
          <w:sz w:val="20"/>
          <w:szCs w:val="20"/>
          <w:color w:val="auto"/>
        </w:rPr>
      </w:pPr>
      <w:r>
        <w:rPr>
          <w:rFonts w:ascii="Arial" w:cs="Arial" w:eastAsia="Arial" w:hAnsi="Arial"/>
          <w:sz w:val="29"/>
          <w:szCs w:val="29"/>
          <w:b w:val="1"/>
          <w:bCs w:val="1"/>
          <w:color w:val="6698C2"/>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979"/>
        <w:spacing w:after="0"/>
        <w:tabs>
          <w:tab w:leader="none" w:pos="5859" w:val="left"/>
        </w:tabs>
        <w:rPr>
          <w:sz w:val="20"/>
          <w:szCs w:val="20"/>
          <w:color w:val="auto"/>
        </w:rPr>
      </w:pPr>
      <w:r>
        <w:rPr>
          <w:rFonts w:ascii="Arial" w:cs="Arial" w:eastAsia="Arial" w:hAnsi="Arial"/>
          <w:sz w:val="22"/>
          <w:szCs w:val="22"/>
          <w:b w:val="1"/>
          <w:bCs w:val="1"/>
          <w:color w:val="auto"/>
        </w:rPr>
        <w:t>Revenue</w:t>
      </w:r>
      <w:r>
        <w:rPr>
          <w:sz w:val="20"/>
          <w:szCs w:val="20"/>
          <w:color w:val="auto"/>
        </w:rPr>
        <w:tab/>
      </w:r>
      <w:r>
        <w:rPr>
          <w:rFonts w:ascii="Arial" w:cs="Arial" w:eastAsia="Arial" w:hAnsi="Arial"/>
          <w:sz w:val="22"/>
          <w:szCs w:val="22"/>
          <w:b w:val="1"/>
          <w:bCs w:val="1"/>
          <w:color w:val="auto"/>
        </w:rPr>
        <w:t>Revenue Growth - CC</w:t>
      </w:r>
    </w:p>
    <w:p>
      <w:pPr>
        <w:spacing w:after="0" w:line="19" w:lineRule="exact"/>
        <w:rPr>
          <w:sz w:val="20"/>
          <w:szCs w:val="20"/>
          <w:color w:val="auto"/>
        </w:rPr>
      </w:pPr>
    </w:p>
    <w:p>
      <w:pPr>
        <w:ind w:left="4059"/>
        <w:spacing w:after="0"/>
        <w:rPr>
          <w:sz w:val="20"/>
          <w:szCs w:val="20"/>
          <w:color w:val="auto"/>
        </w:rPr>
      </w:pPr>
      <w:r>
        <w:rPr>
          <w:rFonts w:ascii="Arial" w:cs="Arial" w:eastAsia="Arial" w:hAnsi="Arial"/>
          <w:sz w:val="22"/>
          <w:szCs w:val="22"/>
          <w:b w:val="1"/>
          <w:bCs w:val="1"/>
          <w:color w:val="auto"/>
        </w:rPr>
        <w:t>Growth</w:t>
      </w:r>
    </w:p>
    <w:p>
      <w:pPr>
        <w:ind w:left="539" w:hanging="267"/>
        <w:spacing w:after="0" w:line="186" w:lineRule="auto"/>
        <w:tabs>
          <w:tab w:leader="none" w:pos="539" w:val="left"/>
        </w:tabs>
        <w:numPr>
          <w:ilvl w:val="0"/>
          <w:numId w:val="10"/>
        </w:numPr>
        <w:rPr>
          <w:rFonts w:ascii="Arial" w:cs="Arial" w:eastAsia="Arial" w:hAnsi="Arial"/>
          <w:sz w:val="26"/>
          <w:szCs w:val="26"/>
          <w:color w:val="auto"/>
          <w:vertAlign w:val="superscript"/>
        </w:rPr>
      </w:pPr>
      <w:r>
        <w:rPr>
          <w:rFonts w:ascii="Arial" w:cs="Arial" w:eastAsia="Arial" w:hAnsi="Arial"/>
          <w:sz w:val="19"/>
          <w:szCs w:val="19"/>
          <w:color w:val="auto"/>
        </w:rPr>
        <w:t>On an organic basis, Other revenue growth was 23% (+16% 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464185</wp:posOffset>
            </wp:positionV>
            <wp:extent cx="72669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FFFFFF"/>
        </w:rPr>
        <w:t>July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12</w:t>
      </w:r>
    </w:p>
    <w:p>
      <w:pPr>
        <w:sectPr>
          <w:pgSz w:w="11900" w:h="16838" w:orient="portrait"/>
          <w:cols w:equalWidth="0" w:num="2">
            <w:col w:w="8999" w:space="720"/>
            <w:col w:w="820"/>
          </w:cols>
          <w:pgMar w:left="661" w:top="452" w:right="699" w:bottom="1440" w:gutter="0" w:footer="0" w:header="0"/>
        </w:sectPr>
      </w:pPr>
    </w:p>
    <w:bookmarkStart w:id="23" w:name="page24"/>
    <w:bookmarkEnd w:id="23"/>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51"/>
          <w:szCs w:val="51"/>
          <w:color w:val="5F81AA"/>
        </w:rPr>
        <w:t>Right Management Segment</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32"/>
          <w:szCs w:val="32"/>
          <w:color w:val="5F81AA"/>
        </w:rPr>
        <w:t>(1%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0"/>
        <w:spacing w:after="0"/>
        <w:rPr>
          <w:sz w:val="20"/>
          <w:szCs w:val="20"/>
          <w:color w:val="auto"/>
        </w:rPr>
      </w:pPr>
      <w:r>
        <w:rPr>
          <w:rFonts w:ascii="Arial" w:cs="Arial" w:eastAsia="Arial" w:hAnsi="Arial"/>
          <w:sz w:val="42"/>
          <w:szCs w:val="42"/>
          <w:b w:val="1"/>
          <w:bCs w:val="1"/>
          <w:color w:val="auto"/>
        </w:rPr>
        <w:t>Q2 Financial Highlights</w:t>
      </w:r>
    </w:p>
    <w:p>
      <w:pPr>
        <w:spacing w:after="0" w:line="200" w:lineRule="exact"/>
        <w:rPr>
          <w:sz w:val="20"/>
          <w:szCs w:val="20"/>
          <w:color w:val="auto"/>
        </w:rPr>
      </w:pPr>
    </w:p>
    <w:p>
      <w:pPr>
        <w:spacing w:after="0" w:line="287" w:lineRule="exact"/>
        <w:rPr>
          <w:sz w:val="20"/>
          <w:szCs w:val="20"/>
          <w:color w:val="auto"/>
        </w:rPr>
      </w:pPr>
    </w:p>
    <w:tbl>
      <w:tblPr>
        <w:tblLayout w:type="fixed"/>
        <w:tblInd w:w="1840" w:type="dxa"/>
        <w:tblCellMar>
          <w:top w:w="0" w:type="dxa"/>
          <w:left w:w="0" w:type="dxa"/>
          <w:bottom w:w="0" w:type="dxa"/>
          <w:right w:w="0" w:type="dxa"/>
        </w:tblCellMar>
      </w:tblPr>
      <w:tr>
        <w:trPr>
          <w:trHeight w:val="456"/>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14%</w:t>
            </w:r>
          </w:p>
        </w:tc>
        <w:tc>
          <w:tcPr>
            <w:tcW w:w="3460" w:type="dxa"/>
            <w:vAlign w:val="bottom"/>
            <w:gridSpan w:val="2"/>
            <w:vMerge w:val="restart"/>
          </w:tcPr>
          <w:p>
            <w:pPr>
              <w:ind w:left="380"/>
              <w:spacing w:after="0"/>
              <w:rPr>
                <w:sz w:val="20"/>
                <w:szCs w:val="20"/>
                <w:color w:val="auto"/>
              </w:rPr>
            </w:pPr>
            <w:r>
              <w:rPr>
                <w:rFonts w:ascii="Arial" w:cs="Arial" w:eastAsia="Arial" w:hAnsi="Arial"/>
                <w:sz w:val="42"/>
                <w:szCs w:val="42"/>
                <w:b w:val="1"/>
                <w:bCs w:val="1"/>
                <w:color w:val="auto"/>
              </w:rPr>
              <w:t xml:space="preserve">Revenue </w:t>
            </w:r>
            <w:r>
              <w:rPr>
                <w:rFonts w:ascii="Arial" w:cs="Arial" w:eastAsia="Arial" w:hAnsi="Arial"/>
                <w:sz w:val="44"/>
                <w:szCs w:val="44"/>
                <w:b w:val="1"/>
                <w:bCs w:val="1"/>
                <w:color w:val="5F81AA"/>
              </w:rPr>
              <w:t>$85M</w:t>
            </w:r>
          </w:p>
        </w:tc>
        <w:tc>
          <w:tcPr>
            <w:tcW w:w="0" w:type="dxa"/>
            <w:vAlign w:val="bottom"/>
          </w:tcPr>
          <w:p>
            <w:pPr>
              <w:spacing w:after="0"/>
              <w:rPr>
                <w:sz w:val="1"/>
                <w:szCs w:val="1"/>
                <w:color w:val="auto"/>
              </w:rPr>
            </w:pPr>
          </w:p>
        </w:tc>
      </w:tr>
      <w:tr>
        <w:trPr>
          <w:trHeight w:val="254"/>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20% CC</w:t>
            </w:r>
          </w:p>
        </w:tc>
        <w:tc>
          <w:tcPr>
            <w:tcW w:w="3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820" w:type="dxa"/>
            <w:vAlign w:val="bottom"/>
          </w:tcPr>
          <w:p>
            <w:pPr>
              <w:jc w:val="center"/>
              <w:ind w:right="188"/>
              <w:spacing w:after="0"/>
              <w:rPr>
                <w:sz w:val="20"/>
                <w:szCs w:val="20"/>
                <w:color w:val="auto"/>
              </w:rPr>
            </w:pPr>
            <w:r>
              <w:rPr>
                <w:rFonts w:ascii="Arial" w:cs="Arial" w:eastAsia="Arial" w:hAnsi="Arial"/>
                <w:sz w:val="38"/>
                <w:szCs w:val="38"/>
                <w:color w:val="auto"/>
                <w:w w:val="99"/>
              </w:rPr>
              <w:t>64%</w:t>
            </w:r>
          </w:p>
        </w:tc>
        <w:tc>
          <w:tcPr>
            <w:tcW w:w="1400" w:type="dxa"/>
            <w:vAlign w:val="bottom"/>
            <w:vMerge w:val="restart"/>
          </w:tcPr>
          <w:p>
            <w:pPr>
              <w:ind w:left="380"/>
              <w:spacing w:after="0"/>
              <w:rPr>
                <w:sz w:val="20"/>
                <w:szCs w:val="20"/>
                <w:color w:val="auto"/>
              </w:rPr>
            </w:pPr>
            <w:r>
              <w:rPr>
                <w:rFonts w:ascii="Arial" w:cs="Arial" w:eastAsia="Arial" w:hAnsi="Arial"/>
                <w:sz w:val="42"/>
                <w:szCs w:val="42"/>
                <w:b w:val="1"/>
                <w:bCs w:val="1"/>
                <w:color w:val="auto"/>
              </w:rPr>
              <w:t>OUP</w:t>
            </w:r>
          </w:p>
        </w:tc>
        <w:tc>
          <w:tcPr>
            <w:tcW w:w="2060" w:type="dxa"/>
            <w:vAlign w:val="bottom"/>
            <w:vMerge w:val="restart"/>
          </w:tcPr>
          <w:p>
            <w:pPr>
              <w:ind w:left="100"/>
              <w:spacing w:after="0"/>
              <w:rPr>
                <w:sz w:val="20"/>
                <w:szCs w:val="20"/>
                <w:color w:val="auto"/>
              </w:rPr>
            </w:pPr>
            <w:r>
              <w:rPr>
                <w:rFonts w:ascii="Arial" w:cs="Arial" w:eastAsia="Arial" w:hAnsi="Arial"/>
                <w:sz w:val="45"/>
                <w:szCs w:val="45"/>
                <w:b w:val="1"/>
                <w:bCs w:val="1"/>
                <w:color w:val="5F81AA"/>
              </w:rPr>
              <w:t>$3M</w:t>
            </w:r>
          </w:p>
        </w:tc>
        <w:tc>
          <w:tcPr>
            <w:tcW w:w="0" w:type="dxa"/>
            <w:vAlign w:val="bottom"/>
          </w:tcPr>
          <w:p>
            <w:pPr>
              <w:spacing w:after="0"/>
              <w:rPr>
                <w:sz w:val="1"/>
                <w:szCs w:val="1"/>
                <w:color w:val="auto"/>
              </w:rPr>
            </w:pPr>
          </w:p>
        </w:tc>
      </w:tr>
      <w:tr>
        <w:trPr>
          <w:trHeight w:val="306"/>
        </w:trPr>
        <w:tc>
          <w:tcPr>
            <w:tcW w:w="1820" w:type="dxa"/>
            <w:vAlign w:val="bottom"/>
            <w:vMerge w:val="restart"/>
          </w:tcPr>
          <w:p>
            <w:pPr>
              <w:jc w:val="center"/>
              <w:ind w:right="188"/>
              <w:spacing w:after="0"/>
              <w:rPr>
                <w:sz w:val="20"/>
                <w:szCs w:val="20"/>
                <w:color w:val="auto"/>
              </w:rPr>
            </w:pPr>
            <w:r>
              <w:rPr>
                <w:rFonts w:ascii="Arial" w:cs="Arial" w:eastAsia="Arial" w:hAnsi="Arial"/>
                <w:sz w:val="38"/>
                <w:szCs w:val="38"/>
                <w:color w:val="auto"/>
              </w:rPr>
              <w:t>64% CC</w:t>
            </w:r>
          </w:p>
        </w:tc>
        <w:tc>
          <w:tcPr>
            <w:tcW w:w="140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2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880"/>
        <w:spacing w:after="0"/>
        <w:tabs>
          <w:tab w:leader="none" w:pos="3980" w:val="left"/>
        </w:tabs>
        <w:rPr>
          <w:sz w:val="20"/>
          <w:szCs w:val="20"/>
          <w:color w:val="auto"/>
        </w:rPr>
      </w:pPr>
      <w:r>
        <w:rPr>
          <w:rFonts w:ascii="Arial" w:cs="Arial" w:eastAsia="Arial" w:hAnsi="Arial"/>
          <w:sz w:val="38"/>
          <w:szCs w:val="38"/>
          <w:color w:val="auto"/>
        </w:rPr>
        <w:t>460 bps</w:t>
      </w:r>
      <w:r>
        <w:rPr>
          <w:sz w:val="20"/>
          <w:szCs w:val="20"/>
          <w:color w:val="auto"/>
        </w:rPr>
        <w:tab/>
      </w:r>
      <w:r>
        <w:rPr>
          <w:rFonts w:ascii="Arial" w:cs="Arial" w:eastAsia="Arial" w:hAnsi="Arial"/>
          <w:sz w:val="42"/>
          <w:szCs w:val="42"/>
          <w:b w:val="1"/>
          <w:bCs w:val="1"/>
          <w:color w:val="auto"/>
        </w:rPr>
        <w:t xml:space="preserve">OUP Margin </w:t>
      </w:r>
      <w:r>
        <w:rPr>
          <w:rFonts w:ascii="Arial" w:cs="Arial" w:eastAsia="Arial" w:hAnsi="Arial"/>
          <w:sz w:val="44"/>
          <w:szCs w:val="44"/>
          <w:b w:val="1"/>
          <w:bCs w:val="1"/>
          <w:color w:val="5F81AA"/>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4" w:name="page25"/>
    <w:bookmarkEnd w:id="24"/>
    <w:p>
      <w:pPr>
        <w:ind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1" w:lineRule="exact"/>
        <w:rPr>
          <w:sz w:val="20"/>
          <w:szCs w:val="20"/>
          <w:color w:val="auto"/>
        </w:rPr>
      </w:pPr>
    </w:p>
    <w:p>
      <w:pPr>
        <w:sectPr>
          <w:pgSz w:w="11900" w:h="16838" w:orient="portrait"/>
          <w:cols w:equalWidth="0" w:num="2">
            <w:col w:w="8980" w:space="720"/>
            <w:col w:w="820"/>
          </w:cols>
          <w:pgMar w:left="680" w:top="452" w:right="699" w:bottom="1440" w:gutter="0" w:footer="0" w:header="0"/>
        </w:sectPr>
      </w:pPr>
    </w:p>
    <w:p>
      <w:pPr>
        <w:ind w:left="400"/>
        <w:spacing w:after="0"/>
        <w:rPr>
          <w:sz w:val="20"/>
          <w:szCs w:val="20"/>
          <w:color w:val="auto"/>
        </w:rPr>
      </w:pPr>
      <w:r>
        <w:rPr>
          <w:rFonts w:ascii="Arial" w:cs="Arial" w:eastAsia="Arial" w:hAnsi="Arial"/>
          <w:sz w:val="51"/>
          <w:szCs w:val="51"/>
          <w:color w:val="5F81AA"/>
        </w:rPr>
        <w:t>Cash Flow Summary - First Half</w:t>
      </w:r>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426"/>
        </w:trPr>
        <w:tc>
          <w:tcPr>
            <w:tcW w:w="6000" w:type="dxa"/>
            <w:vAlign w:val="bottom"/>
          </w:tcPr>
          <w:p>
            <w:pPr>
              <w:spacing w:after="0"/>
              <w:rPr>
                <w:sz w:val="20"/>
                <w:szCs w:val="20"/>
                <w:color w:val="auto"/>
              </w:rPr>
            </w:pPr>
            <w:r>
              <w:rPr>
                <w:rFonts w:ascii="Arial" w:cs="Arial" w:eastAsia="Arial" w:hAnsi="Arial"/>
                <w:sz w:val="29"/>
                <w:szCs w:val="29"/>
                <w:color w:val="5F81AA"/>
              </w:rPr>
              <w:t>($ in millions)</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5F81AA"/>
              </w:rPr>
              <w:t>2011</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5F81AA"/>
              </w:rPr>
              <w:t>2010</w:t>
            </w:r>
          </w:p>
        </w:tc>
        <w:tc>
          <w:tcPr>
            <w:tcW w:w="0" w:type="dxa"/>
            <w:vAlign w:val="bottom"/>
          </w:tcPr>
          <w:p>
            <w:pPr>
              <w:spacing w:after="0"/>
              <w:rPr>
                <w:sz w:val="1"/>
                <w:szCs w:val="1"/>
                <w:color w:val="auto"/>
              </w:rPr>
            </w:pPr>
          </w:p>
        </w:tc>
      </w:tr>
      <w:tr>
        <w:trPr>
          <w:trHeight w:val="769"/>
        </w:trPr>
        <w:tc>
          <w:tcPr>
            <w:tcW w:w="6000" w:type="dxa"/>
            <w:vAlign w:val="bottom"/>
          </w:tcPr>
          <w:p>
            <w:pPr>
              <w:spacing w:after="0"/>
              <w:rPr>
                <w:sz w:val="20"/>
                <w:szCs w:val="20"/>
                <w:color w:val="auto"/>
              </w:rPr>
            </w:pPr>
            <w:r>
              <w:rPr>
                <w:rFonts w:ascii="Arial" w:cs="Arial" w:eastAsia="Arial" w:hAnsi="Arial"/>
                <w:sz w:val="32"/>
                <w:szCs w:val="32"/>
                <w:b w:val="1"/>
                <w:bCs w:val="1"/>
                <w:color w:val="auto"/>
              </w:rPr>
              <w:t>Cash from Operations</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(192)</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auto"/>
              </w:rPr>
              <w:t>(66)</w:t>
            </w:r>
          </w:p>
        </w:tc>
        <w:tc>
          <w:tcPr>
            <w:tcW w:w="0" w:type="dxa"/>
            <w:vAlign w:val="bottom"/>
          </w:tcPr>
          <w:p>
            <w:pPr>
              <w:spacing w:after="0"/>
              <w:rPr>
                <w:sz w:val="1"/>
                <w:szCs w:val="1"/>
                <w:color w:val="auto"/>
              </w:rPr>
            </w:pPr>
          </w:p>
        </w:tc>
      </w:tr>
      <w:tr>
        <w:trPr>
          <w:trHeight w:val="589"/>
        </w:trPr>
        <w:tc>
          <w:tcPr>
            <w:tcW w:w="6000" w:type="dxa"/>
            <w:vAlign w:val="bottom"/>
          </w:tcPr>
          <w:p>
            <w:pPr>
              <w:spacing w:after="0"/>
              <w:rPr>
                <w:sz w:val="20"/>
                <w:szCs w:val="20"/>
                <w:color w:val="auto"/>
              </w:rPr>
            </w:pPr>
            <w:r>
              <w:rPr>
                <w:rFonts w:ascii="Arial" w:cs="Arial" w:eastAsia="Arial" w:hAnsi="Arial"/>
                <w:sz w:val="32"/>
                <w:szCs w:val="32"/>
                <w:b w:val="1"/>
                <w:bCs w:val="1"/>
                <w:color w:val="auto"/>
              </w:rPr>
              <w:t>Capital Expenditures</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(28)</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auto"/>
              </w:rPr>
              <w:t>(28)</w:t>
            </w:r>
          </w:p>
        </w:tc>
        <w:tc>
          <w:tcPr>
            <w:tcW w:w="0" w:type="dxa"/>
            <w:vAlign w:val="bottom"/>
          </w:tcPr>
          <w:p>
            <w:pPr>
              <w:spacing w:after="0"/>
              <w:rPr>
                <w:sz w:val="1"/>
                <w:szCs w:val="1"/>
                <w:color w:val="auto"/>
              </w:rPr>
            </w:pPr>
          </w:p>
        </w:tc>
      </w:tr>
      <w:tr>
        <w:trPr>
          <w:trHeight w:val="184"/>
        </w:trPr>
        <w:tc>
          <w:tcPr>
            <w:tcW w:w="6000" w:type="dxa"/>
            <w:vAlign w:val="bottom"/>
            <w:vMerge w:val="restart"/>
          </w:tcPr>
          <w:p>
            <w:pPr>
              <w:jc w:val="center"/>
              <w:ind w:right="2321"/>
              <w:spacing w:after="0"/>
              <w:rPr>
                <w:sz w:val="20"/>
                <w:szCs w:val="20"/>
                <w:color w:val="auto"/>
              </w:rPr>
            </w:pPr>
            <w:r>
              <w:rPr>
                <w:rFonts w:ascii="Arial" w:cs="Arial" w:eastAsia="Arial" w:hAnsi="Arial"/>
                <w:sz w:val="32"/>
                <w:szCs w:val="32"/>
                <w:b w:val="1"/>
                <w:bCs w:val="1"/>
                <w:color w:val="auto"/>
                <w:w w:val="99"/>
              </w:rPr>
              <w:t>Free Cash Flow</w:t>
            </w:r>
          </w:p>
        </w:tc>
        <w:tc>
          <w:tcPr>
            <w:tcW w:w="1620" w:type="dxa"/>
            <w:vAlign w:val="bottom"/>
            <w:tcBorders>
              <w:bottom w:val="single" w:sz="8" w:color="auto"/>
            </w:tcBorders>
          </w:tcPr>
          <w:p>
            <w:pPr>
              <w:spacing w:after="0"/>
              <w:rPr>
                <w:sz w:val="16"/>
                <w:szCs w:val="16"/>
                <w:color w:val="auto"/>
              </w:rPr>
            </w:pPr>
          </w:p>
        </w:tc>
        <w:tc>
          <w:tcPr>
            <w:tcW w:w="380" w:type="dxa"/>
            <w:vAlign w:val="bottom"/>
            <w:vMerge w:val="restart"/>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600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(220)</w:t>
            </w:r>
          </w:p>
        </w:tc>
        <w:tc>
          <w:tcPr>
            <w:tcW w:w="3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(94)</w:t>
            </w:r>
          </w:p>
        </w:tc>
        <w:tc>
          <w:tcPr>
            <w:tcW w:w="0" w:type="dxa"/>
            <w:vAlign w:val="bottom"/>
          </w:tcPr>
          <w:p>
            <w:pPr>
              <w:spacing w:after="0"/>
              <w:rPr>
                <w:sz w:val="1"/>
                <w:szCs w:val="1"/>
                <w:color w:val="auto"/>
              </w:rPr>
            </w:pPr>
          </w:p>
        </w:tc>
      </w:tr>
      <w:tr>
        <w:trPr>
          <w:trHeight w:val="547"/>
        </w:trPr>
        <w:tc>
          <w:tcPr>
            <w:tcW w:w="6000" w:type="dxa"/>
            <w:vAlign w:val="bottom"/>
          </w:tcPr>
          <w:p>
            <w:pPr>
              <w:spacing w:after="0"/>
              <w:rPr>
                <w:sz w:val="20"/>
                <w:szCs w:val="20"/>
                <w:color w:val="auto"/>
              </w:rPr>
            </w:pPr>
            <w:r>
              <w:rPr>
                <w:rFonts w:ascii="Arial" w:cs="Arial" w:eastAsia="Arial" w:hAnsi="Arial"/>
                <w:sz w:val="32"/>
                <w:szCs w:val="32"/>
                <w:b w:val="1"/>
                <w:bCs w:val="1"/>
                <w:color w:val="auto"/>
              </w:rPr>
              <w:t>Change in Debt</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4</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auto"/>
              </w:rPr>
              <w:t>(5)</w:t>
            </w:r>
          </w:p>
        </w:tc>
        <w:tc>
          <w:tcPr>
            <w:tcW w:w="0" w:type="dxa"/>
            <w:vAlign w:val="bottom"/>
          </w:tcPr>
          <w:p>
            <w:pPr>
              <w:spacing w:after="0"/>
              <w:rPr>
                <w:sz w:val="1"/>
                <w:szCs w:val="1"/>
                <w:color w:val="auto"/>
              </w:rPr>
            </w:pPr>
          </w:p>
        </w:tc>
      </w:tr>
      <w:tr>
        <w:trPr>
          <w:trHeight w:val="589"/>
        </w:trPr>
        <w:tc>
          <w:tcPr>
            <w:tcW w:w="6000" w:type="dxa"/>
            <w:vAlign w:val="bottom"/>
          </w:tcPr>
          <w:p>
            <w:pPr>
              <w:spacing w:after="0"/>
              <w:rPr>
                <w:sz w:val="20"/>
                <w:szCs w:val="20"/>
                <w:color w:val="auto"/>
              </w:rPr>
            </w:pPr>
            <w:r>
              <w:rPr>
                <w:rFonts w:ascii="Arial" w:cs="Arial" w:eastAsia="Arial" w:hAnsi="Arial"/>
                <w:sz w:val="32"/>
                <w:szCs w:val="32"/>
                <w:b w:val="1"/>
                <w:bCs w:val="1"/>
                <w:color w:val="auto"/>
              </w:rPr>
              <w:t>Share Repurchases</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(19)</w:t>
            </w:r>
          </w:p>
        </w:tc>
        <w:tc>
          <w:tcPr>
            <w:tcW w:w="2000" w:type="dxa"/>
            <w:vAlign w:val="bottom"/>
            <w:gridSpan w:val="2"/>
          </w:tcPr>
          <w:p>
            <w:pPr>
              <w:jc w:val="right"/>
              <w:ind w:right="200"/>
              <w:spacing w:after="0"/>
              <w:rPr>
                <w:sz w:val="20"/>
                <w:szCs w:val="20"/>
                <w:color w:val="auto"/>
              </w:rPr>
            </w:pPr>
            <w:r>
              <w:rPr>
                <w:rFonts w:ascii="Arial" w:cs="Arial" w:eastAsia="Arial" w:hAnsi="Arial"/>
                <w:sz w:val="32"/>
                <w:szCs w:val="32"/>
                <w:b w:val="1"/>
                <w:bCs w:val="1"/>
                <w:color w:val="auto"/>
              </w:rPr>
              <w:t>-</w:t>
            </w:r>
          </w:p>
        </w:tc>
        <w:tc>
          <w:tcPr>
            <w:tcW w:w="0" w:type="dxa"/>
            <w:vAlign w:val="bottom"/>
          </w:tcPr>
          <w:p>
            <w:pPr>
              <w:spacing w:after="0"/>
              <w:rPr>
                <w:sz w:val="1"/>
                <w:szCs w:val="1"/>
                <w:color w:val="auto"/>
              </w:rPr>
            </w:pPr>
          </w:p>
        </w:tc>
      </w:tr>
      <w:tr>
        <w:trPr>
          <w:trHeight w:val="547"/>
        </w:trPr>
        <w:tc>
          <w:tcPr>
            <w:tcW w:w="6000" w:type="dxa"/>
            <w:vAlign w:val="bottom"/>
          </w:tcPr>
          <w:p>
            <w:pPr>
              <w:spacing w:after="0"/>
              <w:rPr>
                <w:sz w:val="20"/>
                <w:szCs w:val="20"/>
                <w:color w:val="auto"/>
              </w:rPr>
            </w:pPr>
            <w:r>
              <w:rPr>
                <w:rFonts w:ascii="Arial" w:cs="Arial" w:eastAsia="Arial" w:hAnsi="Arial"/>
                <w:sz w:val="32"/>
                <w:szCs w:val="32"/>
                <w:b w:val="1"/>
                <w:bCs w:val="1"/>
                <w:color w:val="auto"/>
              </w:rPr>
              <w:t>Acquisitions of Business</w:t>
            </w:r>
          </w:p>
        </w:tc>
        <w:tc>
          <w:tcPr>
            <w:tcW w:w="16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(15)</w:t>
            </w:r>
          </w:p>
        </w:tc>
        <w:tc>
          <w:tcPr>
            <w:tcW w:w="2000" w:type="dxa"/>
            <w:vAlign w:val="bottom"/>
            <w:gridSpan w:val="2"/>
            <w:vMerge w:val="restart"/>
          </w:tcPr>
          <w:p>
            <w:pPr>
              <w:jc w:val="right"/>
              <w:spacing w:after="0"/>
              <w:rPr>
                <w:sz w:val="20"/>
                <w:szCs w:val="20"/>
                <w:color w:val="auto"/>
              </w:rPr>
            </w:pPr>
            <w:r>
              <w:rPr>
                <w:rFonts w:ascii="Arial" w:cs="Arial" w:eastAsia="Arial" w:hAnsi="Arial"/>
                <w:sz w:val="32"/>
                <w:szCs w:val="32"/>
                <w:b w:val="1"/>
                <w:bCs w:val="1"/>
                <w:color w:val="auto"/>
              </w:rPr>
              <w:t>(259)</w:t>
            </w:r>
          </w:p>
        </w:tc>
        <w:tc>
          <w:tcPr>
            <w:tcW w:w="0" w:type="dxa"/>
            <w:vAlign w:val="bottom"/>
          </w:tcPr>
          <w:p>
            <w:pPr>
              <w:spacing w:after="0"/>
              <w:rPr>
                <w:sz w:val="1"/>
                <w:szCs w:val="1"/>
                <w:color w:val="auto"/>
              </w:rPr>
            </w:pPr>
          </w:p>
        </w:tc>
      </w:tr>
      <w:tr>
        <w:trPr>
          <w:trHeight w:val="294"/>
        </w:trPr>
        <w:tc>
          <w:tcPr>
            <w:tcW w:w="6000" w:type="dxa"/>
            <w:vAlign w:val="bottom"/>
            <w:vMerge w:val="restart"/>
          </w:tcPr>
          <w:p>
            <w:pPr>
              <w:jc w:val="center"/>
              <w:ind w:right="2361"/>
              <w:spacing w:after="0"/>
              <w:rPr>
                <w:sz w:val="20"/>
                <w:szCs w:val="20"/>
                <w:color w:val="auto"/>
              </w:rPr>
            </w:pPr>
            <w:r>
              <w:rPr>
                <w:rFonts w:ascii="Arial" w:cs="Arial" w:eastAsia="Arial" w:hAnsi="Arial"/>
                <w:sz w:val="32"/>
                <w:szCs w:val="32"/>
                <w:b w:val="1"/>
                <w:bCs w:val="1"/>
                <w:color w:val="auto"/>
              </w:rPr>
              <w:t>net of cash acquired</w:t>
            </w:r>
          </w:p>
        </w:tc>
        <w:tc>
          <w:tcPr>
            <w:tcW w:w="1620" w:type="dxa"/>
            <w:vAlign w:val="bottom"/>
            <w:vMerge w:val="continue"/>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0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5"/>
        </w:trPr>
        <w:tc>
          <w:tcPr>
            <w:tcW w:w="6000" w:type="dxa"/>
            <w:vAlign w:val="bottom"/>
          </w:tcPr>
          <w:p>
            <w:pPr>
              <w:spacing w:after="0"/>
              <w:rPr>
                <w:sz w:val="20"/>
                <w:szCs w:val="20"/>
                <w:color w:val="auto"/>
              </w:rPr>
            </w:pPr>
            <w:r>
              <w:rPr>
                <w:rFonts w:ascii="Arial" w:cs="Arial" w:eastAsia="Arial" w:hAnsi="Arial"/>
                <w:sz w:val="32"/>
                <w:szCs w:val="32"/>
                <w:b w:val="1"/>
                <w:bCs w:val="1"/>
                <w:color w:val="auto"/>
              </w:rPr>
              <w:t>Effect of Exchange Rate Changes</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31</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auto"/>
              </w:rPr>
              <w:t>(92)</w:t>
            </w:r>
          </w:p>
        </w:tc>
        <w:tc>
          <w:tcPr>
            <w:tcW w:w="0" w:type="dxa"/>
            <w:vAlign w:val="bottom"/>
          </w:tcPr>
          <w:p>
            <w:pPr>
              <w:spacing w:after="0"/>
              <w:rPr>
                <w:sz w:val="1"/>
                <w:szCs w:val="1"/>
                <w:color w:val="auto"/>
              </w:rPr>
            </w:pPr>
          </w:p>
        </w:tc>
      </w:tr>
      <w:tr>
        <w:trPr>
          <w:trHeight w:val="589"/>
        </w:trPr>
        <w:tc>
          <w:tcPr>
            <w:tcW w:w="6000" w:type="dxa"/>
            <w:vAlign w:val="bottom"/>
          </w:tcPr>
          <w:p>
            <w:pPr>
              <w:spacing w:after="0"/>
              <w:rPr>
                <w:sz w:val="20"/>
                <w:szCs w:val="20"/>
                <w:color w:val="auto"/>
              </w:rPr>
            </w:pPr>
            <w:r>
              <w:rPr>
                <w:rFonts w:ascii="Arial" w:cs="Arial" w:eastAsia="Arial" w:hAnsi="Arial"/>
                <w:sz w:val="32"/>
                <w:szCs w:val="32"/>
                <w:b w:val="1"/>
                <w:bCs w:val="1"/>
                <w:color w:val="auto"/>
              </w:rPr>
              <w:t>Other</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(10)</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auto"/>
              </w:rPr>
              <w:t>(12)</w:t>
            </w:r>
          </w:p>
        </w:tc>
        <w:tc>
          <w:tcPr>
            <w:tcW w:w="0" w:type="dxa"/>
            <w:vAlign w:val="bottom"/>
          </w:tcPr>
          <w:p>
            <w:pPr>
              <w:spacing w:after="0"/>
              <w:rPr>
                <w:sz w:val="1"/>
                <w:szCs w:val="1"/>
                <w:color w:val="auto"/>
              </w:rPr>
            </w:pPr>
          </w:p>
        </w:tc>
      </w:tr>
      <w:tr>
        <w:trPr>
          <w:trHeight w:val="184"/>
        </w:trPr>
        <w:tc>
          <w:tcPr>
            <w:tcW w:w="6000" w:type="dxa"/>
            <w:vAlign w:val="bottom"/>
            <w:vMerge w:val="restart"/>
          </w:tcPr>
          <w:p>
            <w:pPr>
              <w:jc w:val="center"/>
              <w:ind w:right="2261"/>
              <w:spacing w:after="0"/>
              <w:rPr>
                <w:sz w:val="20"/>
                <w:szCs w:val="20"/>
                <w:color w:val="auto"/>
              </w:rPr>
            </w:pPr>
            <w:r>
              <w:rPr>
                <w:rFonts w:ascii="Arial" w:cs="Arial" w:eastAsia="Arial" w:hAnsi="Arial"/>
                <w:sz w:val="32"/>
                <w:szCs w:val="32"/>
                <w:b w:val="1"/>
                <w:bCs w:val="1"/>
                <w:color w:val="auto"/>
              </w:rPr>
              <w:t>Change in Cash</w:t>
            </w:r>
          </w:p>
        </w:tc>
        <w:tc>
          <w:tcPr>
            <w:tcW w:w="1620" w:type="dxa"/>
            <w:vAlign w:val="bottom"/>
            <w:tcBorders>
              <w:bottom w:val="single" w:sz="8" w:color="auto"/>
            </w:tcBorders>
          </w:tcPr>
          <w:p>
            <w:pPr>
              <w:spacing w:after="0"/>
              <w:rPr>
                <w:sz w:val="16"/>
                <w:szCs w:val="16"/>
                <w:color w:val="auto"/>
              </w:rPr>
            </w:pPr>
          </w:p>
        </w:tc>
        <w:tc>
          <w:tcPr>
            <w:tcW w:w="380" w:type="dxa"/>
            <w:vAlign w:val="bottom"/>
            <w:vMerge w:val="restart"/>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600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(229)</w:t>
            </w:r>
          </w:p>
        </w:tc>
        <w:tc>
          <w:tcPr>
            <w:tcW w:w="3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32"/>
                <w:szCs w:val="32"/>
                <w:b w:val="1"/>
                <w:bCs w:val="1"/>
                <w:color w:val="auto"/>
              </w:rPr>
              <w:t>(462)</w:t>
            </w: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4"/>
          <w:szCs w:val="14"/>
          <w:color w:val="89898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5" w:name="page26"/>
    <w:bookmarkEnd w:id="25"/>
    <w:p>
      <w:pPr>
        <w:ind w:left="220"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471" w:lineRule="exact"/>
        <w:rPr>
          <w:sz w:val="20"/>
          <w:szCs w:val="20"/>
          <w:color w:val="auto"/>
        </w:rPr>
      </w:pPr>
    </w:p>
    <w:p>
      <w:pPr>
        <w:sectPr>
          <w:pgSz w:w="11900" w:h="16838" w:orient="portrait"/>
          <w:cols w:equalWidth="0" w:num="2">
            <w:col w:w="9200" w:space="720"/>
            <w:col w:w="1020"/>
          </w:cols>
          <w:pgMar w:left="460" w:top="452" w:right="499" w:bottom="1440" w:gutter="0" w:footer="0" w:header="0"/>
        </w:sectPr>
      </w:pPr>
    </w:p>
    <w:p>
      <w:pPr>
        <w:ind w:left="640"/>
        <w:spacing w:after="0"/>
        <w:rPr>
          <w:sz w:val="20"/>
          <w:szCs w:val="20"/>
          <w:color w:val="auto"/>
        </w:rPr>
      </w:pPr>
      <w:r>
        <w:rPr>
          <w:rFonts w:ascii="Arial" w:cs="Arial" w:eastAsia="Arial" w:hAnsi="Arial"/>
          <w:sz w:val="51"/>
          <w:szCs w:val="51"/>
          <w:color w:val="5F81AA"/>
        </w:rPr>
        <w:t>Balance Sheet Highlights</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Total Debt</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 in millions)</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Total Debt</w:t>
      </w:r>
    </w:p>
    <w:p>
      <w:pPr>
        <w:spacing w:after="0" w:line="190" w:lineRule="exact"/>
        <w:rPr>
          <w:sz w:val="20"/>
          <w:szCs w:val="20"/>
          <w:color w:val="auto"/>
        </w:rPr>
      </w:pPr>
    </w:p>
    <w:p>
      <w:pPr>
        <w:ind w:left="10020"/>
        <w:spacing w:after="0"/>
        <w:rPr>
          <w:sz w:val="20"/>
          <w:szCs w:val="20"/>
          <w:color w:val="auto"/>
        </w:rPr>
      </w:pPr>
      <w:r>
        <w:rPr>
          <w:rFonts w:ascii="Arial" w:cs="Arial" w:eastAsia="Arial" w:hAnsi="Arial"/>
          <w:sz w:val="21"/>
          <w:szCs w:val="21"/>
          <w:color w:val="auto"/>
        </w:rPr>
        <w:t>Net</w:t>
      </w:r>
    </w:p>
    <w:p>
      <w:pPr>
        <w:ind w:left="10020"/>
        <w:spacing w:after="0"/>
        <w:rPr>
          <w:sz w:val="20"/>
          <w:szCs w:val="20"/>
          <w:color w:val="auto"/>
        </w:rPr>
      </w:pPr>
      <w:r>
        <w:rPr>
          <w:rFonts w:ascii="Arial" w:cs="Arial" w:eastAsia="Arial" w:hAnsi="Arial"/>
          <w:sz w:val="21"/>
          <w:szCs w:val="21"/>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900"/>
        <w:spacing w:after="0"/>
        <w:rPr>
          <w:sz w:val="20"/>
          <w:szCs w:val="20"/>
          <w:color w:val="auto"/>
        </w:rPr>
      </w:pPr>
      <w:r>
        <w:rPr>
          <w:rFonts w:ascii="Arial" w:cs="Arial" w:eastAsia="Arial" w:hAnsi="Arial"/>
          <w:sz w:val="22"/>
          <w:szCs w:val="22"/>
          <w:b w:val="1"/>
          <w:bCs w:val="1"/>
          <w:color w:val="auto"/>
        </w:rPr>
        <w:t>Total Debt to</w:t>
      </w:r>
    </w:p>
    <w:p>
      <w:pPr>
        <w:spacing w:after="0" w:line="44" w:lineRule="exact"/>
        <w:rPr>
          <w:sz w:val="20"/>
          <w:szCs w:val="20"/>
          <w:color w:val="auto"/>
        </w:rPr>
      </w:pPr>
    </w:p>
    <w:p>
      <w:pPr>
        <w:jc w:val="center"/>
        <w:ind w:right="8900"/>
        <w:spacing w:after="0"/>
        <w:rPr>
          <w:sz w:val="20"/>
          <w:szCs w:val="20"/>
          <w:color w:val="auto"/>
        </w:rPr>
      </w:pPr>
      <w:r>
        <w:rPr>
          <w:rFonts w:ascii="Arial" w:cs="Arial" w:eastAsia="Arial" w:hAnsi="Arial"/>
          <w:sz w:val="22"/>
          <w:szCs w:val="22"/>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2235835</wp:posOffset>
            </wp:positionV>
            <wp:extent cx="726694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940"/>
          </w:cols>
          <w:pgMar w:left="460" w:top="452" w:right="499" w:bottom="1440" w:gutter="0" w:footer="0" w:header="0"/>
          <w:type w:val="continuous"/>
        </w:sectPr>
      </w:pPr>
    </w:p>
    <w:bookmarkStart w:id="26" w:name="page27"/>
    <w:bookmarkEnd w:id="26"/>
    <w:p>
      <w:pPr>
        <w:ind w:left="60"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9040" w:space="720"/>
            <w:col w:w="820"/>
          </w:cols>
          <w:pgMar w:left="620" w:top="452" w:right="699" w:bottom="1440" w:gutter="0" w:footer="0" w:header="0"/>
        </w:sectPr>
      </w:pPr>
    </w:p>
    <w:p>
      <w:pPr>
        <w:spacing w:after="0" w:line="239" w:lineRule="exact"/>
        <w:rPr>
          <w:sz w:val="20"/>
          <w:szCs w:val="20"/>
          <w:color w:val="auto"/>
        </w:rPr>
      </w:pPr>
    </w:p>
    <w:p>
      <w:pPr>
        <w:ind w:left="460"/>
        <w:spacing w:after="0"/>
        <w:rPr>
          <w:sz w:val="20"/>
          <w:szCs w:val="20"/>
          <w:color w:val="auto"/>
        </w:rPr>
      </w:pPr>
      <w:r>
        <w:rPr>
          <w:rFonts w:ascii="Arial" w:cs="Arial" w:eastAsia="Arial" w:hAnsi="Arial"/>
          <w:sz w:val="51"/>
          <w:szCs w:val="51"/>
          <w:color w:val="6390C6"/>
        </w:rPr>
        <w:t>Credit Facilities as of June 30, 2011</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69"/>
        </w:trPr>
        <w:tc>
          <w:tcPr>
            <w:tcW w:w="2860" w:type="dxa"/>
            <w:vAlign w:val="bottom"/>
          </w:tcPr>
          <w:p>
            <w:pPr>
              <w:spacing w:after="0"/>
              <w:rPr>
                <w:sz w:val="20"/>
                <w:szCs w:val="20"/>
                <w:color w:val="auto"/>
              </w:rPr>
            </w:pPr>
            <w:r>
              <w:rPr>
                <w:rFonts w:ascii="Arial" w:cs="Arial" w:eastAsia="Arial" w:hAnsi="Arial"/>
                <w:sz w:val="22"/>
                <w:szCs w:val="22"/>
                <w:color w:val="6390C6"/>
              </w:rPr>
              <w:t>($ in millions)</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vMerge w:val="restart"/>
          </w:tcPr>
          <w:p>
            <w:pPr>
              <w:jc w:val="center"/>
              <w:ind w:left="8"/>
              <w:spacing w:after="0"/>
              <w:rPr>
                <w:sz w:val="20"/>
                <w:szCs w:val="20"/>
                <w:color w:val="auto"/>
              </w:rPr>
            </w:pPr>
            <w:r>
              <w:rPr>
                <w:rFonts w:ascii="Arial" w:cs="Arial" w:eastAsia="Arial" w:hAnsi="Arial"/>
                <w:sz w:val="22"/>
                <w:szCs w:val="22"/>
                <w:b w:val="1"/>
                <w:bCs w:val="1"/>
                <w:color w:val="7F7F7F"/>
              </w:rPr>
              <w:t>Interest</w:t>
            </w:r>
          </w:p>
        </w:tc>
        <w:tc>
          <w:tcPr>
            <w:tcW w:w="134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Maturity</w:t>
            </w:r>
          </w:p>
        </w:tc>
        <w:tc>
          <w:tcPr>
            <w:tcW w:w="1620" w:type="dxa"/>
            <w:vAlign w:val="bottom"/>
            <w:vMerge w:val="restart"/>
          </w:tcPr>
          <w:p>
            <w:pPr>
              <w:jc w:val="right"/>
              <w:ind w:right="428"/>
              <w:spacing w:after="0"/>
              <w:rPr>
                <w:sz w:val="20"/>
                <w:szCs w:val="20"/>
                <w:color w:val="auto"/>
              </w:rPr>
            </w:pPr>
            <w:r>
              <w:rPr>
                <w:rFonts w:ascii="Arial" w:cs="Arial" w:eastAsia="Arial" w:hAnsi="Arial"/>
                <w:sz w:val="22"/>
                <w:szCs w:val="22"/>
                <w:b w:val="1"/>
                <w:bCs w:val="1"/>
                <w:color w:val="7F7F7F"/>
              </w:rPr>
              <w:t>Total</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7F7F7F"/>
              </w:rPr>
              <w:t>Remaining</w:t>
            </w:r>
          </w:p>
        </w:tc>
        <w:tc>
          <w:tcPr>
            <w:tcW w:w="0" w:type="dxa"/>
            <w:vAlign w:val="bottom"/>
          </w:tcPr>
          <w:p>
            <w:pPr>
              <w:spacing w:after="0"/>
              <w:rPr>
                <w:sz w:val="1"/>
                <w:szCs w:val="1"/>
                <w:color w:val="auto"/>
              </w:rPr>
            </w:pPr>
          </w:p>
        </w:tc>
      </w:tr>
      <w:tr>
        <w:trPr>
          <w:trHeight w:val="184"/>
        </w:trPr>
        <w:tc>
          <w:tcPr>
            <w:tcW w:w="2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jc w:val="center"/>
              <w:ind w:left="28"/>
              <w:spacing w:after="0"/>
              <w:rPr>
                <w:sz w:val="20"/>
                <w:szCs w:val="20"/>
                <w:color w:val="auto"/>
              </w:rPr>
            </w:pPr>
            <w:r>
              <w:rPr>
                <w:rFonts w:ascii="Arial" w:cs="Arial" w:eastAsia="Arial" w:hAnsi="Arial"/>
                <w:sz w:val="22"/>
                <w:szCs w:val="22"/>
                <w:b w:val="1"/>
                <w:bCs w:val="1"/>
                <w:color w:val="7F7F7F"/>
              </w:rPr>
              <w:t>Rate</w:t>
            </w:r>
          </w:p>
        </w:tc>
        <w:tc>
          <w:tcPr>
            <w:tcW w:w="1340" w:type="dxa"/>
            <w:vAlign w:val="bottom"/>
          </w:tcPr>
          <w:p>
            <w:pPr>
              <w:jc w:val="center"/>
              <w:spacing w:after="0"/>
              <w:rPr>
                <w:sz w:val="20"/>
                <w:szCs w:val="20"/>
                <w:color w:val="auto"/>
              </w:rPr>
            </w:pPr>
            <w:r>
              <w:rPr>
                <w:rFonts w:ascii="Arial" w:cs="Arial" w:eastAsia="Arial" w:hAnsi="Arial"/>
                <w:sz w:val="22"/>
                <w:szCs w:val="22"/>
                <w:b w:val="1"/>
                <w:bCs w:val="1"/>
                <w:color w:val="7F7F7F"/>
              </w:rPr>
              <w:t>Date</w:t>
            </w:r>
          </w:p>
        </w:tc>
        <w:tc>
          <w:tcPr>
            <w:tcW w:w="1620" w:type="dxa"/>
            <w:vAlign w:val="bottom"/>
          </w:tcPr>
          <w:p>
            <w:pPr>
              <w:jc w:val="right"/>
              <w:ind w:right="28"/>
              <w:spacing w:after="0"/>
              <w:rPr>
                <w:sz w:val="20"/>
                <w:szCs w:val="20"/>
                <w:color w:val="auto"/>
              </w:rPr>
            </w:pPr>
            <w:r>
              <w:rPr>
                <w:rFonts w:ascii="Arial" w:cs="Arial" w:eastAsia="Arial" w:hAnsi="Arial"/>
                <w:sz w:val="22"/>
                <w:szCs w:val="22"/>
                <w:b w:val="1"/>
                <w:bCs w:val="1"/>
                <w:color w:val="7F7F7F"/>
              </w:rPr>
              <w:t>Outstanding</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7F7F7F"/>
                <w:w w:val="99"/>
              </w:rPr>
              <w:t>Available</w:t>
            </w:r>
          </w:p>
        </w:tc>
        <w:tc>
          <w:tcPr>
            <w:tcW w:w="0" w:type="dxa"/>
            <w:vAlign w:val="bottom"/>
          </w:tcPr>
          <w:p>
            <w:pPr>
              <w:spacing w:after="0"/>
              <w:rPr>
                <w:sz w:val="1"/>
                <w:szCs w:val="1"/>
                <w:color w:val="auto"/>
              </w:rPr>
            </w:pPr>
          </w:p>
        </w:tc>
      </w:tr>
      <w:tr>
        <w:trPr>
          <w:trHeight w:val="460"/>
        </w:trPr>
        <w:tc>
          <w:tcPr>
            <w:tcW w:w="2860" w:type="dxa"/>
            <w:vAlign w:val="bottom"/>
          </w:tcPr>
          <w:p>
            <w:pPr>
              <w:ind w:left="160"/>
              <w:spacing w:after="0"/>
              <w:rPr>
                <w:sz w:val="20"/>
                <w:szCs w:val="20"/>
                <w:color w:val="auto"/>
              </w:rPr>
            </w:pPr>
            <w:r>
              <w:rPr>
                <w:rFonts w:ascii="Arial" w:cs="Arial" w:eastAsia="Arial" w:hAnsi="Arial"/>
                <w:sz w:val="22"/>
                <w:szCs w:val="22"/>
                <w:b w:val="1"/>
                <w:bCs w:val="1"/>
                <w:color w:val="auto"/>
              </w:rPr>
              <w:t>Euro</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860" w:type="dxa"/>
            <w:vAlign w:val="bottom"/>
          </w:tcPr>
          <w:p>
            <w:pPr>
              <w:ind w:left="160"/>
              <w:spacing w:after="0" w:line="231" w:lineRule="exact"/>
              <w:rPr>
                <w:sz w:val="20"/>
                <w:szCs w:val="20"/>
                <w:color w:val="auto"/>
              </w:rPr>
            </w:pPr>
            <w:r>
              <w:rPr>
                <w:rFonts w:ascii="Arial" w:cs="Arial" w:eastAsia="Arial" w:hAnsi="Arial"/>
                <w:sz w:val="22"/>
                <w:szCs w:val="22"/>
                <w:b w:val="1"/>
                <w:bCs w:val="1"/>
                <w:color w:val="auto"/>
              </w:rPr>
              <w:t>Notes:</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vMerge w:val="restart"/>
          </w:tcPr>
          <w:p>
            <w:pPr>
              <w:jc w:val="center"/>
              <w:ind w:left="28"/>
              <w:spacing w:after="0"/>
              <w:rPr>
                <w:sz w:val="20"/>
                <w:szCs w:val="20"/>
                <w:color w:val="auto"/>
              </w:rPr>
            </w:pPr>
            <w:r>
              <w:rPr>
                <w:rFonts w:ascii="Arial" w:cs="Arial" w:eastAsia="Arial" w:hAnsi="Arial"/>
                <w:sz w:val="22"/>
                <w:szCs w:val="22"/>
                <w:b w:val="1"/>
                <w:bCs w:val="1"/>
                <w:color w:val="auto"/>
              </w:rPr>
              <w:t>4.86%</w:t>
            </w:r>
          </w:p>
        </w:tc>
        <w:tc>
          <w:tcPr>
            <w:tcW w:w="134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June</w:t>
            </w:r>
          </w:p>
        </w:tc>
        <w:tc>
          <w:tcPr>
            <w:tcW w:w="1620" w:type="dxa"/>
            <w:vAlign w:val="bottom"/>
            <w:vMerge w:val="restart"/>
          </w:tcPr>
          <w:p>
            <w:pPr>
              <w:jc w:val="right"/>
              <w:ind w:right="28"/>
              <w:spacing w:after="0"/>
              <w:rPr>
                <w:sz w:val="20"/>
                <w:szCs w:val="20"/>
                <w:color w:val="auto"/>
              </w:rPr>
            </w:pPr>
            <w:r>
              <w:rPr>
                <w:rFonts w:ascii="Arial" w:cs="Arial" w:eastAsia="Arial" w:hAnsi="Arial"/>
                <w:sz w:val="22"/>
                <w:szCs w:val="22"/>
                <w:b w:val="1"/>
                <w:bCs w:val="1"/>
                <w:color w:val="auto"/>
              </w:rPr>
              <w:t>290</w:t>
            </w:r>
          </w:p>
        </w:tc>
        <w:tc>
          <w:tcPr>
            <w:tcW w:w="1300" w:type="dxa"/>
            <w:vAlign w:val="bottom"/>
            <w:vMerge w:val="restart"/>
          </w:tcPr>
          <w:p>
            <w:pPr>
              <w:jc w:val="center"/>
              <w:ind w:left="848"/>
              <w:spacing w:after="0"/>
              <w:rPr>
                <w:sz w:val="20"/>
                <w:szCs w:val="20"/>
                <w:color w:val="auto"/>
              </w:rPr>
            </w:pPr>
            <w:r>
              <w:rPr>
                <w:rFonts w:ascii="Arial" w:cs="Arial" w:eastAsia="Arial" w:hAnsi="Arial"/>
                <w:sz w:val="22"/>
                <w:szCs w:val="22"/>
                <w:b w:val="1"/>
                <w:bCs w:val="1"/>
                <w:color w:val="auto"/>
                <w:w w:val="81"/>
              </w:rPr>
              <w:t>-</w:t>
            </w:r>
          </w:p>
        </w:tc>
        <w:tc>
          <w:tcPr>
            <w:tcW w:w="0" w:type="dxa"/>
            <w:vAlign w:val="bottom"/>
          </w:tcPr>
          <w:p>
            <w:pPr>
              <w:spacing w:after="0"/>
              <w:rPr>
                <w:sz w:val="1"/>
                <w:szCs w:val="1"/>
                <w:color w:val="auto"/>
              </w:rPr>
            </w:pPr>
          </w:p>
        </w:tc>
      </w:tr>
      <w:tr>
        <w:trPr>
          <w:trHeight w:val="214"/>
        </w:trPr>
        <w:tc>
          <w:tcPr>
            <w:tcW w:w="2860" w:type="dxa"/>
            <w:vAlign w:val="bottom"/>
          </w:tcPr>
          <w:p>
            <w:pPr>
              <w:ind w:left="300"/>
              <w:spacing w:after="0" w:line="213" w:lineRule="exact"/>
              <w:rPr>
                <w:sz w:val="20"/>
                <w:szCs w:val="20"/>
                <w:color w:val="auto"/>
              </w:rPr>
            </w:pPr>
            <w:r>
              <w:rPr>
                <w:rFonts w:ascii="Arial" w:cs="Arial" w:eastAsia="Arial" w:hAnsi="Arial"/>
                <w:sz w:val="22"/>
                <w:szCs w:val="22"/>
                <w:b w:val="1"/>
                <w:bCs w:val="1"/>
                <w:color w:val="auto"/>
              </w:rPr>
              <w:t>- Euro</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60" w:type="dxa"/>
            <w:vAlign w:val="bottom"/>
          </w:tcPr>
          <w:p>
            <w:pPr>
              <w:ind w:left="300"/>
              <w:spacing w:after="0" w:line="231" w:lineRule="exact"/>
              <w:rPr>
                <w:sz w:val="20"/>
                <w:szCs w:val="20"/>
                <w:color w:val="auto"/>
              </w:rPr>
            </w:pPr>
            <w:r>
              <w:rPr>
                <w:rFonts w:ascii="Arial" w:cs="Arial" w:eastAsia="Arial" w:hAnsi="Arial"/>
                <w:sz w:val="22"/>
                <w:szCs w:val="22"/>
                <w:b w:val="1"/>
                <w:bCs w:val="1"/>
                <w:color w:val="auto"/>
              </w:rPr>
              <w:t>200M</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vMerge w:val="restart"/>
          </w:tcPr>
          <w:p>
            <w:pPr>
              <w:jc w:val="center"/>
              <w:ind w:left="28"/>
              <w:spacing w:after="0"/>
              <w:rPr>
                <w:sz w:val="20"/>
                <w:szCs w:val="20"/>
                <w:color w:val="auto"/>
              </w:rPr>
            </w:pPr>
            <w:r>
              <w:rPr>
                <w:rFonts w:ascii="Arial" w:cs="Arial" w:eastAsia="Arial" w:hAnsi="Arial"/>
                <w:sz w:val="22"/>
                <w:szCs w:val="22"/>
                <w:b w:val="1"/>
                <w:bCs w:val="1"/>
                <w:color w:val="auto"/>
              </w:rPr>
              <w:t>4.58%</w:t>
            </w:r>
          </w:p>
        </w:tc>
        <w:tc>
          <w:tcPr>
            <w:tcW w:w="1340" w:type="dxa"/>
            <w:vAlign w:val="bottom"/>
          </w:tcPr>
          <w:p>
            <w:pPr>
              <w:ind w:left="160"/>
              <w:spacing w:after="0" w:line="231" w:lineRule="exact"/>
              <w:rPr>
                <w:sz w:val="20"/>
                <w:szCs w:val="20"/>
                <w:color w:val="auto"/>
              </w:rPr>
            </w:pPr>
            <w:r>
              <w:rPr>
                <w:rFonts w:ascii="Arial" w:cs="Arial" w:eastAsia="Arial" w:hAnsi="Arial"/>
                <w:sz w:val="22"/>
                <w:szCs w:val="22"/>
                <w:b w:val="1"/>
                <w:bCs w:val="1"/>
                <w:color w:val="auto"/>
              </w:rPr>
              <w:t>2013</w:t>
            </w:r>
          </w:p>
        </w:tc>
        <w:tc>
          <w:tcPr>
            <w:tcW w:w="1620" w:type="dxa"/>
            <w:vAlign w:val="bottom"/>
            <w:vMerge w:val="restart"/>
          </w:tcPr>
          <w:p>
            <w:pPr>
              <w:jc w:val="right"/>
              <w:ind w:right="28"/>
              <w:spacing w:after="0"/>
              <w:rPr>
                <w:sz w:val="20"/>
                <w:szCs w:val="20"/>
                <w:color w:val="auto"/>
              </w:rPr>
            </w:pPr>
            <w:r>
              <w:rPr>
                <w:rFonts w:ascii="Arial" w:cs="Arial" w:eastAsia="Arial" w:hAnsi="Arial"/>
                <w:sz w:val="22"/>
                <w:szCs w:val="22"/>
                <w:b w:val="1"/>
                <w:bCs w:val="1"/>
                <w:color w:val="auto"/>
              </w:rPr>
              <w:t>435</w:t>
            </w:r>
          </w:p>
        </w:tc>
        <w:tc>
          <w:tcPr>
            <w:tcW w:w="1300" w:type="dxa"/>
            <w:vAlign w:val="bottom"/>
            <w:vMerge w:val="restart"/>
          </w:tcPr>
          <w:p>
            <w:pPr>
              <w:jc w:val="center"/>
              <w:ind w:left="848"/>
              <w:spacing w:after="0"/>
              <w:rPr>
                <w:sz w:val="20"/>
                <w:szCs w:val="20"/>
                <w:color w:val="auto"/>
              </w:rPr>
            </w:pPr>
            <w:r>
              <w:rPr>
                <w:rFonts w:ascii="Arial" w:cs="Arial" w:eastAsia="Arial" w:hAnsi="Arial"/>
                <w:sz w:val="22"/>
                <w:szCs w:val="22"/>
                <w:b w:val="1"/>
                <w:bCs w:val="1"/>
                <w:color w:val="auto"/>
                <w:w w:val="81"/>
              </w:rPr>
              <w:t>-</w:t>
            </w:r>
          </w:p>
        </w:tc>
        <w:tc>
          <w:tcPr>
            <w:tcW w:w="0" w:type="dxa"/>
            <w:vAlign w:val="bottom"/>
          </w:tcPr>
          <w:p>
            <w:pPr>
              <w:spacing w:after="0"/>
              <w:rPr>
                <w:sz w:val="1"/>
                <w:szCs w:val="1"/>
                <w:color w:val="auto"/>
              </w:rPr>
            </w:pPr>
          </w:p>
        </w:tc>
      </w:tr>
      <w:tr>
        <w:trPr>
          <w:trHeight w:val="226"/>
        </w:trPr>
        <w:tc>
          <w:tcPr>
            <w:tcW w:w="2860" w:type="dxa"/>
            <w:vAlign w:val="bottom"/>
          </w:tcPr>
          <w:p>
            <w:pPr>
              <w:ind w:left="300"/>
              <w:spacing w:after="0" w:line="226" w:lineRule="exact"/>
              <w:rPr>
                <w:sz w:val="20"/>
                <w:szCs w:val="20"/>
                <w:color w:val="auto"/>
              </w:rPr>
            </w:pPr>
            <w:r>
              <w:rPr>
                <w:rFonts w:ascii="Arial" w:cs="Arial" w:eastAsia="Arial" w:hAnsi="Arial"/>
                <w:sz w:val="22"/>
                <w:szCs w:val="22"/>
                <w:b w:val="1"/>
                <w:bCs w:val="1"/>
                <w:color w:val="auto"/>
              </w:rPr>
              <w:t>- Euro</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340" w:type="dxa"/>
            <w:vAlign w:val="bottom"/>
          </w:tcPr>
          <w:p>
            <w:pPr>
              <w:ind w:left="160"/>
              <w:spacing w:after="0" w:line="226" w:lineRule="exact"/>
              <w:rPr>
                <w:sz w:val="20"/>
                <w:szCs w:val="20"/>
                <w:color w:val="auto"/>
              </w:rPr>
            </w:pPr>
            <w:r>
              <w:rPr>
                <w:rFonts w:ascii="Arial" w:cs="Arial" w:eastAsia="Arial" w:hAnsi="Arial"/>
                <w:sz w:val="22"/>
                <w:szCs w:val="22"/>
                <w:b w:val="1"/>
                <w:bCs w:val="1"/>
                <w:color w:val="auto"/>
              </w:rPr>
              <w:t>June</w:t>
            </w:r>
          </w:p>
        </w:tc>
        <w:tc>
          <w:tcPr>
            <w:tcW w:w="16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860" w:type="dxa"/>
            <w:vAlign w:val="bottom"/>
          </w:tcPr>
          <w:p>
            <w:pPr>
              <w:ind w:left="300"/>
              <w:spacing w:after="0" w:line="231" w:lineRule="exact"/>
              <w:rPr>
                <w:sz w:val="20"/>
                <w:szCs w:val="20"/>
                <w:color w:val="auto"/>
              </w:rPr>
            </w:pPr>
            <w:r>
              <w:rPr>
                <w:rFonts w:ascii="Arial" w:cs="Arial" w:eastAsia="Arial" w:hAnsi="Arial"/>
                <w:sz w:val="22"/>
                <w:szCs w:val="22"/>
                <w:b w:val="1"/>
                <w:bCs w:val="1"/>
                <w:color w:val="auto"/>
              </w:rPr>
              <w:t>300M</w:t>
            </w:r>
          </w:p>
        </w:tc>
        <w:tc>
          <w:tcPr>
            <w:tcW w:w="440" w:type="dxa"/>
            <w:vAlign w:val="bottom"/>
          </w:tcPr>
          <w:p>
            <w:pPr>
              <w:ind w:left="260"/>
              <w:spacing w:after="0"/>
              <w:rPr>
                <w:sz w:val="20"/>
                <w:szCs w:val="20"/>
                <w:color w:val="auto"/>
              </w:rPr>
            </w:pPr>
            <w:r>
              <w:rPr>
                <w:rFonts w:ascii="Arial" w:cs="Arial" w:eastAsia="Arial" w:hAnsi="Arial"/>
                <w:sz w:val="14"/>
                <w:szCs w:val="14"/>
                <w:color w:val="auto"/>
                <w:w w:val="93"/>
              </w:rPr>
              <w:t>(a)</w:t>
            </w:r>
          </w:p>
        </w:tc>
        <w:tc>
          <w:tcPr>
            <w:tcW w:w="480" w:type="dxa"/>
            <w:vAlign w:val="bottom"/>
          </w:tcPr>
          <w:p>
            <w:pPr>
              <w:spacing w:after="0"/>
              <w:rPr>
                <w:sz w:val="20"/>
                <w:szCs w:val="20"/>
                <w:color w:val="auto"/>
              </w:rPr>
            </w:pPr>
          </w:p>
        </w:tc>
        <w:tc>
          <w:tcPr>
            <w:tcW w:w="1260" w:type="dxa"/>
            <w:vAlign w:val="bottom"/>
            <w:vMerge w:val="restart"/>
          </w:tcPr>
          <w:p>
            <w:pPr>
              <w:jc w:val="center"/>
              <w:ind w:left="28"/>
              <w:spacing w:after="0"/>
              <w:rPr>
                <w:sz w:val="20"/>
                <w:szCs w:val="20"/>
                <w:color w:val="auto"/>
              </w:rPr>
            </w:pPr>
            <w:r>
              <w:rPr>
                <w:rFonts w:ascii="Arial" w:cs="Arial" w:eastAsia="Arial" w:hAnsi="Arial"/>
                <w:sz w:val="22"/>
                <w:szCs w:val="22"/>
                <w:b w:val="1"/>
                <w:bCs w:val="1"/>
                <w:color w:val="auto"/>
              </w:rPr>
              <w:t>2.74%</w:t>
            </w:r>
          </w:p>
        </w:tc>
        <w:tc>
          <w:tcPr>
            <w:tcW w:w="1340" w:type="dxa"/>
            <w:vAlign w:val="bottom"/>
          </w:tcPr>
          <w:p>
            <w:pPr>
              <w:ind w:left="160"/>
              <w:spacing w:after="0" w:line="231" w:lineRule="exact"/>
              <w:rPr>
                <w:sz w:val="20"/>
                <w:szCs w:val="20"/>
                <w:color w:val="auto"/>
              </w:rPr>
            </w:pPr>
            <w:r>
              <w:rPr>
                <w:rFonts w:ascii="Arial" w:cs="Arial" w:eastAsia="Arial" w:hAnsi="Arial"/>
                <w:sz w:val="22"/>
                <w:szCs w:val="22"/>
                <w:b w:val="1"/>
                <w:bCs w:val="1"/>
                <w:color w:val="auto"/>
              </w:rPr>
              <w:t>2012</w:t>
            </w:r>
          </w:p>
        </w:tc>
        <w:tc>
          <w:tcPr>
            <w:tcW w:w="1620" w:type="dxa"/>
            <w:vAlign w:val="bottom"/>
            <w:vMerge w:val="restart"/>
          </w:tcPr>
          <w:p>
            <w:pPr>
              <w:jc w:val="right"/>
              <w:ind w:right="108"/>
              <w:spacing w:after="0"/>
              <w:rPr>
                <w:sz w:val="20"/>
                <w:szCs w:val="20"/>
                <w:color w:val="auto"/>
              </w:rPr>
            </w:pPr>
            <w:r>
              <w:rPr>
                <w:rFonts w:ascii="Arial" w:cs="Arial" w:eastAsia="Arial" w:hAnsi="Arial"/>
                <w:sz w:val="22"/>
                <w:szCs w:val="22"/>
                <w:b w:val="1"/>
                <w:bCs w:val="1"/>
                <w:color w:val="auto"/>
              </w:rPr>
              <w:t>-</w:t>
            </w:r>
          </w:p>
        </w:tc>
        <w:tc>
          <w:tcPr>
            <w:tcW w:w="1300" w:type="dxa"/>
            <w:vAlign w:val="bottom"/>
            <w:vMerge w:val="restart"/>
          </w:tcPr>
          <w:p>
            <w:pPr>
              <w:jc w:val="center"/>
              <w:ind w:left="788"/>
              <w:spacing w:after="0"/>
              <w:rPr>
                <w:sz w:val="20"/>
                <w:szCs w:val="20"/>
                <w:color w:val="auto"/>
              </w:rPr>
            </w:pPr>
            <w:r>
              <w:rPr>
                <w:rFonts w:ascii="Arial" w:cs="Arial" w:eastAsia="Arial" w:hAnsi="Arial"/>
                <w:sz w:val="22"/>
                <w:szCs w:val="22"/>
                <w:b w:val="1"/>
                <w:bCs w:val="1"/>
                <w:color w:val="auto"/>
                <w:w w:val="97"/>
              </w:rPr>
              <w:t>398</w:t>
            </w:r>
          </w:p>
        </w:tc>
        <w:tc>
          <w:tcPr>
            <w:tcW w:w="0" w:type="dxa"/>
            <w:vAlign w:val="bottom"/>
          </w:tcPr>
          <w:p>
            <w:pPr>
              <w:spacing w:after="0"/>
              <w:rPr>
                <w:sz w:val="1"/>
                <w:szCs w:val="1"/>
                <w:color w:val="auto"/>
              </w:rPr>
            </w:pPr>
          </w:p>
        </w:tc>
      </w:tr>
      <w:tr>
        <w:trPr>
          <w:trHeight w:val="266"/>
        </w:trPr>
        <w:tc>
          <w:tcPr>
            <w:tcW w:w="3300" w:type="dxa"/>
            <w:vAlign w:val="bottom"/>
            <w:gridSpan w:val="2"/>
          </w:tcPr>
          <w:p>
            <w:pPr>
              <w:ind w:left="160"/>
              <w:spacing w:after="0"/>
              <w:rPr>
                <w:sz w:val="20"/>
                <w:szCs w:val="20"/>
                <w:color w:val="auto"/>
              </w:rPr>
            </w:pPr>
            <w:r>
              <w:rPr>
                <w:rFonts w:ascii="Arial" w:cs="Arial" w:eastAsia="Arial" w:hAnsi="Arial"/>
                <w:sz w:val="22"/>
                <w:szCs w:val="22"/>
                <w:b w:val="1"/>
                <w:bCs w:val="1"/>
                <w:color w:val="auto"/>
              </w:rPr>
              <w:t>Revolving Credit Agreement</w:t>
            </w:r>
          </w:p>
        </w:tc>
        <w:tc>
          <w:tcPr>
            <w:tcW w:w="48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22"/>
                <w:szCs w:val="22"/>
                <w:b w:val="1"/>
                <w:bCs w:val="1"/>
                <w:color w:val="auto"/>
              </w:rPr>
              <w:t>Nov 2012</w:t>
            </w:r>
          </w:p>
        </w:tc>
        <w:tc>
          <w:tcPr>
            <w:tcW w:w="1620" w:type="dxa"/>
            <w:vAlign w:val="bottom"/>
            <w:vMerge w:val="continue"/>
          </w:tcPr>
          <w:p>
            <w:pPr>
              <w:spacing w:after="0"/>
              <w:rPr>
                <w:sz w:val="23"/>
                <w:szCs w:val="23"/>
                <w:color w:val="auto"/>
              </w:rPr>
            </w:pPr>
          </w:p>
        </w:tc>
        <w:tc>
          <w:tcPr>
            <w:tcW w:w="1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86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Uncommitted lines and</w:t>
            </w:r>
          </w:p>
        </w:tc>
        <w:tc>
          <w:tcPr>
            <w:tcW w:w="44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(b)</w:t>
            </w:r>
          </w:p>
        </w:tc>
        <w:tc>
          <w:tcPr>
            <w:tcW w:w="1260" w:type="dxa"/>
            <w:vAlign w:val="bottom"/>
            <w:vMerge w:val="restart"/>
          </w:tcPr>
          <w:p>
            <w:pPr>
              <w:jc w:val="center"/>
              <w:ind w:left="8"/>
              <w:spacing w:after="0"/>
              <w:rPr>
                <w:sz w:val="20"/>
                <w:szCs w:val="20"/>
                <w:color w:val="auto"/>
              </w:rPr>
            </w:pPr>
            <w:r>
              <w:rPr>
                <w:rFonts w:ascii="Arial" w:cs="Arial" w:eastAsia="Arial" w:hAnsi="Arial"/>
                <w:sz w:val="22"/>
                <w:szCs w:val="22"/>
                <w:b w:val="1"/>
                <w:bCs w:val="1"/>
                <w:color w:val="auto"/>
              </w:rPr>
              <w:t>Various</w:t>
            </w:r>
          </w:p>
        </w:tc>
        <w:tc>
          <w:tcPr>
            <w:tcW w:w="13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Various</w:t>
            </w:r>
          </w:p>
        </w:tc>
        <w:tc>
          <w:tcPr>
            <w:tcW w:w="1620" w:type="dxa"/>
            <w:vAlign w:val="bottom"/>
            <w:vMerge w:val="restart"/>
          </w:tcPr>
          <w:p>
            <w:pPr>
              <w:jc w:val="right"/>
              <w:ind w:right="28"/>
              <w:spacing w:after="0"/>
              <w:rPr>
                <w:sz w:val="20"/>
                <w:szCs w:val="20"/>
                <w:color w:val="auto"/>
              </w:rPr>
            </w:pPr>
            <w:r>
              <w:rPr>
                <w:rFonts w:ascii="Arial" w:cs="Arial" w:eastAsia="Arial" w:hAnsi="Arial"/>
                <w:sz w:val="22"/>
                <w:szCs w:val="22"/>
                <w:b w:val="1"/>
                <w:bCs w:val="1"/>
                <w:color w:val="auto"/>
              </w:rPr>
              <w:t>34</w:t>
            </w:r>
          </w:p>
        </w:tc>
        <w:tc>
          <w:tcPr>
            <w:tcW w:w="1300" w:type="dxa"/>
            <w:vAlign w:val="bottom"/>
            <w:vMerge w:val="restart"/>
          </w:tcPr>
          <w:p>
            <w:pPr>
              <w:jc w:val="center"/>
              <w:ind w:left="808"/>
              <w:spacing w:after="0"/>
              <w:rPr>
                <w:sz w:val="20"/>
                <w:szCs w:val="20"/>
                <w:color w:val="auto"/>
              </w:rPr>
            </w:pPr>
            <w:r>
              <w:rPr>
                <w:rFonts w:ascii="Arial" w:cs="Arial" w:eastAsia="Arial" w:hAnsi="Arial"/>
                <w:sz w:val="22"/>
                <w:szCs w:val="22"/>
                <w:b w:val="1"/>
                <w:bCs w:val="1"/>
                <w:color w:val="auto"/>
              </w:rPr>
              <w:t>387</w:t>
            </w:r>
          </w:p>
        </w:tc>
        <w:tc>
          <w:tcPr>
            <w:tcW w:w="0" w:type="dxa"/>
            <w:vAlign w:val="bottom"/>
          </w:tcPr>
          <w:p>
            <w:pPr>
              <w:spacing w:after="0"/>
              <w:rPr>
                <w:sz w:val="1"/>
                <w:szCs w:val="1"/>
                <w:color w:val="auto"/>
              </w:rPr>
            </w:pPr>
          </w:p>
        </w:tc>
      </w:tr>
      <w:tr>
        <w:trPr>
          <w:trHeight w:val="148"/>
        </w:trPr>
        <w:tc>
          <w:tcPr>
            <w:tcW w:w="2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860" w:type="dxa"/>
            <w:vAlign w:val="bottom"/>
          </w:tcPr>
          <w:p>
            <w:pPr>
              <w:ind w:left="160"/>
              <w:spacing w:after="0" w:line="231" w:lineRule="exact"/>
              <w:rPr>
                <w:sz w:val="20"/>
                <w:szCs w:val="20"/>
                <w:color w:val="auto"/>
              </w:rPr>
            </w:pPr>
            <w:r>
              <w:rPr>
                <w:rFonts w:ascii="Arial" w:cs="Arial" w:eastAsia="Arial" w:hAnsi="Arial"/>
                <w:sz w:val="22"/>
                <w:szCs w:val="22"/>
                <w:b w:val="1"/>
                <w:bCs w:val="1"/>
                <w:color w:val="auto"/>
              </w:rPr>
              <w:t>Other</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22"/>
                <w:szCs w:val="22"/>
                <w:b w:val="1"/>
                <w:bCs w:val="1"/>
                <w:color w:val="auto"/>
              </w:rPr>
              <w:t>759</w:t>
            </w:r>
          </w:p>
        </w:tc>
        <w:tc>
          <w:tcPr>
            <w:tcW w:w="1300" w:type="dxa"/>
            <w:vAlign w:val="bottom"/>
            <w:vMerge w:val="restart"/>
          </w:tcPr>
          <w:p>
            <w:pPr>
              <w:jc w:val="center"/>
              <w:ind w:left="788"/>
              <w:spacing w:after="0"/>
              <w:rPr>
                <w:sz w:val="20"/>
                <w:szCs w:val="20"/>
                <w:color w:val="auto"/>
              </w:rPr>
            </w:pPr>
            <w:r>
              <w:rPr>
                <w:rFonts w:ascii="Arial" w:cs="Arial" w:eastAsia="Arial" w:hAnsi="Arial"/>
                <w:sz w:val="22"/>
                <w:szCs w:val="22"/>
                <w:b w:val="1"/>
                <w:bCs w:val="1"/>
                <w:color w:val="auto"/>
                <w:w w:val="97"/>
              </w:rPr>
              <w:t>785</w:t>
            </w:r>
          </w:p>
        </w:tc>
        <w:tc>
          <w:tcPr>
            <w:tcW w:w="0" w:type="dxa"/>
            <w:vAlign w:val="bottom"/>
          </w:tcPr>
          <w:p>
            <w:pPr>
              <w:spacing w:after="0"/>
              <w:rPr>
                <w:sz w:val="1"/>
                <w:szCs w:val="1"/>
                <w:color w:val="auto"/>
              </w:rPr>
            </w:pPr>
          </w:p>
        </w:tc>
      </w:tr>
      <w:tr>
        <w:trPr>
          <w:trHeight w:val="297"/>
        </w:trPr>
        <w:tc>
          <w:tcPr>
            <w:tcW w:w="2860" w:type="dxa"/>
            <w:vAlign w:val="bottom"/>
          </w:tcPr>
          <w:p>
            <w:pPr>
              <w:ind w:left="160"/>
              <w:spacing w:after="0"/>
              <w:rPr>
                <w:sz w:val="20"/>
                <w:szCs w:val="20"/>
                <w:color w:val="auto"/>
              </w:rPr>
            </w:pPr>
            <w:r>
              <w:rPr>
                <w:rFonts w:ascii="Arial" w:cs="Arial" w:eastAsia="Arial" w:hAnsi="Arial"/>
                <w:sz w:val="22"/>
                <w:szCs w:val="22"/>
                <w:b w:val="1"/>
                <w:bCs w:val="1"/>
                <w:color w:val="auto"/>
              </w:rPr>
              <w:t>Total Debt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right="1880" w:hanging="260"/>
        <w:spacing w:after="0" w:line="250"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$400M agreement requires, as of June 30, that we comply with a Debt-to-EBITDA ratio of less than 3.75 to 1 and a fixed charge coverage</w:t>
      </w:r>
    </w:p>
    <w:p>
      <w:pPr>
        <w:ind w:left="260" w:right="1340"/>
        <w:spacing w:after="0" w:line="259" w:lineRule="auto"/>
        <w:rPr>
          <w:rFonts w:ascii="Arial" w:cs="Arial" w:eastAsia="Arial" w:hAnsi="Arial"/>
          <w:sz w:val="14"/>
          <w:szCs w:val="14"/>
          <w:color w:val="auto"/>
        </w:rPr>
      </w:pPr>
      <w:r>
        <w:rPr>
          <w:rFonts w:ascii="Arial" w:cs="Arial" w:eastAsia="Arial" w:hAnsi="Arial"/>
          <w:sz w:val="14"/>
          <w:szCs w:val="14"/>
          <w:color w:val="auto"/>
        </w:rPr>
        <w:t>ratio of greater than 1.35 to 1. As defined in the agreement, we had a Debt-to-EBITDA ratio of 1.35 and a fixed charge coverage ratio of 2.84 as of June 30, 2011. As of June 30, there were $2.2M of standby letters of credit issued under the agreement.</w:t>
      </w:r>
    </w:p>
    <w:p>
      <w:pPr>
        <w:spacing w:after="0" w:line="36" w:lineRule="exact"/>
        <w:rPr>
          <w:rFonts w:ascii="Arial" w:cs="Arial" w:eastAsia="Arial" w:hAnsi="Arial"/>
          <w:sz w:val="14"/>
          <w:szCs w:val="14"/>
          <w:color w:val="auto"/>
        </w:rPr>
      </w:pPr>
    </w:p>
    <w:p>
      <w:pPr>
        <w:ind w:left="260" w:right="1360" w:hanging="247"/>
        <w:spacing w:after="0" w:line="182" w:lineRule="auto"/>
        <w:tabs>
          <w:tab w:leader="none" w:pos="260" w:val="left"/>
        </w:tabs>
        <w:numPr>
          <w:ilvl w:val="1"/>
          <w:numId w:val="11"/>
        </w:numPr>
        <w:rPr>
          <w:rFonts w:ascii="Arial" w:cs="Arial" w:eastAsia="Arial" w:hAnsi="Arial"/>
          <w:sz w:val="26"/>
          <w:szCs w:val="26"/>
          <w:color w:val="auto"/>
          <w:vertAlign w:val="superscript"/>
        </w:rPr>
      </w:pPr>
      <w:r>
        <w:rPr>
          <w:rFonts w:ascii="Arial" w:cs="Arial" w:eastAsia="Arial" w:hAnsi="Arial"/>
          <w:sz w:val="13"/>
          <w:szCs w:val="13"/>
          <w:color w:val="auto"/>
        </w:rPr>
        <w:t>Represents subsidiary uncommitted lines of credit &amp; overdraft facilities, which total $419.8M. Total subsidiary borrowing are limited to $300M due to restrictions in our Revolving Credit Facility, with the exception of Q3 when subsidiary borrowings are limited to $600M.</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435610</wp:posOffset>
            </wp:positionV>
            <wp:extent cx="726694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620" w:top="452" w:right="699" w:bottom="1440" w:gutter="0" w:footer="0" w:header="0"/>
          <w:type w:val="continuous"/>
        </w:sectPr>
      </w:pPr>
    </w:p>
    <w:bookmarkStart w:id="27" w:name="page28"/>
    <w:bookmarkEnd w:id="27"/>
    <w:p>
      <w:pPr>
        <w:ind w:right="3800"/>
        <w:spacing w:after="0" w:line="256"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351" w:lineRule="exact"/>
        <w:rPr>
          <w:sz w:val="20"/>
          <w:szCs w:val="20"/>
          <w:color w:val="auto"/>
        </w:rPr>
      </w:pPr>
    </w:p>
    <w:p>
      <w:pPr>
        <w:sectPr>
          <w:pgSz w:w="11900" w:h="16838" w:orient="portrait"/>
          <w:cols w:equalWidth="0" w:num="2">
            <w:col w:w="8980" w:space="720"/>
            <w:col w:w="1160"/>
          </w:cols>
          <w:pgMar w:left="680" w:top="452" w:right="359" w:bottom="1440" w:gutter="0" w:footer="0" w:header="0"/>
        </w:sectPr>
      </w:pPr>
    </w:p>
    <w:p>
      <w:pPr>
        <w:ind w:left="20"/>
        <w:spacing w:after="0" w:line="224" w:lineRule="auto"/>
        <w:rPr>
          <w:sz w:val="20"/>
          <w:szCs w:val="20"/>
          <w:color w:val="auto"/>
        </w:rPr>
      </w:pPr>
      <w:r>
        <w:rPr>
          <w:rFonts w:ascii="Arial" w:cs="Arial" w:eastAsia="Arial" w:hAnsi="Arial"/>
          <w:sz w:val="51"/>
          <w:szCs w:val="51"/>
          <w:color w:val="5F81AA"/>
        </w:rPr>
        <w:t>Third Quarter Outlook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526"/>
        </w:trPr>
        <w:tc>
          <w:tcPr>
            <w:tcW w:w="1740" w:type="dxa"/>
            <w:vAlign w:val="bottom"/>
            <w:tcBorders>
              <w:top w:val="single" w:sz="8" w:color="auto"/>
            </w:tcBorders>
          </w:tcPr>
          <w:p>
            <w:pPr>
              <w:ind w:left="120"/>
              <w:spacing w:after="0"/>
              <w:rPr>
                <w:sz w:val="20"/>
                <w:szCs w:val="20"/>
                <w:color w:val="auto"/>
              </w:rPr>
            </w:pPr>
            <w:r>
              <w:rPr>
                <w:rFonts w:ascii="Arial" w:cs="Arial" w:eastAsia="Arial" w:hAnsi="Arial"/>
                <w:sz w:val="35"/>
                <w:szCs w:val="35"/>
                <w:b w:val="1"/>
                <w:bCs w:val="1"/>
                <w:color w:val="5F81AA"/>
              </w:rPr>
              <w:t>Revenue</w:t>
            </w:r>
          </w:p>
        </w:tc>
        <w:tc>
          <w:tcPr>
            <w:tcW w:w="160" w:type="dxa"/>
            <w:vAlign w:val="bottom"/>
            <w:tcBorders>
              <w:top w:val="single" w:sz="8" w:color="auto"/>
            </w:tcBorders>
          </w:tcPr>
          <w:p>
            <w:pPr>
              <w:spacing w:after="0"/>
              <w:rPr>
                <w:sz w:val="24"/>
                <w:szCs w:val="24"/>
                <w:color w:val="auto"/>
              </w:rPr>
            </w:pPr>
          </w:p>
        </w:tc>
        <w:tc>
          <w:tcPr>
            <w:tcW w:w="2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Total</w:t>
            </w:r>
          </w:p>
        </w:tc>
        <w:tc>
          <w:tcPr>
            <w:tcW w:w="5880" w:type="dxa"/>
            <w:vAlign w:val="bottom"/>
            <w:tcBorders>
              <w:top w:val="single" w:sz="8" w:color="auto"/>
            </w:tcBorders>
          </w:tcPr>
          <w:p>
            <w:pPr>
              <w:ind w:left="220"/>
              <w:spacing w:after="0"/>
              <w:rPr>
                <w:sz w:val="20"/>
                <w:szCs w:val="20"/>
                <w:color w:val="auto"/>
              </w:rPr>
            </w:pPr>
            <w:r>
              <w:rPr>
                <w:rFonts w:ascii="Arial" w:cs="Arial" w:eastAsia="Arial" w:hAnsi="Arial"/>
                <w:sz w:val="32"/>
                <w:szCs w:val="32"/>
                <w:color w:val="auto"/>
              </w:rPr>
              <w:t>Up 16-18% (Up 8-10% CC)</w:t>
            </w:r>
          </w:p>
        </w:tc>
      </w:tr>
      <w:tr>
        <w:trPr>
          <w:trHeight w:val="38"/>
        </w:trPr>
        <w:tc>
          <w:tcPr>
            <w:tcW w:w="1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c>
          <w:tcPr>
            <w:tcW w:w="5880" w:type="dxa"/>
            <w:vAlign w:val="bottom"/>
            <w:tcBorders>
              <w:bottom w:val="single" w:sz="8" w:color="auto"/>
            </w:tcBorders>
          </w:tcPr>
          <w:p>
            <w:pPr>
              <w:spacing w:after="0"/>
              <w:rPr>
                <w:sz w:val="3"/>
                <w:szCs w:val="3"/>
                <w:color w:val="auto"/>
              </w:rPr>
            </w:pPr>
          </w:p>
        </w:tc>
      </w:tr>
      <w:tr>
        <w:trPr>
          <w:trHeight w:val="472"/>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rPr>
              <w:t>Americas</w:t>
            </w:r>
          </w:p>
        </w:tc>
        <w:tc>
          <w:tcPr>
            <w:tcW w:w="5880" w:type="dxa"/>
            <w:vAlign w:val="bottom"/>
          </w:tcPr>
          <w:p>
            <w:pPr>
              <w:ind w:left="220"/>
              <w:spacing w:after="0"/>
              <w:rPr>
                <w:sz w:val="20"/>
                <w:szCs w:val="20"/>
                <w:color w:val="auto"/>
              </w:rPr>
            </w:pPr>
            <w:r>
              <w:rPr>
                <w:rFonts w:ascii="Arial" w:cs="Arial" w:eastAsia="Arial" w:hAnsi="Arial"/>
                <w:sz w:val="32"/>
                <w:szCs w:val="32"/>
                <w:color w:val="auto"/>
              </w:rPr>
              <w:t>Up 8-10% (Up 6-8% CC)</w:t>
            </w:r>
          </w:p>
        </w:tc>
      </w:tr>
      <w:tr>
        <w:trPr>
          <w:trHeight w:val="84"/>
        </w:trPr>
        <w:tc>
          <w:tcPr>
            <w:tcW w:w="1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r>
      <w:tr>
        <w:trPr>
          <w:trHeight w:val="472"/>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rPr>
              <w:t>Southern Europe</w:t>
            </w:r>
          </w:p>
        </w:tc>
        <w:tc>
          <w:tcPr>
            <w:tcW w:w="5880" w:type="dxa"/>
            <w:vAlign w:val="bottom"/>
          </w:tcPr>
          <w:p>
            <w:pPr>
              <w:ind w:left="220"/>
              <w:spacing w:after="0"/>
              <w:rPr>
                <w:sz w:val="20"/>
                <w:szCs w:val="20"/>
                <w:color w:val="auto"/>
              </w:rPr>
            </w:pPr>
            <w:r>
              <w:rPr>
                <w:rFonts w:ascii="Arial" w:cs="Arial" w:eastAsia="Arial" w:hAnsi="Arial"/>
                <w:sz w:val="32"/>
                <w:szCs w:val="32"/>
                <w:color w:val="auto"/>
              </w:rPr>
              <w:t>Up 19-21% (Up 9-11% CC)</w:t>
            </w:r>
          </w:p>
        </w:tc>
      </w:tr>
      <w:tr>
        <w:trPr>
          <w:trHeight w:val="84"/>
        </w:trPr>
        <w:tc>
          <w:tcPr>
            <w:tcW w:w="1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r>
      <w:tr>
        <w:trPr>
          <w:trHeight w:val="472"/>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rPr>
              <w:t>Northern Europe</w:t>
            </w:r>
          </w:p>
        </w:tc>
        <w:tc>
          <w:tcPr>
            <w:tcW w:w="5880" w:type="dxa"/>
            <w:vAlign w:val="bottom"/>
          </w:tcPr>
          <w:p>
            <w:pPr>
              <w:ind w:left="220"/>
              <w:spacing w:after="0"/>
              <w:rPr>
                <w:sz w:val="20"/>
                <w:szCs w:val="20"/>
                <w:color w:val="auto"/>
              </w:rPr>
            </w:pPr>
            <w:r>
              <w:rPr>
                <w:rFonts w:ascii="Arial" w:cs="Arial" w:eastAsia="Arial" w:hAnsi="Arial"/>
                <w:sz w:val="32"/>
                <w:szCs w:val="32"/>
                <w:color w:val="auto"/>
              </w:rPr>
              <w:t>Up 17-19% (Up 7-9% CC)</w:t>
            </w:r>
          </w:p>
        </w:tc>
      </w:tr>
      <w:tr>
        <w:trPr>
          <w:trHeight w:val="84"/>
        </w:trPr>
        <w:tc>
          <w:tcPr>
            <w:tcW w:w="1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r>
      <w:tr>
        <w:trPr>
          <w:trHeight w:val="472"/>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rPr>
              <w:t>APME</w:t>
            </w:r>
          </w:p>
        </w:tc>
        <w:tc>
          <w:tcPr>
            <w:tcW w:w="5880" w:type="dxa"/>
            <w:vAlign w:val="bottom"/>
          </w:tcPr>
          <w:p>
            <w:pPr>
              <w:ind w:left="220"/>
              <w:spacing w:after="0"/>
              <w:rPr>
                <w:sz w:val="20"/>
                <w:szCs w:val="20"/>
                <w:color w:val="auto"/>
              </w:rPr>
            </w:pPr>
            <w:r>
              <w:rPr>
                <w:rFonts w:ascii="Arial" w:cs="Arial" w:eastAsia="Arial" w:hAnsi="Arial"/>
                <w:sz w:val="32"/>
                <w:szCs w:val="32"/>
                <w:color w:val="auto"/>
              </w:rPr>
              <w:t>Up 25-27% (Up 14-16% CC)</w:t>
            </w:r>
          </w:p>
        </w:tc>
      </w:tr>
      <w:tr>
        <w:trPr>
          <w:trHeight w:val="84"/>
        </w:trPr>
        <w:tc>
          <w:tcPr>
            <w:tcW w:w="1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r>
      <w:tr>
        <w:trPr>
          <w:trHeight w:val="460"/>
        </w:trPr>
        <w:tc>
          <w:tcPr>
            <w:tcW w:w="1740" w:type="dxa"/>
            <w:vAlign w:val="bottom"/>
          </w:tcPr>
          <w:p>
            <w:pPr>
              <w:spacing w:after="0"/>
              <w:rPr>
                <w:sz w:val="24"/>
                <w:szCs w:val="24"/>
                <w:color w:val="auto"/>
              </w:rPr>
            </w:pPr>
          </w:p>
        </w:tc>
        <w:tc>
          <w:tcPr>
            <w:tcW w:w="3140" w:type="dxa"/>
            <w:vAlign w:val="bottom"/>
            <w:tcBorders>
              <w:right w:val="single" w:sz="8" w:color="auto"/>
            </w:tcBorders>
            <w:gridSpan w:val="2"/>
          </w:tcPr>
          <w:p>
            <w:pPr>
              <w:jc w:val="right"/>
              <w:spacing w:after="0"/>
              <w:rPr>
                <w:sz w:val="20"/>
                <w:szCs w:val="20"/>
                <w:color w:val="auto"/>
              </w:rPr>
            </w:pPr>
            <w:r>
              <w:rPr>
                <w:rFonts w:ascii="Arial" w:cs="Arial" w:eastAsia="Arial" w:hAnsi="Arial"/>
                <w:sz w:val="32"/>
                <w:szCs w:val="32"/>
                <w:b w:val="1"/>
                <w:bCs w:val="1"/>
                <w:color w:val="auto"/>
              </w:rPr>
              <w:t>Right Management</w:t>
            </w:r>
          </w:p>
        </w:tc>
        <w:tc>
          <w:tcPr>
            <w:tcW w:w="5880" w:type="dxa"/>
            <w:vAlign w:val="bottom"/>
          </w:tcPr>
          <w:p>
            <w:pPr>
              <w:ind w:left="220"/>
              <w:spacing w:after="0"/>
              <w:rPr>
                <w:sz w:val="20"/>
                <w:szCs w:val="20"/>
                <w:color w:val="auto"/>
              </w:rPr>
            </w:pPr>
            <w:r>
              <w:rPr>
                <w:rFonts w:ascii="Arial" w:cs="Arial" w:eastAsia="Arial" w:hAnsi="Arial"/>
                <w:sz w:val="32"/>
                <w:szCs w:val="32"/>
                <w:color w:val="auto"/>
              </w:rPr>
              <w:t>Down 4-6% (Down 9-11% CC)</w:t>
            </w:r>
          </w:p>
        </w:tc>
      </w:tr>
      <w:tr>
        <w:trPr>
          <w:trHeight w:val="88"/>
        </w:trPr>
        <w:tc>
          <w:tcPr>
            <w:tcW w:w="4880" w:type="dxa"/>
            <w:vAlign w:val="bottom"/>
            <w:tcBorders>
              <w:bottom w:val="single" w:sz="8" w:color="auto"/>
              <w:right w:val="single" w:sz="8" w:color="auto"/>
            </w:tcBorders>
            <w:gridSpan w:val="3"/>
          </w:tcPr>
          <w:p>
            <w:pPr>
              <w:spacing w:after="0"/>
              <w:rPr>
                <w:sz w:val="7"/>
                <w:szCs w:val="7"/>
                <w:color w:val="auto"/>
              </w:rPr>
            </w:pPr>
          </w:p>
        </w:tc>
        <w:tc>
          <w:tcPr>
            <w:tcW w:w="5880" w:type="dxa"/>
            <w:vAlign w:val="bottom"/>
            <w:tcBorders>
              <w:bottom w:val="single" w:sz="8" w:color="auto"/>
            </w:tcBorders>
          </w:tcPr>
          <w:p>
            <w:pPr>
              <w:spacing w:after="0"/>
              <w:rPr>
                <w:sz w:val="7"/>
                <w:szCs w:val="7"/>
                <w:color w:val="auto"/>
              </w:rPr>
            </w:pPr>
          </w:p>
        </w:tc>
      </w:tr>
      <w:tr>
        <w:trPr>
          <w:trHeight w:val="502"/>
        </w:trPr>
        <w:tc>
          <w:tcPr>
            <w:tcW w:w="4880" w:type="dxa"/>
            <w:vAlign w:val="bottom"/>
            <w:tcBorders>
              <w:right w:val="single" w:sz="8" w:color="auto"/>
            </w:tcBorders>
            <w:gridSpan w:val="3"/>
          </w:tcPr>
          <w:p>
            <w:pPr>
              <w:ind w:left="120"/>
              <w:spacing w:after="0"/>
              <w:rPr>
                <w:sz w:val="20"/>
                <w:szCs w:val="20"/>
                <w:color w:val="auto"/>
              </w:rPr>
            </w:pPr>
            <w:r>
              <w:rPr>
                <w:rFonts w:ascii="Arial" w:cs="Arial" w:eastAsia="Arial" w:hAnsi="Arial"/>
                <w:sz w:val="35"/>
                <w:szCs w:val="35"/>
                <w:b w:val="1"/>
                <w:bCs w:val="1"/>
                <w:color w:val="5F81AA"/>
              </w:rPr>
              <w:t>Gross Profit Margin</w:t>
            </w:r>
          </w:p>
        </w:tc>
        <w:tc>
          <w:tcPr>
            <w:tcW w:w="5880" w:type="dxa"/>
            <w:vAlign w:val="bottom"/>
          </w:tcPr>
          <w:p>
            <w:pPr>
              <w:ind w:left="220"/>
              <w:spacing w:after="0"/>
              <w:rPr>
                <w:sz w:val="20"/>
                <w:szCs w:val="20"/>
                <w:color w:val="auto"/>
              </w:rPr>
            </w:pPr>
            <w:r>
              <w:rPr>
                <w:rFonts w:ascii="Arial" w:cs="Arial" w:eastAsia="Arial" w:hAnsi="Arial"/>
                <w:sz w:val="32"/>
                <w:szCs w:val="32"/>
                <w:color w:val="auto"/>
              </w:rPr>
              <w:t>16.5 - 16.7%</w:t>
            </w:r>
          </w:p>
        </w:tc>
      </w:tr>
      <w:tr>
        <w:trPr>
          <w:trHeight w:val="54"/>
        </w:trPr>
        <w:tc>
          <w:tcPr>
            <w:tcW w:w="4880" w:type="dxa"/>
            <w:vAlign w:val="bottom"/>
            <w:tcBorders>
              <w:bottom w:val="single" w:sz="8" w:color="auto"/>
              <w:right w:val="single" w:sz="8" w:color="auto"/>
            </w:tcBorders>
            <w:gridSpan w:val="3"/>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r>
      <w:tr>
        <w:trPr>
          <w:trHeight w:val="502"/>
        </w:trPr>
        <w:tc>
          <w:tcPr>
            <w:tcW w:w="4880" w:type="dxa"/>
            <w:vAlign w:val="bottom"/>
            <w:tcBorders>
              <w:right w:val="single" w:sz="8" w:color="auto"/>
            </w:tcBorders>
            <w:gridSpan w:val="3"/>
          </w:tcPr>
          <w:p>
            <w:pPr>
              <w:ind w:left="120"/>
              <w:spacing w:after="0"/>
              <w:rPr>
                <w:sz w:val="20"/>
                <w:szCs w:val="20"/>
                <w:color w:val="auto"/>
              </w:rPr>
            </w:pPr>
            <w:r>
              <w:rPr>
                <w:rFonts w:ascii="Arial" w:cs="Arial" w:eastAsia="Arial" w:hAnsi="Arial"/>
                <w:sz w:val="35"/>
                <w:szCs w:val="35"/>
                <w:b w:val="1"/>
                <w:bCs w:val="1"/>
                <w:color w:val="5F81AA"/>
              </w:rPr>
              <w:t>Operating Profit Margin</w:t>
            </w:r>
          </w:p>
        </w:tc>
        <w:tc>
          <w:tcPr>
            <w:tcW w:w="5880" w:type="dxa"/>
            <w:vAlign w:val="bottom"/>
          </w:tcPr>
          <w:p>
            <w:pPr>
              <w:ind w:left="220"/>
              <w:spacing w:after="0"/>
              <w:rPr>
                <w:sz w:val="20"/>
                <w:szCs w:val="20"/>
                <w:color w:val="auto"/>
              </w:rPr>
            </w:pPr>
            <w:r>
              <w:rPr>
                <w:rFonts w:ascii="Arial" w:cs="Arial" w:eastAsia="Arial" w:hAnsi="Arial"/>
                <w:sz w:val="32"/>
                <w:szCs w:val="32"/>
                <w:color w:val="auto"/>
              </w:rPr>
              <w:t>2.6 - 2.8%</w:t>
            </w:r>
          </w:p>
        </w:tc>
      </w:tr>
      <w:tr>
        <w:trPr>
          <w:trHeight w:val="54"/>
        </w:trPr>
        <w:tc>
          <w:tcPr>
            <w:tcW w:w="1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r>
      <w:tr>
        <w:trPr>
          <w:trHeight w:val="490"/>
        </w:trPr>
        <w:tc>
          <w:tcPr>
            <w:tcW w:w="1740" w:type="dxa"/>
            <w:vAlign w:val="bottom"/>
          </w:tcPr>
          <w:p>
            <w:pPr>
              <w:ind w:left="120"/>
              <w:spacing w:after="0"/>
              <w:rPr>
                <w:sz w:val="20"/>
                <w:szCs w:val="20"/>
                <w:color w:val="auto"/>
              </w:rPr>
            </w:pPr>
            <w:r>
              <w:rPr>
                <w:rFonts w:ascii="Arial" w:cs="Arial" w:eastAsia="Arial" w:hAnsi="Arial"/>
                <w:sz w:val="35"/>
                <w:szCs w:val="35"/>
                <w:b w:val="1"/>
                <w:bCs w:val="1"/>
                <w:color w:val="5F81AA"/>
              </w:rPr>
              <w:t>Tax Rate</w:t>
            </w:r>
          </w:p>
        </w:tc>
        <w:tc>
          <w:tcPr>
            <w:tcW w:w="16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5880" w:type="dxa"/>
            <w:vAlign w:val="bottom"/>
          </w:tcPr>
          <w:p>
            <w:pPr>
              <w:ind w:left="220"/>
              <w:spacing w:after="0"/>
              <w:rPr>
                <w:sz w:val="20"/>
                <w:szCs w:val="20"/>
                <w:color w:val="auto"/>
              </w:rPr>
            </w:pPr>
            <w:r>
              <w:rPr>
                <w:rFonts w:ascii="Arial" w:cs="Arial" w:eastAsia="Arial" w:hAnsi="Arial"/>
                <w:sz w:val="32"/>
                <w:szCs w:val="32"/>
                <w:color w:val="auto"/>
              </w:rPr>
              <w:t>46.5%</w:t>
            </w:r>
          </w:p>
        </w:tc>
      </w:tr>
      <w:tr>
        <w:trPr>
          <w:trHeight w:val="30"/>
        </w:trPr>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502"/>
        </w:trPr>
        <w:tc>
          <w:tcPr>
            <w:tcW w:w="1740" w:type="dxa"/>
            <w:vAlign w:val="bottom"/>
          </w:tcPr>
          <w:p>
            <w:pPr>
              <w:ind w:left="120"/>
              <w:spacing w:after="0"/>
              <w:rPr>
                <w:sz w:val="20"/>
                <w:szCs w:val="20"/>
                <w:color w:val="auto"/>
              </w:rPr>
            </w:pPr>
            <w:r>
              <w:rPr>
                <w:rFonts w:ascii="Arial" w:cs="Arial" w:eastAsia="Arial" w:hAnsi="Arial"/>
                <w:sz w:val="35"/>
                <w:szCs w:val="35"/>
                <w:b w:val="1"/>
                <w:bCs w:val="1"/>
                <w:color w:val="5F81AA"/>
              </w:rPr>
              <w:t>EPS</w:t>
            </w:r>
          </w:p>
        </w:tc>
        <w:tc>
          <w:tcPr>
            <w:tcW w:w="160" w:type="dxa"/>
            <w:vAlign w:val="bottom"/>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5880" w:type="dxa"/>
            <w:vAlign w:val="bottom"/>
          </w:tcPr>
          <w:p>
            <w:pPr>
              <w:ind w:left="220"/>
              <w:spacing w:after="0"/>
              <w:rPr>
                <w:sz w:val="20"/>
                <w:szCs w:val="20"/>
                <w:color w:val="auto"/>
              </w:rPr>
            </w:pPr>
            <w:r>
              <w:rPr>
                <w:rFonts w:ascii="Arial" w:cs="Arial" w:eastAsia="Arial" w:hAnsi="Arial"/>
                <w:sz w:val="32"/>
                <w:szCs w:val="32"/>
                <w:color w:val="auto"/>
              </w:rPr>
              <w:t xml:space="preserve">$0.90-$1.00 </w:t>
            </w:r>
            <w:r>
              <w:rPr>
                <w:rFonts w:ascii="Arial" w:cs="Arial" w:eastAsia="Arial" w:hAnsi="Arial"/>
                <w:sz w:val="28"/>
                <w:szCs w:val="28"/>
                <w:color w:val="auto"/>
              </w:rPr>
              <w:t>(Favorable $.10 Currency)</w:t>
            </w:r>
          </w:p>
        </w:tc>
      </w:tr>
      <w:tr>
        <w:trPr>
          <w:trHeight w:val="54"/>
        </w:trPr>
        <w:tc>
          <w:tcPr>
            <w:tcW w:w="1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r>
    </w:tbl>
    <w:p>
      <w:pPr>
        <w:spacing w:after="0" w:line="254" w:lineRule="exact"/>
        <w:rPr>
          <w:sz w:val="20"/>
          <w:szCs w:val="20"/>
          <w:color w:val="auto"/>
        </w:rPr>
      </w:pPr>
    </w:p>
    <w:p>
      <w:pPr>
        <w:ind w:left="10360"/>
        <w:spacing w:after="0"/>
        <w:rPr>
          <w:sz w:val="20"/>
          <w:szCs w:val="20"/>
          <w:color w:val="auto"/>
        </w:rPr>
      </w:pPr>
      <w:r>
        <w:rPr>
          <w:rFonts w:ascii="Arial" w:cs="Arial" w:eastAsia="Arial" w:hAnsi="Arial"/>
          <w:sz w:val="14"/>
          <w:szCs w:val="14"/>
          <w:color w:val="8989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60"/>
          </w:cols>
          <w:pgMar w:left="680" w:top="452" w:right="359" w:bottom="1440" w:gutter="0" w:footer="0" w:header="0"/>
          <w:type w:val="continuous"/>
        </w:sectPr>
      </w:pPr>
    </w:p>
    <w:bookmarkStart w:id="28" w:name="page29"/>
    <w:bookmarkEnd w:id="28"/>
    <w:p>
      <w:pPr>
        <w:spacing w:after="0"/>
        <w:tabs>
          <w:tab w:leader="none" w:pos="9680" w:val="left"/>
        </w:tabs>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w:t>
      </w:r>
      <w:r>
        <w:rPr>
          <w:sz w:val="20"/>
          <w:szCs w:val="20"/>
          <w:color w:val="auto"/>
        </w:rPr>
        <w:tab/>
      </w:r>
      <w:r>
        <w:rPr>
          <w:rFonts w:ascii="Arial" w:cs="Arial" w:eastAsia="Arial" w:hAnsi="Arial"/>
          <w:sz w:val="25"/>
          <w:szCs w:val="25"/>
          <w:b w:val="1"/>
          <w:bCs w:val="1"/>
          <w:color w:val="FFFFFF"/>
        </w:rPr>
        <w:t>July</w:t>
      </w:r>
    </w:p>
    <w:p>
      <w:pPr>
        <w:spacing w:after="0" w:line="33"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2011</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44"/>
          <w:szCs w:val="44"/>
          <w:color w:val="auto"/>
        </w:rPr>
        <w:t>Our brand and messages are resonating worldwide</w:t>
      </w:r>
    </w:p>
    <w:p>
      <w:pPr>
        <w:sectPr>
          <w:pgSz w:w="11900" w:h="16838" w:orient="portrait"/>
          <w:cols w:equalWidth="0" w:num="1">
            <w:col w:w="10520"/>
          </w:cols>
          <w:pgMar w:left="680" w:top="452"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0" w:right="2700" w:firstLine="343"/>
        <w:spacing w:after="0" w:line="263" w:lineRule="auto"/>
        <w:tabs>
          <w:tab w:leader="none" w:pos="1313" w:val="left"/>
        </w:tabs>
        <w:numPr>
          <w:ilvl w:val="0"/>
          <w:numId w:val="12"/>
        </w:numPr>
        <w:rPr>
          <w:rFonts w:ascii="Arial" w:cs="Arial" w:eastAsia="Arial" w:hAnsi="Arial"/>
          <w:sz w:val="19"/>
          <w:szCs w:val="19"/>
          <w:b w:val="1"/>
          <w:bCs w:val="1"/>
          <w:color w:val="FFFFFF"/>
        </w:rPr>
      </w:pPr>
      <w:r>
        <w:rPr>
          <w:rFonts w:ascii="Arial" w:cs="Arial" w:eastAsia="Arial" w:hAnsi="Arial"/>
          <w:sz w:val="19"/>
          <w:szCs w:val="19"/>
          <w:b w:val="1"/>
          <w:bCs w:val="1"/>
          <w:color w:val="FFFFFF"/>
        </w:rPr>
        <w:t>rebranding… in a bid to improve</w:t>
      </w:r>
    </w:p>
    <w:tbl>
      <w:tblPr>
        <w:tblLayout w:type="fixed"/>
        <w:tblInd w:w="700" w:type="dxa"/>
        <w:tblCellMar>
          <w:top w:w="0" w:type="dxa"/>
          <w:left w:w="0" w:type="dxa"/>
          <w:bottom w:w="0" w:type="dxa"/>
          <w:right w:w="0" w:type="dxa"/>
        </w:tblCellMar>
      </w:tblPr>
      <w:tr>
        <w:trPr>
          <w:trHeight w:val="206"/>
        </w:trPr>
        <w:tc>
          <w:tcPr>
            <w:tcW w:w="2040" w:type="dxa"/>
            <w:vAlign w:val="bottom"/>
          </w:tcPr>
          <w:p>
            <w:pPr>
              <w:jc w:val="right"/>
              <w:ind w:right="149"/>
              <w:spacing w:after="0" w:line="206" w:lineRule="exact"/>
              <w:rPr>
                <w:sz w:val="20"/>
                <w:szCs w:val="20"/>
                <w:color w:val="auto"/>
              </w:rPr>
            </w:pPr>
            <w:r>
              <w:rPr>
                <w:rFonts w:ascii="Arial" w:cs="Arial" w:eastAsia="Arial" w:hAnsi="Arial"/>
                <w:sz w:val="19"/>
                <w:szCs w:val="19"/>
                <w:b w:val="1"/>
                <w:bCs w:val="1"/>
                <w:color w:val="FFFFFF"/>
              </w:rPr>
              <w:t>the marketing of its</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40" w:type="dxa"/>
            <w:vAlign w:val="bottom"/>
          </w:tcPr>
          <w:p>
            <w:pPr>
              <w:jc w:val="right"/>
              <w:ind w:right="149"/>
              <w:spacing w:after="0"/>
              <w:rPr>
                <w:sz w:val="20"/>
                <w:szCs w:val="20"/>
                <w:color w:val="auto"/>
              </w:rPr>
            </w:pPr>
            <w:r>
              <w:rPr>
                <w:rFonts w:ascii="Arial" w:cs="Arial" w:eastAsia="Arial" w:hAnsi="Arial"/>
                <w:sz w:val="19"/>
                <w:szCs w:val="19"/>
                <w:b w:val="1"/>
                <w:bCs w:val="1"/>
                <w:color w:val="FFFFFF"/>
              </w:rPr>
              <w:t>services.”</w:t>
            </w:r>
          </w:p>
        </w:tc>
        <w:tc>
          <w:tcPr>
            <w:tcW w:w="2380" w:type="dxa"/>
            <w:vAlign w:val="bottom"/>
            <w:vMerge w:val="restart"/>
          </w:tcPr>
          <w:p>
            <w:pPr>
              <w:jc w:val="center"/>
              <w:ind w:left="145"/>
              <w:spacing w:after="0"/>
              <w:rPr>
                <w:sz w:val="20"/>
                <w:szCs w:val="20"/>
                <w:color w:val="auto"/>
              </w:rPr>
            </w:pPr>
            <w:r>
              <w:rPr>
                <w:rFonts w:ascii="Arial" w:cs="Arial" w:eastAsia="Arial" w:hAnsi="Arial"/>
                <w:sz w:val="19"/>
                <w:szCs w:val="19"/>
                <w:b w:val="1"/>
                <w:bCs w:val="1"/>
                <w:color w:val="D47C18"/>
              </w:rPr>
              <w:t>“[Manpower] used this</w:t>
            </w:r>
          </w:p>
        </w:tc>
        <w:tc>
          <w:tcPr>
            <w:tcW w:w="0" w:type="dxa"/>
            <w:vAlign w:val="bottom"/>
          </w:tcPr>
          <w:p>
            <w:pPr>
              <w:spacing w:after="0"/>
              <w:rPr>
                <w:sz w:val="1"/>
                <w:szCs w:val="1"/>
                <w:color w:val="auto"/>
              </w:rPr>
            </w:pPr>
          </w:p>
        </w:tc>
      </w:tr>
      <w:tr>
        <w:trPr>
          <w:trHeight w:val="92"/>
        </w:trPr>
        <w:tc>
          <w:tcPr>
            <w:tcW w:w="204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experience to identify a</w:t>
            </w: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new era, what it calls</w:t>
            </w: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the human age.</w:t>
            </w: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It’s changing its name</w:t>
            </w: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and logo to fit a world</w:t>
            </w:r>
          </w:p>
        </w:tc>
        <w:tc>
          <w:tcPr>
            <w:tcW w:w="0" w:type="dxa"/>
            <w:vAlign w:val="bottom"/>
          </w:tcPr>
          <w:p>
            <w:pPr>
              <w:spacing w:after="0"/>
              <w:rPr>
                <w:sz w:val="1"/>
                <w:szCs w:val="1"/>
                <w:color w:val="auto"/>
              </w:rPr>
            </w:pPr>
          </w:p>
        </w:tc>
      </w:tr>
      <w:tr>
        <w:trPr>
          <w:trHeight w:val="228"/>
        </w:trPr>
        <w:tc>
          <w:tcPr>
            <w:tcW w:w="2040" w:type="dxa"/>
            <w:vAlign w:val="bottom"/>
          </w:tcPr>
          <w:p>
            <w:pPr>
              <w:spacing w:after="0"/>
              <w:rPr>
                <w:sz w:val="19"/>
                <w:szCs w:val="19"/>
                <w:color w:val="auto"/>
              </w:rPr>
            </w:pP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where it says talent</w:t>
            </w:r>
          </w:p>
        </w:tc>
        <w:tc>
          <w:tcPr>
            <w:tcW w:w="0" w:type="dxa"/>
            <w:vAlign w:val="bottom"/>
          </w:tcPr>
          <w:p>
            <w:pPr>
              <w:spacing w:after="0"/>
              <w:rPr>
                <w:sz w:val="1"/>
                <w:szCs w:val="1"/>
                <w:color w:val="auto"/>
              </w:rPr>
            </w:pPr>
          </w:p>
        </w:tc>
      </w:tr>
      <w:tr>
        <w:trPr>
          <w:trHeight w:val="228"/>
        </w:trPr>
        <w:tc>
          <w:tcPr>
            <w:tcW w:w="2040" w:type="dxa"/>
            <w:vAlign w:val="bottom"/>
          </w:tcPr>
          <w:p>
            <w:pPr>
              <w:jc w:val="center"/>
              <w:ind w:right="269"/>
              <w:spacing w:after="0"/>
              <w:rPr>
                <w:sz w:val="20"/>
                <w:szCs w:val="20"/>
                <w:color w:val="auto"/>
              </w:rPr>
            </w:pPr>
            <w:r>
              <w:rPr>
                <w:rFonts w:ascii="Arial" w:cs="Arial" w:eastAsia="Arial" w:hAnsi="Arial"/>
                <w:sz w:val="19"/>
                <w:szCs w:val="19"/>
                <w:b w:val="1"/>
                <w:bCs w:val="1"/>
                <w:color w:val="auto"/>
              </w:rPr>
              <w:t>“Talent is the new</w:t>
            </w: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replaces capital as the</w:t>
            </w:r>
          </w:p>
        </w:tc>
        <w:tc>
          <w:tcPr>
            <w:tcW w:w="0" w:type="dxa"/>
            <w:vAlign w:val="bottom"/>
          </w:tcPr>
          <w:p>
            <w:pPr>
              <w:spacing w:after="0"/>
              <w:rPr>
                <w:sz w:val="1"/>
                <w:szCs w:val="1"/>
                <w:color w:val="auto"/>
              </w:rPr>
            </w:pPr>
          </w:p>
        </w:tc>
      </w:tr>
      <w:tr>
        <w:trPr>
          <w:trHeight w:val="228"/>
        </w:trPr>
        <w:tc>
          <w:tcPr>
            <w:tcW w:w="2040" w:type="dxa"/>
            <w:vAlign w:val="bottom"/>
          </w:tcPr>
          <w:p>
            <w:pPr>
              <w:jc w:val="center"/>
              <w:ind w:right="249"/>
              <w:spacing w:after="0"/>
              <w:rPr>
                <w:sz w:val="20"/>
                <w:szCs w:val="20"/>
                <w:color w:val="auto"/>
              </w:rPr>
            </w:pPr>
            <w:r>
              <w:rPr>
                <w:rFonts w:ascii="Arial" w:cs="Arial" w:eastAsia="Arial" w:hAnsi="Arial"/>
                <w:sz w:val="19"/>
                <w:szCs w:val="19"/>
                <w:b w:val="1"/>
                <w:bCs w:val="1"/>
                <w:color w:val="auto"/>
              </w:rPr>
              <w:t>capital”</w:t>
            </w:r>
          </w:p>
        </w:tc>
        <w:tc>
          <w:tcPr>
            <w:tcW w:w="2380" w:type="dxa"/>
            <w:vAlign w:val="bottom"/>
          </w:tcPr>
          <w:p>
            <w:pPr>
              <w:jc w:val="center"/>
              <w:ind w:left="145"/>
              <w:spacing w:after="0"/>
              <w:rPr>
                <w:sz w:val="20"/>
                <w:szCs w:val="20"/>
                <w:color w:val="auto"/>
              </w:rPr>
            </w:pPr>
            <w:r>
              <w:rPr>
                <w:rFonts w:ascii="Arial" w:cs="Arial" w:eastAsia="Arial" w:hAnsi="Arial"/>
                <w:sz w:val="19"/>
                <w:szCs w:val="19"/>
                <w:b w:val="1"/>
                <w:bCs w:val="1"/>
                <w:color w:val="D47C18"/>
              </w:rPr>
              <w:t>key driver of economic</w:t>
            </w:r>
          </w:p>
        </w:tc>
        <w:tc>
          <w:tcPr>
            <w:tcW w:w="0" w:type="dxa"/>
            <w:vAlign w:val="bottom"/>
          </w:tcPr>
          <w:p>
            <w:pPr>
              <w:spacing w:after="0"/>
              <w:rPr>
                <w:sz w:val="1"/>
                <w:szCs w:val="1"/>
                <w:color w:val="auto"/>
              </w:rPr>
            </w:pPr>
          </w:p>
        </w:tc>
      </w:tr>
      <w:tr>
        <w:trPr>
          <w:trHeight w:val="198"/>
        </w:trPr>
        <w:tc>
          <w:tcPr>
            <w:tcW w:w="2040" w:type="dxa"/>
            <w:vAlign w:val="bottom"/>
          </w:tcPr>
          <w:p>
            <w:pPr>
              <w:jc w:val="center"/>
              <w:ind w:right="269"/>
              <w:spacing w:after="0"/>
              <w:rPr>
                <w:sz w:val="20"/>
                <w:szCs w:val="20"/>
                <w:color w:val="auto"/>
              </w:rPr>
            </w:pPr>
            <w:r>
              <w:rPr>
                <w:rFonts w:ascii="Arial" w:cs="Arial" w:eastAsia="Arial" w:hAnsi="Arial"/>
                <w:sz w:val="16"/>
                <w:szCs w:val="16"/>
                <w:b w:val="1"/>
                <w:bCs w:val="1"/>
                <w:i w:val="1"/>
                <w:iCs w:val="1"/>
                <w:color w:val="FFFFFF"/>
              </w:rPr>
              <w:t xml:space="preserve">— </w:t>
            </w:r>
            <w:r>
              <w:rPr>
                <w:rFonts w:ascii="Arial" w:cs="Arial" w:eastAsia="Arial" w:hAnsi="Arial"/>
                <w:sz w:val="16"/>
                <w:szCs w:val="16"/>
                <w:color w:val="FFFFFF"/>
              </w:rPr>
              <w:t>Swedish newspaper</w:t>
            </w:r>
          </w:p>
        </w:tc>
        <w:tc>
          <w:tcPr>
            <w:tcW w:w="2380" w:type="dxa"/>
            <w:vAlign w:val="bottom"/>
          </w:tcPr>
          <w:p>
            <w:pPr>
              <w:jc w:val="center"/>
              <w:ind w:left="145"/>
              <w:spacing w:after="0" w:line="198" w:lineRule="exact"/>
              <w:rPr>
                <w:sz w:val="20"/>
                <w:szCs w:val="20"/>
                <w:color w:val="auto"/>
              </w:rPr>
            </w:pPr>
            <w:r>
              <w:rPr>
                <w:rFonts w:ascii="Arial" w:cs="Arial" w:eastAsia="Arial" w:hAnsi="Arial"/>
                <w:sz w:val="19"/>
                <w:szCs w:val="19"/>
                <w:b w:val="1"/>
                <w:bCs w:val="1"/>
                <w:color w:val="D47C18"/>
                <w:w w:val="99"/>
              </w:rPr>
              <w:t>growth.”</w:t>
            </w:r>
          </w:p>
        </w:tc>
        <w:tc>
          <w:tcPr>
            <w:tcW w:w="0" w:type="dxa"/>
            <w:vAlign w:val="bottom"/>
          </w:tcPr>
          <w:p>
            <w:pPr>
              <w:spacing w:after="0"/>
              <w:rPr>
                <w:sz w:val="1"/>
                <w:szCs w:val="1"/>
                <w:color w:val="auto"/>
              </w:rPr>
            </w:pPr>
          </w:p>
        </w:tc>
      </w:tr>
      <w:tr>
        <w:trPr>
          <w:trHeight w:val="252"/>
        </w:trPr>
        <w:tc>
          <w:tcPr>
            <w:tcW w:w="2040" w:type="dxa"/>
            <w:vAlign w:val="bottom"/>
          </w:tcPr>
          <w:p>
            <w:pPr>
              <w:jc w:val="center"/>
              <w:ind w:right="249"/>
              <w:spacing w:after="0"/>
              <w:rPr>
                <w:sz w:val="20"/>
                <w:szCs w:val="20"/>
                <w:color w:val="auto"/>
              </w:rPr>
            </w:pPr>
            <w:r>
              <w:rPr>
                <w:rFonts w:ascii="Arial" w:cs="Arial" w:eastAsia="Arial" w:hAnsi="Arial"/>
                <w:sz w:val="16"/>
                <w:szCs w:val="16"/>
                <w:i w:val="1"/>
                <w:iCs w:val="1"/>
                <w:color w:val="FFFFFF"/>
                <w:w w:val="99"/>
              </w:rPr>
              <w:t>Sundsvalls Tidning</w:t>
            </w:r>
          </w:p>
        </w:tc>
        <w:tc>
          <w:tcPr>
            <w:tcW w:w="2380" w:type="dxa"/>
            <w:vAlign w:val="bottom"/>
          </w:tcPr>
          <w:p>
            <w:pPr>
              <w:jc w:val="center"/>
              <w:ind w:left="145"/>
              <w:spacing w:after="0"/>
              <w:rPr>
                <w:sz w:val="20"/>
                <w:szCs w:val="20"/>
                <w:color w:val="auto"/>
              </w:rPr>
            </w:pPr>
            <w:r>
              <w:rPr>
                <w:rFonts w:ascii="Arial" w:cs="Arial" w:eastAsia="Arial" w:hAnsi="Arial"/>
                <w:sz w:val="16"/>
                <w:szCs w:val="16"/>
                <w:b w:val="1"/>
                <w:bCs w:val="1"/>
                <w:i w:val="1"/>
                <w:iCs w:val="1"/>
                <w:color w:val="FFFFFF"/>
                <w:w w:val="99"/>
              </w:rPr>
              <w:t xml:space="preserve">— </w:t>
            </w:r>
            <w:r>
              <w:rPr>
                <w:rFonts w:ascii="Arial" w:cs="Arial" w:eastAsia="Arial" w:hAnsi="Arial"/>
                <w:sz w:val="16"/>
                <w:szCs w:val="16"/>
                <w:i w:val="1"/>
                <w:iCs w:val="1"/>
                <w:color w:val="EEECE1"/>
                <w:w w:val="99"/>
              </w:rPr>
              <w:t>Bloomberg TV</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left="620"/>
        <w:spacing w:after="0" w:line="260" w:lineRule="auto"/>
        <w:rPr>
          <w:sz w:val="20"/>
          <w:szCs w:val="20"/>
          <w:color w:val="auto"/>
        </w:rPr>
      </w:pPr>
      <w:r>
        <w:rPr>
          <w:rFonts w:ascii="Arial" w:cs="Arial" w:eastAsia="Arial" w:hAnsi="Arial"/>
          <w:sz w:val="19"/>
          <w:szCs w:val="19"/>
          <w:color w:val="7EA190"/>
        </w:rPr>
        <w:t>“</w:t>
      </w:r>
      <w:r>
        <w:rPr>
          <w:rFonts w:ascii="Arial" w:cs="Arial" w:eastAsia="Arial" w:hAnsi="Arial"/>
          <w:sz w:val="19"/>
          <w:szCs w:val="19"/>
          <w:b w:val="1"/>
          <w:bCs w:val="1"/>
          <w:color w:val="7EA190"/>
        </w:rPr>
        <w:t>Prepare to play part in a new era: 20 epic shifts to</w:t>
      </w:r>
      <w:r>
        <w:rPr>
          <w:rFonts w:ascii="Arial" w:cs="Arial" w:eastAsia="Arial" w:hAnsi="Arial"/>
          <w:sz w:val="19"/>
          <w:szCs w:val="19"/>
          <w:color w:val="7EA190"/>
        </w:rPr>
        <w:t xml:space="preserve"> </w:t>
      </w:r>
      <w:r>
        <w:rPr>
          <w:rFonts w:ascii="Arial" w:cs="Arial" w:eastAsia="Arial" w:hAnsi="Arial"/>
          <w:sz w:val="19"/>
          <w:szCs w:val="19"/>
          <w:b w:val="1"/>
          <w:bCs w:val="1"/>
          <w:color w:val="7EA190"/>
        </w:rPr>
        <w:t>the Human Age”</w:t>
      </w:r>
    </w:p>
    <w:p>
      <w:pPr>
        <w:ind w:left="1560"/>
        <w:spacing w:after="0"/>
        <w:rPr>
          <w:sz w:val="20"/>
          <w:szCs w:val="20"/>
          <w:color w:val="auto"/>
        </w:rPr>
      </w:pPr>
      <w:r>
        <w:rPr>
          <w:rFonts w:ascii="Arial" w:cs="Arial" w:eastAsia="Arial" w:hAnsi="Arial"/>
          <w:sz w:val="16"/>
          <w:szCs w:val="16"/>
          <w:i w:val="1"/>
          <w:iCs w:val="1"/>
          <w:color w:val="FFFFFF"/>
        </w:rPr>
        <w:t xml:space="preserve">— </w:t>
      </w:r>
      <w:r>
        <w:rPr>
          <w:rFonts w:ascii="Arial" w:cs="Arial" w:eastAsia="Arial" w:hAnsi="Arial"/>
          <w:sz w:val="16"/>
          <w:szCs w:val="16"/>
          <w:color w:val="FFFFFF"/>
        </w:rPr>
        <w:t>South African newspaper,</w:t>
      </w:r>
      <w:r>
        <w:rPr>
          <w:rFonts w:ascii="Arial" w:cs="Arial" w:eastAsia="Arial" w:hAnsi="Arial"/>
          <w:sz w:val="16"/>
          <w:szCs w:val="16"/>
          <w:i w:val="1"/>
          <w:iCs w:val="1"/>
          <w:color w:val="FFFFFF"/>
        </w:rPr>
        <w:t xml:space="preserve"> The Star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line="254" w:lineRule="auto"/>
        <w:rPr>
          <w:sz w:val="20"/>
          <w:szCs w:val="20"/>
          <w:color w:val="auto"/>
        </w:rPr>
      </w:pPr>
      <w:r>
        <w:rPr>
          <w:rFonts w:ascii="Arial" w:cs="Arial" w:eastAsia="Arial" w:hAnsi="Arial"/>
          <w:sz w:val="19"/>
          <w:szCs w:val="19"/>
          <w:b w:val="1"/>
          <w:bCs w:val="1"/>
          <w:color w:val="5E8AB4"/>
        </w:rPr>
        <w:t>“Do changes as subtle as those exemplified by Manpower's renaming matter? Absolutely, said Columbia University business professor Bernd Schmitt - right down to the single-word styling and the replacement of ‘Inc.’ with ‘Group.’”</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FFFFFF"/>
        </w:rPr>
        <w:t>— Milwaukee Journal-</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FFFFFF"/>
        </w:rPr>
        <w:t>Sentinel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D47C18"/>
        </w:rPr>
        <w:t>“Inc. sounds like a</w:t>
      </w:r>
    </w:p>
    <w:p>
      <w:pPr>
        <w:spacing w:after="0" w:line="34" w:lineRule="exact"/>
        <w:rPr>
          <w:sz w:val="20"/>
          <w:szCs w:val="20"/>
          <w:color w:val="auto"/>
        </w:rPr>
      </w:pPr>
    </w:p>
    <w:p>
      <w:pPr>
        <w:jc w:val="center"/>
        <w:ind w:left="40"/>
        <w:spacing w:after="0" w:line="251" w:lineRule="auto"/>
        <w:rPr>
          <w:sz w:val="20"/>
          <w:szCs w:val="20"/>
          <w:color w:val="auto"/>
        </w:rPr>
      </w:pPr>
      <w:r>
        <w:rPr>
          <w:rFonts w:ascii="Arial" w:cs="Arial" w:eastAsia="Arial" w:hAnsi="Arial"/>
          <w:sz w:val="19"/>
          <w:szCs w:val="19"/>
          <w:b w:val="1"/>
          <w:bCs w:val="1"/>
          <w:color w:val="D47C18"/>
        </w:rPr>
        <w:t>faceless corporation, where ‘group’ sounds more human, more in touch”</w:t>
      </w:r>
    </w:p>
    <w:p>
      <w:pPr>
        <w:spacing w:after="0" w:line="3" w:lineRule="exact"/>
        <w:rPr>
          <w:sz w:val="20"/>
          <w:szCs w:val="20"/>
          <w:color w:val="auto"/>
        </w:rPr>
      </w:pPr>
    </w:p>
    <w:p>
      <w:pPr>
        <w:jc w:val="center"/>
        <w:ind w:left="100" w:right="80" w:firstLine="91"/>
        <w:spacing w:after="0" w:line="239" w:lineRule="auto"/>
        <w:rPr>
          <w:sz w:val="20"/>
          <w:szCs w:val="20"/>
          <w:color w:val="auto"/>
        </w:rPr>
      </w:pPr>
      <w:r>
        <w:rPr>
          <w:rFonts w:ascii="Arial" w:cs="Arial" w:eastAsia="Arial" w:hAnsi="Arial"/>
          <w:sz w:val="16"/>
          <w:szCs w:val="16"/>
          <w:i w:val="1"/>
          <w:iCs w:val="1"/>
          <w:color w:val="FFFFFF"/>
        </w:rPr>
        <w:t>— Jonathan Schroeder, communications professor, Rochester Institute of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7EA190"/>
        </w:rPr>
        <w:t>“The Human Age</w:t>
      </w:r>
    </w:p>
    <w:p>
      <w:pPr>
        <w:spacing w:after="0" w:line="34"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7EA190"/>
        </w:rPr>
        <w:t>marks the pinnacle</w:t>
      </w:r>
    </w:p>
    <w:p>
      <w:pPr>
        <w:spacing w:after="0" w:line="13"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7EA190"/>
        </w:rPr>
        <w:t>of a journey, when the</w:t>
      </w:r>
    </w:p>
    <w:p>
      <w:pPr>
        <w:spacing w:after="0" w:line="18"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7EA190"/>
        </w:rPr>
        <w:t>raw potential of</w:t>
      </w:r>
    </w:p>
    <w:p>
      <w:pPr>
        <w:spacing w:after="0" w:line="10" w:lineRule="exact"/>
        <w:rPr>
          <w:sz w:val="20"/>
          <w:szCs w:val="20"/>
          <w:color w:val="auto"/>
        </w:rPr>
      </w:pPr>
    </w:p>
    <w:p>
      <w:pPr>
        <w:jc w:val="both"/>
        <w:ind w:left="100" w:right="440" w:hanging="63"/>
        <w:spacing w:after="0" w:line="246" w:lineRule="auto"/>
        <w:rPr>
          <w:sz w:val="20"/>
          <w:szCs w:val="20"/>
          <w:color w:val="auto"/>
        </w:rPr>
      </w:pPr>
      <w:r>
        <w:rPr>
          <w:rFonts w:ascii="Arial" w:cs="Arial" w:eastAsia="Arial" w:hAnsi="Arial"/>
          <w:sz w:val="19"/>
          <w:szCs w:val="19"/>
          <w:b w:val="1"/>
          <w:bCs w:val="1"/>
          <w:color w:val="7EA190"/>
        </w:rPr>
        <w:t>individuals ultimately takes center stage.”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FFFFFF"/>
        </w:rPr>
        <w:t xml:space="preserve">— </w:t>
      </w:r>
      <w:r>
        <w:rPr>
          <w:rFonts w:ascii="Arial" w:cs="Arial" w:eastAsia="Arial" w:hAnsi="Arial"/>
          <w:sz w:val="16"/>
          <w:szCs w:val="16"/>
          <w:i w:val="1"/>
          <w:iCs w:val="1"/>
          <w:color w:val="FFFFFF"/>
        </w:rPr>
        <w:t>HR Asia</w:t>
      </w:r>
      <w:r>
        <w:rPr>
          <w:rFonts w:ascii="Arial" w:cs="Arial" w:eastAsia="Arial" w:hAnsi="Arial"/>
          <w:sz w:val="16"/>
          <w:szCs w:val="16"/>
          <w:b w:val="1"/>
          <w:bCs w:val="1"/>
          <w:i w:val="1"/>
          <w:iCs w:val="1"/>
          <w:color w:val="FFFFFF"/>
        </w:rPr>
        <w:t xml:space="preserve"> </w:t>
      </w:r>
      <w:r>
        <w:rPr>
          <w:rFonts w:ascii="Arial" w:cs="Arial" w:eastAsia="Arial" w:hAnsi="Arial"/>
          <w:sz w:val="16"/>
          <w:szCs w:val="16"/>
          <w:color w:val="FFFFFF"/>
        </w:rPr>
        <w:t>magazine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FFFFFF"/>
        </w:rPr>
        <w:t>“Group is more</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FFFFFF"/>
        </w:rPr>
        <w:t>contemporary”</w:t>
      </w:r>
    </w:p>
    <w:p>
      <w:pPr>
        <w:spacing w:after="0" w:line="13" w:lineRule="exact"/>
        <w:rPr>
          <w:sz w:val="20"/>
          <w:szCs w:val="20"/>
          <w:color w:val="auto"/>
        </w:rPr>
      </w:pPr>
    </w:p>
    <w:p>
      <w:pPr>
        <w:jc w:val="center"/>
        <w:ind w:left="240" w:right="640" w:firstLine="39"/>
        <w:spacing w:after="0" w:line="244" w:lineRule="auto"/>
        <w:rPr>
          <w:sz w:val="20"/>
          <w:szCs w:val="20"/>
          <w:color w:val="auto"/>
        </w:rPr>
      </w:pPr>
      <w:r>
        <w:rPr>
          <w:rFonts w:ascii="Arial" w:cs="Arial" w:eastAsia="Arial" w:hAnsi="Arial"/>
          <w:sz w:val="16"/>
          <w:szCs w:val="16"/>
          <w:i w:val="1"/>
          <w:iCs w:val="1"/>
          <w:color w:val="FFFFFF"/>
        </w:rPr>
        <w:t>— Deborah Mitchell, marketing professor, University Wisconsin-Madison</w:t>
      </w:r>
    </w:p>
    <w:p>
      <w:pPr>
        <w:spacing w:after="0" w:line="200" w:lineRule="exact"/>
        <w:rPr>
          <w:sz w:val="20"/>
          <w:szCs w:val="20"/>
          <w:color w:val="auto"/>
        </w:rPr>
      </w:pPr>
    </w:p>
    <w:p>
      <w:pPr>
        <w:sectPr>
          <w:pgSz w:w="11900" w:h="16838" w:orient="portrait"/>
          <w:cols w:equalWidth="0" w:num="3">
            <w:col w:w="5200" w:space="400"/>
            <w:col w:w="2080" w:space="420"/>
            <w:col w:w="2420"/>
          </w:cols>
          <w:pgMar w:left="680" w:top="452" w:right="69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ind w:left="10360"/>
        <w:spacing w:after="0"/>
        <w:rPr>
          <w:sz w:val="20"/>
          <w:szCs w:val="20"/>
          <w:color w:val="auto"/>
        </w:rPr>
      </w:pPr>
      <w:r>
        <w:rPr>
          <w:rFonts w:ascii="Arial" w:cs="Arial" w:eastAsia="Arial" w:hAnsi="Arial"/>
          <w:sz w:val="14"/>
          <w:szCs w:val="14"/>
          <w:color w:val="89898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29" w:name="page30"/>
    <w:bookmarkEnd w:id="29"/>
    <w:p>
      <w:pPr>
        <w:ind w:left="440" w:right="3800"/>
        <w:spacing w:after="0" w:line="273" w:lineRule="auto"/>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FFFFFF"/>
        </w:rPr>
        <w:t>July</w:t>
      </w:r>
    </w:p>
    <w:p>
      <w:pPr>
        <w:spacing w:after="0" w:line="592" w:lineRule="exact"/>
        <w:rPr>
          <w:sz w:val="20"/>
          <w:szCs w:val="20"/>
          <w:color w:val="auto"/>
        </w:rPr>
      </w:pPr>
    </w:p>
    <w:p>
      <w:pPr>
        <w:sectPr>
          <w:pgSz w:w="11900" w:h="16838" w:orient="portrait"/>
          <w:cols w:equalWidth="0" w:num="2">
            <w:col w:w="9420" w:space="720"/>
            <w:col w:w="1300"/>
          </w:cols>
          <w:pgMar w:left="240" w:top="452" w:right="219" w:bottom="1440" w:gutter="0" w:footer="0" w:header="0"/>
        </w:sectPr>
      </w:pPr>
    </w:p>
    <w:p>
      <w:pPr>
        <w:spacing w:after="0" w:line="11" w:lineRule="exact"/>
        <w:rPr>
          <w:sz w:val="20"/>
          <w:szCs w:val="20"/>
          <w:color w:val="auto"/>
        </w:rPr>
      </w:pPr>
    </w:p>
    <w:p>
      <w:pPr>
        <w:ind w:left="340"/>
        <w:spacing w:after="0"/>
        <w:rPr>
          <w:sz w:val="20"/>
          <w:szCs w:val="20"/>
          <w:color w:val="auto"/>
        </w:rPr>
      </w:pPr>
      <w:r>
        <w:rPr>
          <w:rFonts w:ascii="Arial" w:cs="Arial" w:eastAsia="Arial" w:hAnsi="Arial"/>
          <w:sz w:val="51"/>
          <w:szCs w:val="51"/>
          <w:color w:val="5F81AA"/>
        </w:rPr>
        <w:t>Gross Profit Development - Q2 2011</w:t>
      </w:r>
    </w:p>
    <w:p>
      <w:pPr>
        <w:spacing w:after="0" w:line="200" w:lineRule="exact"/>
        <w:rPr>
          <w:sz w:val="20"/>
          <w:szCs w:val="20"/>
          <w:color w:val="auto"/>
        </w:rPr>
      </w:pPr>
    </w:p>
    <w:p>
      <w:pPr>
        <w:spacing w:after="0" w:line="316" w:lineRule="exact"/>
        <w:rPr>
          <w:sz w:val="20"/>
          <w:szCs w:val="20"/>
          <w:color w:val="auto"/>
        </w:rPr>
      </w:pPr>
    </w:p>
    <w:p>
      <w:pPr>
        <w:jc w:val="center"/>
        <w:ind w:left="5200"/>
        <w:spacing w:after="0"/>
        <w:rPr>
          <w:sz w:val="20"/>
          <w:szCs w:val="20"/>
          <w:color w:val="auto"/>
        </w:rPr>
      </w:pPr>
      <w:r>
        <w:rPr>
          <w:rFonts w:ascii="Arial" w:cs="Arial" w:eastAsia="Arial" w:hAnsi="Arial"/>
          <w:sz w:val="26"/>
          <w:szCs w:val="26"/>
          <w:b w:val="1"/>
          <w:bCs w:val="1"/>
          <w:color w:val="auto"/>
        </w:rPr>
        <w:t>Gross Profit Growth</w:t>
      </w:r>
    </w:p>
    <w:p>
      <w:pPr>
        <w:spacing w:after="0" w:line="41" w:lineRule="exact"/>
        <w:rPr>
          <w:sz w:val="20"/>
          <w:szCs w:val="20"/>
          <w:color w:val="auto"/>
        </w:rPr>
      </w:pPr>
    </w:p>
    <w:p>
      <w:pPr>
        <w:ind w:left="7960"/>
        <w:spacing w:after="0"/>
        <w:rPr>
          <w:sz w:val="20"/>
          <w:szCs w:val="20"/>
          <w:color w:val="auto"/>
        </w:rPr>
      </w:pPr>
      <w:r>
        <w:rPr>
          <w:rFonts w:ascii="Arial" w:cs="Arial" w:eastAsia="Arial" w:hAnsi="Arial"/>
          <w:sz w:val="19"/>
          <w:szCs w:val="19"/>
          <w:b w:val="1"/>
          <w:bCs w:val="1"/>
          <w:color w:val="auto"/>
        </w:rPr>
        <w:t>in CC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40" w:type="dxa"/>
            <w:vAlign w:val="bottom"/>
          </w:tcPr>
          <w:p>
            <w:pPr>
              <w:ind w:left="1240"/>
              <w:spacing w:after="0"/>
              <w:rPr>
                <w:sz w:val="20"/>
                <w:szCs w:val="20"/>
                <w:color w:val="auto"/>
              </w:rPr>
            </w:pPr>
            <w:r>
              <w:rPr>
                <w:rFonts w:ascii="Arial" w:cs="Arial" w:eastAsia="Arial" w:hAnsi="Arial"/>
                <w:sz w:val="18"/>
                <w:szCs w:val="18"/>
                <w:b w:val="1"/>
                <w:bCs w:val="1"/>
                <w:color w:val="306996"/>
              </w:rPr>
              <w:t xml:space="preserve">█ </w:t>
            </w:r>
            <w:r>
              <w:rPr>
                <w:rFonts w:ascii="Arial" w:cs="Arial" w:eastAsia="Arial" w:hAnsi="Arial"/>
                <w:sz w:val="16"/>
                <w:szCs w:val="16"/>
                <w:b w:val="1"/>
                <w:bCs w:val="1"/>
                <w:color w:val="000000"/>
              </w:rPr>
              <w:t>Staffing</w:t>
            </w:r>
          </w:p>
        </w:tc>
        <w:tc>
          <w:tcPr>
            <w:tcW w:w="2960" w:type="dxa"/>
            <w:vAlign w:val="bottom"/>
          </w:tcPr>
          <w:p>
            <w:pPr>
              <w:ind w:left="360"/>
              <w:spacing w:after="0"/>
              <w:rPr>
                <w:sz w:val="20"/>
                <w:szCs w:val="20"/>
                <w:color w:val="auto"/>
              </w:rPr>
            </w:pPr>
            <w:r>
              <w:rPr>
                <w:rFonts w:ascii="Arial" w:cs="Arial" w:eastAsia="Arial" w:hAnsi="Arial"/>
                <w:sz w:val="16"/>
                <w:szCs w:val="16"/>
                <w:b w:val="1"/>
                <w:bCs w:val="1"/>
                <w:color w:val="C8504F"/>
              </w:rPr>
              <w:t xml:space="preserve">█ </w:t>
            </w:r>
            <w:r>
              <w:rPr>
                <w:rFonts w:ascii="Arial" w:cs="Arial" w:eastAsia="Arial" w:hAnsi="Arial"/>
                <w:sz w:val="16"/>
                <w:szCs w:val="16"/>
                <w:b w:val="1"/>
                <w:bCs w:val="1"/>
                <w:color w:val="000000"/>
              </w:rPr>
              <w:t>Professional Resourcing</w:t>
            </w:r>
          </w:p>
        </w:tc>
        <w:tc>
          <w:tcPr>
            <w:tcW w:w="4640" w:type="dxa"/>
            <w:vAlign w:val="bottom"/>
            <w:gridSpan w:val="2"/>
          </w:tcPr>
          <w:p>
            <w:pPr>
              <w:jc w:val="right"/>
              <w:ind w:right="488"/>
              <w:spacing w:after="0"/>
              <w:rPr>
                <w:sz w:val="20"/>
                <w:szCs w:val="20"/>
                <w:color w:val="auto"/>
              </w:rPr>
            </w:pPr>
            <w:r>
              <w:rPr>
                <w:rFonts w:ascii="Arial" w:cs="Arial" w:eastAsia="Arial" w:hAnsi="Arial"/>
                <w:sz w:val="16"/>
                <w:szCs w:val="16"/>
                <w:b w:val="1"/>
                <w:bCs w:val="1"/>
                <w:color w:val="598978"/>
              </w:rPr>
              <w:t xml:space="preserve">█ </w:t>
            </w:r>
            <w:r>
              <w:rPr>
                <w:rFonts w:ascii="Arial" w:cs="Arial" w:eastAsia="Arial" w:hAnsi="Arial"/>
                <w:sz w:val="16"/>
                <w:szCs w:val="16"/>
                <w:b w:val="1"/>
                <w:bCs w:val="1"/>
                <w:color w:val="000000"/>
              </w:rPr>
              <w:t>Permanent Recruitment (excluding RPO)</w:t>
            </w:r>
          </w:p>
        </w:tc>
      </w:tr>
      <w:tr>
        <w:trPr>
          <w:trHeight w:val="489"/>
        </w:trPr>
        <w:tc>
          <w:tcPr>
            <w:tcW w:w="3840" w:type="dxa"/>
            <w:vAlign w:val="bottom"/>
          </w:tcPr>
          <w:p>
            <w:pPr>
              <w:ind w:left="1240"/>
              <w:spacing w:after="0"/>
              <w:rPr>
                <w:sz w:val="20"/>
                <w:szCs w:val="20"/>
                <w:color w:val="auto"/>
              </w:rPr>
            </w:pPr>
            <w:r>
              <w:rPr>
                <w:rFonts w:ascii="Arial" w:cs="Arial" w:eastAsia="Arial" w:hAnsi="Arial"/>
                <w:sz w:val="16"/>
                <w:szCs w:val="16"/>
                <w:b w:val="1"/>
                <w:bCs w:val="1"/>
                <w:color w:val="6698C2"/>
              </w:rPr>
              <w:t xml:space="preserve">█ </w:t>
            </w:r>
            <w:r>
              <w:rPr>
                <w:rFonts w:ascii="Arial" w:cs="Arial" w:eastAsia="Arial" w:hAnsi="Arial"/>
                <w:sz w:val="16"/>
                <w:szCs w:val="16"/>
                <w:b w:val="1"/>
                <w:bCs w:val="1"/>
                <w:color w:val="000000"/>
              </w:rPr>
              <w:t>ManpowerGroup Solutions</w:t>
            </w:r>
          </w:p>
        </w:tc>
        <w:tc>
          <w:tcPr>
            <w:tcW w:w="2960" w:type="dxa"/>
            <w:vAlign w:val="bottom"/>
          </w:tcPr>
          <w:p>
            <w:pPr>
              <w:ind w:left="360"/>
              <w:spacing w:after="0"/>
              <w:rPr>
                <w:sz w:val="20"/>
                <w:szCs w:val="20"/>
                <w:color w:val="auto"/>
              </w:rPr>
            </w:pPr>
            <w:r>
              <w:rPr>
                <w:rFonts w:ascii="Arial" w:cs="Arial" w:eastAsia="Arial" w:hAnsi="Arial"/>
                <w:sz w:val="16"/>
                <w:szCs w:val="16"/>
                <w:b w:val="1"/>
                <w:bCs w:val="1"/>
                <w:color w:val="C46D24"/>
              </w:rPr>
              <w:t xml:space="preserve">█ </w:t>
            </w:r>
            <w:r>
              <w:rPr>
                <w:rFonts w:ascii="Arial" w:cs="Arial" w:eastAsia="Arial" w:hAnsi="Arial"/>
                <w:sz w:val="16"/>
                <w:szCs w:val="16"/>
                <w:b w:val="1"/>
                <w:bCs w:val="1"/>
                <w:color w:val="000000"/>
              </w:rPr>
              <w:t>Talent &amp; Career Management</w:t>
            </w:r>
          </w:p>
        </w:tc>
        <w:tc>
          <w:tcPr>
            <w:tcW w:w="3080" w:type="dxa"/>
            <w:vAlign w:val="bottom"/>
          </w:tcPr>
          <w:p>
            <w:pPr>
              <w:ind w:left="200"/>
              <w:spacing w:after="0"/>
              <w:rPr>
                <w:sz w:val="20"/>
                <w:szCs w:val="20"/>
                <w:color w:val="auto"/>
              </w:rPr>
            </w:pPr>
            <w:r>
              <w:rPr>
                <w:rFonts w:ascii="Arial" w:cs="Arial" w:eastAsia="Arial" w:hAnsi="Arial"/>
                <w:sz w:val="16"/>
                <w:szCs w:val="16"/>
                <w:b w:val="1"/>
                <w:bCs w:val="1"/>
                <w:color w:val="auto"/>
              </w:rPr>
              <w:t>█ ManpowerGroup - Total</w:t>
            </w:r>
          </w:p>
        </w:tc>
        <w:tc>
          <w:tcPr>
            <w:tcW w:w="1560" w:type="dxa"/>
            <w:vAlign w:val="bottom"/>
          </w:tcPr>
          <w:p>
            <w:pPr>
              <w:jc w:val="right"/>
              <w:ind w:right="408"/>
              <w:spacing w:after="0"/>
              <w:rPr>
                <w:sz w:val="20"/>
                <w:szCs w:val="20"/>
                <w:color w:val="auto"/>
              </w:rPr>
            </w:pPr>
            <w:r>
              <w:rPr>
                <w:rFonts w:ascii="Arial" w:cs="Arial" w:eastAsia="Arial" w:hAnsi="Arial"/>
                <w:sz w:val="14"/>
                <w:szCs w:val="14"/>
                <w:color w:val="898989"/>
              </w:rPr>
              <w:t>19</w:t>
            </w:r>
          </w:p>
        </w:tc>
      </w:tr>
      <w:tr>
        <w:trPr>
          <w:trHeight w:val="609"/>
        </w:trPr>
        <w:tc>
          <w:tcPr>
            <w:tcW w:w="38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52" w:right="219" w:bottom="1440" w:gutter="0" w:footer="0" w:header="0"/>
          <w:type w:val="continuous"/>
        </w:sectPr>
      </w:pPr>
    </w:p>
    <w:bookmarkStart w:id="30" w:name="page31"/>
    <w:bookmarkEnd w:id="30"/>
    <w:p>
      <w:pPr>
        <w:spacing w:after="0"/>
        <w:tabs>
          <w:tab w:leader="none" w:pos="9680" w:val="left"/>
        </w:tabs>
        <w:rPr>
          <w:sz w:val="20"/>
          <w:szCs w:val="20"/>
          <w:color w:val="auto"/>
        </w:rPr>
      </w:pPr>
      <w:r>
        <w:rPr>
          <w:rFonts w:ascii="Arial" w:cs="Arial" w:eastAsia="Arial" w:hAnsi="Arial"/>
          <w:sz w:val="26"/>
          <w:szCs w:val="26"/>
          <w:b w:val="1"/>
          <w:bCs w:val="1"/>
          <w:color w:val="FFFFFF"/>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2011 2</w:t>
      </w:r>
      <w:r>
        <w:rPr>
          <w:rFonts w:ascii="Arial" w:cs="Arial" w:eastAsia="Arial" w:hAnsi="Arial"/>
          <w:sz w:val="17"/>
          <w:szCs w:val="17"/>
          <w:b w:val="1"/>
          <w:bCs w:val="1"/>
          <w:color w:val="FFFFFF"/>
        </w:rPr>
        <w:t>nd</w:t>
      </w:r>
      <w:r>
        <w:rPr>
          <w:rFonts w:ascii="Arial" w:cs="Arial" w:eastAsia="Arial" w:hAnsi="Arial"/>
          <w:sz w:val="26"/>
          <w:szCs w:val="26"/>
          <w:b w:val="1"/>
          <w:bCs w:val="1"/>
          <w:color w:val="FFFFFF"/>
        </w:rPr>
        <w:t xml:space="preserve"> Quarter Results</w:t>
      </w:r>
      <w:r>
        <w:rPr>
          <w:sz w:val="20"/>
          <w:szCs w:val="20"/>
          <w:color w:val="auto"/>
        </w:rPr>
        <w:tab/>
      </w:r>
      <w:r>
        <w:rPr>
          <w:rFonts w:ascii="Arial" w:cs="Arial" w:eastAsia="Arial" w:hAnsi="Arial"/>
          <w:sz w:val="25"/>
          <w:szCs w:val="25"/>
          <w:b w:val="1"/>
          <w:bCs w:val="1"/>
          <w:color w:val="FFFFFF"/>
        </w:rPr>
        <w:t>July</w:t>
      </w:r>
    </w:p>
    <w:p>
      <w:pPr>
        <w:spacing w:after="0" w:line="33"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2011</w:t>
      </w:r>
    </w:p>
    <w:p>
      <w:pPr>
        <w:spacing w:after="0" w:line="195" w:lineRule="exact"/>
        <w:rPr>
          <w:sz w:val="20"/>
          <w:szCs w:val="20"/>
          <w:color w:val="auto"/>
        </w:rPr>
      </w:pPr>
    </w:p>
    <w:p>
      <w:pPr>
        <w:ind w:left="420" w:right="800"/>
        <w:spacing w:after="0" w:line="242" w:lineRule="auto"/>
        <w:rPr>
          <w:sz w:val="20"/>
          <w:szCs w:val="20"/>
          <w:color w:val="auto"/>
        </w:rPr>
      </w:pPr>
      <w:r>
        <w:rPr>
          <w:rFonts w:ascii="Arial" w:cs="Arial" w:eastAsia="Arial" w:hAnsi="Arial"/>
          <w:sz w:val="46"/>
          <w:szCs w:val="46"/>
          <w:color w:val="6390C6"/>
        </w:rPr>
        <w:t>Employers foresee a more flexible and virtual labor force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24"/>
          <w:szCs w:val="24"/>
          <w:b w:val="1"/>
          <w:bCs w:val="1"/>
          <w:color w:val="auto"/>
        </w:rPr>
        <w:t>How will your company’s workforce change over the next 5 years?</w:t>
      </w:r>
    </w:p>
    <w:p>
      <w:pPr>
        <w:sectPr>
          <w:pgSz w:w="11900" w:h="16838" w:orient="portrait"/>
          <w:cols w:equalWidth="0" w:num="1">
            <w:col w:w="10520"/>
          </w:cols>
          <w:pgMar w:left="680" w:top="452" w:right="699" w:bottom="1440" w:gutter="0" w:footer="0" w:header="0"/>
        </w:sectPr>
      </w:pPr>
    </w:p>
    <w:tbl>
      <w:tblPr>
        <w:tblLayout w:type="fixed"/>
        <w:tblInd w:w="48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r>
              <w:rPr>
                <w:rFonts w:ascii="Arial" w:cs="Arial" w:eastAsia="Arial" w:hAnsi="Arial"/>
                <w:sz w:val="18"/>
                <w:szCs w:val="18"/>
                <w:b w:val="1"/>
                <w:bCs w:val="1"/>
                <w:color w:val="auto"/>
              </w:rPr>
              <w:t>% of respondents (n = 2,000)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3360" w:type="dxa"/>
            <w:vAlign w:val="bottom"/>
          </w:tcPr>
          <w:p>
            <w:pPr>
              <w:ind w:left="400"/>
              <w:spacing w:after="0"/>
              <w:rPr>
                <w:sz w:val="20"/>
                <w:szCs w:val="20"/>
                <w:color w:val="auto"/>
              </w:rPr>
            </w:pPr>
            <w:r>
              <w:rPr>
                <w:rFonts w:ascii="Arial" w:cs="Arial" w:eastAsia="Arial" w:hAnsi="Arial"/>
                <w:sz w:val="22"/>
                <w:szCs w:val="22"/>
                <w:color w:val="auto"/>
              </w:rPr>
              <w:t>More part-time, temporary,</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60" w:type="dxa"/>
            <w:vAlign w:val="bottom"/>
          </w:tcPr>
          <w:p>
            <w:pPr>
              <w:ind w:left="400"/>
              <w:spacing w:after="0"/>
              <w:rPr>
                <w:sz w:val="20"/>
                <w:szCs w:val="20"/>
                <w:color w:val="auto"/>
              </w:rPr>
            </w:pPr>
            <w:r>
              <w:rPr>
                <w:rFonts w:ascii="Arial" w:cs="Arial" w:eastAsia="Arial" w:hAnsi="Arial"/>
                <w:sz w:val="22"/>
                <w:szCs w:val="22"/>
                <w:color w:val="auto"/>
              </w:rPr>
              <w:t>or contract workers</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7"/>
        </w:trPr>
        <w:tc>
          <w:tcPr>
            <w:tcW w:w="3360" w:type="dxa"/>
            <w:vAlign w:val="bottom"/>
          </w:tcPr>
          <w:p>
            <w:pPr>
              <w:ind w:left="420"/>
              <w:spacing w:after="0"/>
              <w:rPr>
                <w:sz w:val="20"/>
                <w:szCs w:val="20"/>
                <w:color w:val="auto"/>
              </w:rPr>
            </w:pPr>
            <w:r>
              <w:rPr>
                <w:rFonts w:ascii="Arial" w:cs="Arial" w:eastAsia="Arial" w:hAnsi="Arial"/>
                <w:sz w:val="22"/>
                <w:szCs w:val="22"/>
                <w:color w:val="auto"/>
              </w:rPr>
              <w:t>More telecommuting</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3360" w:type="dxa"/>
            <w:vAlign w:val="bottom"/>
          </w:tcPr>
          <w:p>
            <w:pPr>
              <w:ind w:left="420"/>
              <w:spacing w:after="0"/>
              <w:rPr>
                <w:sz w:val="20"/>
                <w:szCs w:val="20"/>
                <w:color w:val="auto"/>
              </w:rPr>
            </w:pPr>
            <w:r>
              <w:rPr>
                <w:rFonts w:ascii="Arial" w:cs="Arial" w:eastAsia="Arial" w:hAnsi="Arial"/>
                <w:sz w:val="22"/>
                <w:szCs w:val="22"/>
                <w:color w:val="auto"/>
              </w:rPr>
              <w:t>More offshored or</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60" w:type="dxa"/>
            <w:vAlign w:val="bottom"/>
          </w:tcPr>
          <w:p>
            <w:pPr>
              <w:ind w:left="420"/>
              <w:spacing w:after="0"/>
              <w:rPr>
                <w:sz w:val="20"/>
                <w:szCs w:val="20"/>
                <w:color w:val="auto"/>
              </w:rPr>
            </w:pPr>
            <w:r>
              <w:rPr>
                <w:rFonts w:ascii="Arial" w:cs="Arial" w:eastAsia="Arial" w:hAnsi="Arial"/>
                <w:sz w:val="22"/>
                <w:szCs w:val="22"/>
                <w:color w:val="auto"/>
              </w:rPr>
              <w:t>outsourced workers</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360" w:type="dxa"/>
            <w:vAlign w:val="bottom"/>
          </w:tcPr>
          <w:p>
            <w:pPr>
              <w:ind w:left="420"/>
              <w:spacing w:after="0"/>
              <w:rPr>
                <w:sz w:val="20"/>
                <w:szCs w:val="20"/>
                <w:color w:val="auto"/>
              </w:rPr>
            </w:pPr>
            <w:r>
              <w:rPr>
                <w:rFonts w:ascii="Arial" w:cs="Arial" w:eastAsia="Arial" w:hAnsi="Arial"/>
                <w:sz w:val="22"/>
                <w:szCs w:val="22"/>
                <w:color w:val="auto"/>
              </w:rPr>
              <w:t>More older workers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60" w:type="dxa"/>
            <w:vAlign w:val="bottom"/>
          </w:tcPr>
          <w:p>
            <w:pPr>
              <w:ind w:left="420"/>
              <w:spacing w:after="0"/>
              <w:rPr>
                <w:sz w:val="20"/>
                <w:szCs w:val="20"/>
                <w:color w:val="auto"/>
              </w:rPr>
            </w:pPr>
            <w:r>
              <w:rPr>
                <w:rFonts w:ascii="Arial" w:cs="Arial" w:eastAsia="Arial" w:hAnsi="Arial"/>
                <w:sz w:val="22"/>
                <w:szCs w:val="22"/>
                <w:color w:val="auto"/>
              </w:rPr>
              <w:t>(aged 55+)</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7"/>
        </w:trPr>
        <w:tc>
          <w:tcPr>
            <w:tcW w:w="3360" w:type="dxa"/>
            <w:vAlign w:val="bottom"/>
          </w:tcPr>
          <w:p>
            <w:pPr>
              <w:ind w:left="440"/>
              <w:spacing w:after="0"/>
              <w:rPr>
                <w:sz w:val="20"/>
                <w:szCs w:val="20"/>
                <w:color w:val="auto"/>
              </w:rPr>
            </w:pPr>
            <w:r>
              <w:rPr>
                <w:rFonts w:ascii="Arial" w:cs="Arial" w:eastAsia="Arial" w:hAnsi="Arial"/>
                <w:sz w:val="22"/>
                <w:szCs w:val="22"/>
                <w:color w:val="auto"/>
              </w:rPr>
              <w:t>Don’t know</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60" w:type="dxa"/>
            <w:vAlign w:val="bottom"/>
          </w:tcPr>
          <w:p>
            <w:pPr>
              <w:ind w:left="440"/>
              <w:spacing w:after="0"/>
              <w:rPr>
                <w:sz w:val="20"/>
                <w:szCs w:val="20"/>
                <w:color w:val="auto"/>
              </w:rPr>
            </w:pPr>
            <w:r>
              <w:rPr>
                <w:rFonts w:ascii="Arial" w:cs="Arial" w:eastAsia="Arial" w:hAnsi="Arial"/>
                <w:sz w:val="22"/>
                <w:szCs w:val="22"/>
                <w:color w:val="auto"/>
              </w:rPr>
              <w:t>Other types of changes</w:t>
            </w:r>
          </w:p>
        </w:tc>
        <w:tc>
          <w:tcPr>
            <w:tcW w:w="8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2.9%</w:t>
            </w:r>
          </w:p>
        </w:tc>
        <w:tc>
          <w:tcPr>
            <w:tcW w:w="0" w:type="dxa"/>
            <w:vAlign w:val="bottom"/>
          </w:tcPr>
          <w:p>
            <w:pPr>
              <w:spacing w:after="0"/>
              <w:rPr>
                <w:sz w:val="1"/>
                <w:szCs w:val="1"/>
                <w:color w:val="auto"/>
              </w:rPr>
            </w:pPr>
          </w:p>
        </w:tc>
      </w:tr>
      <w:tr>
        <w:trPr>
          <w:trHeight w:val="125"/>
        </w:trPr>
        <w:tc>
          <w:tcPr>
            <w:tcW w:w="3360" w:type="dxa"/>
            <w:vAlign w:val="bottom"/>
            <w:vMerge w:val="restart"/>
          </w:tcPr>
          <w:p>
            <w:pPr>
              <w:ind w:left="440"/>
              <w:spacing w:after="0"/>
              <w:rPr>
                <w:sz w:val="20"/>
                <w:szCs w:val="20"/>
                <w:color w:val="auto"/>
              </w:rPr>
            </w:pPr>
            <w:r>
              <w:rPr>
                <w:rFonts w:ascii="Arial" w:cs="Arial" w:eastAsia="Arial" w:hAnsi="Arial"/>
                <w:sz w:val="22"/>
                <w:szCs w:val="22"/>
                <w:color w:val="auto"/>
              </w:rPr>
              <w:t>to the nature of work</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100"/>
        <w:spacing w:after="0"/>
        <w:rPr>
          <w:sz w:val="20"/>
          <w:szCs w:val="20"/>
          <w:color w:val="auto"/>
        </w:rPr>
      </w:pPr>
      <w:r>
        <w:rPr>
          <w:rFonts w:ascii="Arial" w:cs="Arial" w:eastAsia="Arial" w:hAnsi="Arial"/>
          <w:sz w:val="22"/>
          <w:szCs w:val="22"/>
          <w:b w:val="1"/>
          <w:bCs w:val="1"/>
          <w:color w:val="auto"/>
        </w:rPr>
        <w:t>57.8%</w:t>
      </w: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25.5%</w:t>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21.5%</w:t>
      </w: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19.9%</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16.8%</w:t>
      </w:r>
    </w:p>
    <w:p>
      <w:pPr>
        <w:spacing w:after="0" w:line="1048" w:lineRule="exact"/>
        <w:rPr>
          <w:sz w:val="20"/>
          <w:szCs w:val="20"/>
          <w:color w:val="auto"/>
        </w:rPr>
      </w:pPr>
    </w:p>
    <w:p>
      <w:pPr>
        <w:sectPr>
          <w:pgSz w:w="11900" w:h="16838" w:orient="portrait"/>
          <w:cols w:equalWidth="0" w:num="2">
            <w:col w:w="4960" w:space="720"/>
            <w:col w:w="4840"/>
          </w:cols>
          <w:pgMar w:left="680" w:top="452"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Source: McKinsey Global Institute US Jobs Survey, 2011; McKinsey Global Institute analysis</w:t>
      </w:r>
    </w:p>
    <w:p>
      <w:pPr>
        <w:jc w:val="right"/>
        <w:spacing w:after="0"/>
        <w:rPr>
          <w:sz w:val="20"/>
          <w:szCs w:val="20"/>
          <w:color w:val="auto"/>
        </w:rPr>
      </w:pPr>
      <w:r>
        <w:rPr>
          <w:rFonts w:ascii="Arial" w:cs="Arial" w:eastAsia="Arial" w:hAnsi="Arial"/>
          <w:sz w:val="14"/>
          <w:szCs w:val="14"/>
          <w:color w:val="89898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435610</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452" w:right="69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980"/>
        <w:spacing w:after="0"/>
        <w:rPr>
          <w:sz w:val="20"/>
          <w:szCs w:val="20"/>
          <w:color w:val="auto"/>
        </w:rPr>
      </w:pPr>
      <w:r>
        <w:rPr>
          <w:rFonts w:ascii="Arial" w:cs="Arial" w:eastAsia="Arial" w:hAnsi="Arial"/>
          <w:sz w:val="76"/>
          <w:szCs w:val="76"/>
          <w:color w:val="FFFFFF"/>
        </w:rPr>
        <w:t>Questions</w:t>
      </w:r>
    </w:p>
    <w:p>
      <w:pPr>
        <w:sectPr>
          <w:pgSz w:w="11900" w:h="16838" w:orient="portrait"/>
          <w:cols w:equalWidth="0" w:num="1">
            <w:col w:w="9019"/>
          </w:cols>
          <w:pgMar w:left="1440" w:top="1440" w:right="1440"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lvl w:ilvl="1">
      <w:lvlJc w:val="left"/>
      <w:lvlText w:val="(%2)"/>
      <w:numFmt w:val="lowerLetter"/>
      <w:start w:val="2"/>
    </w:lvl>
  </w:abstractNum>
  <w:abstractNum w:abstractNumId="11">
    <w:nsid w:val="7FDCC233"/>
    <w:multiLevelType w:val="hybridMultilevel"/>
    <w:lvl w:ilvl="0">
      <w:lvlJc w:val="left"/>
      <w:lvlText w:val="a"/>
      <w:numFmt w:val="bullet"/>
      <w:start w:val="1"/>
    </w:lvl>
  </w:abstractNum>
  <w:abstractNum w:abstractNumId="12">
    <w:nsid w:val="1BEFD79F"/>
    <w:multiLevelType w:val="hybridMultilevel"/>
    <w:lvl w:ilvl="0">
      <w:lvlJc w:val="left"/>
      <w:lvlText w:val="\emdash "/>
      <w:numFmt w:val="bullet"/>
      <w:start w:val="1"/>
    </w:lvl>
  </w:abstractNum>
  <w:abstractNum w:abstractNumId="13">
    <w:nsid w:val="41A7C4C9"/>
    <w:multiLevelType w:val="hybridMultilevel"/>
    <w:lvl w:ilvl="0">
      <w:lvlJc w:val="left"/>
      <w:lvlText w:val="\emdash "/>
      <w:numFmt w:val="bullet"/>
      <w:start w:val="1"/>
    </w:lvl>
  </w:abstractNum>
  <w:abstractNum w:abstractNumId="14">
    <w:nsid w:val="6B68079A"/>
    <w:multiLevelType w:val="hybridMultilevel"/>
    <w:lvl w:ilvl="0">
      <w:lvlJc w:val="left"/>
      <w:lvlText w:val="\emdash "/>
      <w:numFmt w:val="bullet"/>
      <w:start w:val="1"/>
    </w:lvl>
  </w:abstractNum>
  <w:abstractNum w:abstractNumId="15">
    <w:nsid w:val="4E6AFB66"/>
    <w:multiLevelType w:val="hybridMultilevel"/>
    <w:lvl w:ilvl="0">
      <w:lvlJc w:val="left"/>
      <w:lvlText w:val="\emdash "/>
      <w:numFmt w:val="bullet"/>
      <w:start w:val="1"/>
    </w:lvl>
  </w:abstractNum>
  <w:abstractNum w:abstractNumId="16">
    <w:nsid w:val="25E45D32"/>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2019-12-10T10:27:48Z</dcterms:created>
  <dcterms:modified xsi:type="dcterms:W3CDTF">2019-12-10T10:27:48Z</dcterms:modified>
</cp:coreProperties>
</file>