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2018</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96"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496"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(Section 232.405 of this chapter) during the preceding 12 months (or for such shorter period that the Registrant was required to submit).</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96" w:right="239" w:bottom="1440" w:gutter="0" w:footer="0" w:header="0"/>
          <w:type w:val="continuous"/>
        </w:sectPr>
      </w:pPr>
    </w:p>
    <w:p>
      <w:pPr>
        <w:spacing w:after="0" w:line="34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120"/>
            <w:col w:w="4340"/>
          </w:cols>
          <w:pgMar w:left="240" w:top="496"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140"/>
            <w:col w:w="3320" w:space="720"/>
            <w:col w:w="1980" w:space="140"/>
            <w:col w:w="3560"/>
          </w:cols>
          <w:pgMar w:left="240" w:top="496"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2">
            <w:col w:w="2000" w:space="140"/>
            <w:col w:w="9280"/>
          </w:cols>
          <w:pgMar w:left="240" w:top="496" w:right="239" w:bottom="1440" w:gutter="0" w:footer="0" w:header="0"/>
          <w:type w:val="continuous"/>
        </w:sectPr>
      </w:pPr>
    </w:p>
    <w:p>
      <w:pPr>
        <w:spacing w:after="0" w:line="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at November 6, 2018</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Common Stock, $.01 par value</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61,831,498</w:t>
            </w:r>
          </w:p>
        </w:tc>
      </w:tr>
    </w:tbl>
    <w:p>
      <w:pPr>
        <w:sectPr>
          <w:pgSz w:w="11900" w:h="16838" w:orient="portrait"/>
          <w:cols w:equalWidth="0" w:num="1">
            <w:col w:w="11420"/>
          </w:cols>
          <w:pgMar w:left="240" w:top="49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200" w:type="dxa"/>
            <w:vAlign w:val="bottom"/>
            <w:gridSpan w:val="2"/>
            <w:shd w:val="clear" w:color="auto" w:fill="CCEEFF"/>
          </w:tcPr>
          <w:p>
            <w:pPr>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2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
              <w:r>
                <w:rPr>
                  <w:rFonts w:ascii="Arial" w:cs="Arial" w:eastAsia="Arial" w:hAnsi="Arial"/>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Cash Flows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r>
              <w:rPr>
                <w:rFonts w:ascii="Arial" w:cs="Arial" w:eastAsia="Arial" w:hAnsi="Arial"/>
                <w:sz w:val="18"/>
                <w:szCs w:val="18"/>
                <w:color w:val="auto"/>
              </w:rPr>
              <w:t>21</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8200" w:type="dxa"/>
            <w:vAlign w:val="bottom"/>
            <w:gridSpan w:val="2"/>
          </w:tcPr>
          <w:p>
            <w:pPr>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5">
              <w:r>
                <w:rPr>
                  <w:rFonts w:ascii="Arial" w:cs="Arial" w:eastAsia="Arial" w:hAnsi="Arial"/>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820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40"/>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PART II</w:t>
              </w:r>
            </w:hyperlink>
          </w:p>
        </w:tc>
        <w:tc>
          <w:tcPr>
            <w:tcW w:w="7180" w:type="dxa"/>
            <w:vAlign w:val="bottom"/>
          </w:tcPr>
          <w:p>
            <w:pPr>
              <w:ind w:left="500"/>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7">
              <w:r>
                <w:rPr>
                  <w:rFonts w:ascii="Arial" w:cs="Arial" w:eastAsia="Arial" w:hAnsi="Arial"/>
                  <w:sz w:val="18"/>
                  <w:szCs w:val="18"/>
                  <w:color w:val="auto"/>
                </w:rPr>
                <w:t>Item 2</w:t>
              </w:r>
            </w:hyperlink>
          </w:p>
        </w:tc>
        <w:tc>
          <w:tcPr>
            <w:tcW w:w="7180" w:type="dxa"/>
            <w:vAlign w:val="bottom"/>
            <w:tcBorders>
              <w:bottom w:val="single" w:sz="8" w:color="CCEEFF"/>
            </w:tcBorders>
            <w:shd w:val="clear" w:color="auto" w:fill="CCEEFF"/>
          </w:tcPr>
          <w:p>
            <w:pPr>
              <w:ind w:left="500"/>
              <w:spacing w:after="0"/>
              <w:rPr>
                <w:rFonts w:ascii="Arial" w:cs="Arial" w:eastAsia="Arial" w:hAnsi="Arial"/>
                <w:sz w:val="18"/>
                <w:szCs w:val="18"/>
                <w:color w:val="auto"/>
              </w:rPr>
            </w:pPr>
            <w:hyperlink w:anchor="page37">
              <w:r>
                <w:rPr>
                  <w:rFonts w:ascii="Arial" w:cs="Arial" w:eastAsia="Arial" w:hAnsi="Arial"/>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700" w:type="dxa"/>
            <w:vAlign w:val="bottom"/>
          </w:tcPr>
          <w:p>
            <w:pPr>
              <w:ind w:left="40"/>
              <w:spacing w:after="0"/>
              <w:rPr>
                <w:rFonts w:ascii="Arial" w:cs="Arial" w:eastAsia="Arial" w:hAnsi="Arial"/>
                <w:sz w:val="18"/>
                <w:szCs w:val="18"/>
                <w:color w:val="auto"/>
              </w:rPr>
            </w:pPr>
            <w:hyperlink w:anchor="page37">
              <w:r>
                <w:rPr>
                  <w:rFonts w:ascii="Arial" w:cs="Arial" w:eastAsia="Arial" w:hAnsi="Arial"/>
                  <w:sz w:val="18"/>
                  <w:szCs w:val="18"/>
                  <w:color w:val="auto"/>
                </w:rPr>
                <w:t>Item 5</w:t>
              </w:r>
            </w:hyperlink>
          </w:p>
        </w:tc>
        <w:tc>
          <w:tcPr>
            <w:tcW w:w="7180" w:type="dxa"/>
            <w:vAlign w:val="bottom"/>
          </w:tcPr>
          <w:p>
            <w:pPr>
              <w:ind w:left="500"/>
              <w:spacing w:after="0"/>
              <w:rPr>
                <w:rFonts w:ascii="Arial" w:cs="Arial" w:eastAsia="Arial" w:hAnsi="Arial"/>
                <w:sz w:val="18"/>
                <w:szCs w:val="18"/>
                <w:color w:val="auto"/>
              </w:rPr>
            </w:pPr>
            <w:hyperlink w:anchor="page37">
              <w:r>
                <w:rPr>
                  <w:rFonts w:ascii="Arial" w:cs="Arial" w:eastAsia="Arial" w:hAnsi="Arial"/>
                  <w:sz w:val="18"/>
                  <w:szCs w:val="18"/>
                  <w:color w:val="auto"/>
                </w:rPr>
                <w:t>Other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1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8">
              <w:r>
                <w:rPr>
                  <w:rFonts w:ascii="Arial" w:cs="Arial" w:eastAsia="Arial" w:hAnsi="Arial"/>
                  <w:sz w:val="18"/>
                  <w:szCs w:val="18"/>
                  <w:color w:val="auto"/>
                </w:rPr>
                <w:t>Item 6</w:t>
              </w:r>
            </w:hyperlink>
          </w:p>
        </w:tc>
        <w:tc>
          <w:tcPr>
            <w:tcW w:w="7180" w:type="dxa"/>
            <w:vAlign w:val="bottom"/>
            <w:tcBorders>
              <w:bottom w:val="single" w:sz="8" w:color="CCEEFF"/>
            </w:tcBorders>
            <w:shd w:val="clear" w:color="auto" w:fill="CCEEFF"/>
          </w:tcPr>
          <w:p>
            <w:pPr>
              <w:ind w:left="500"/>
              <w:spacing w:after="0"/>
              <w:rPr>
                <w:rFonts w:ascii="Arial" w:cs="Arial" w:eastAsia="Arial" w:hAnsi="Arial"/>
                <w:sz w:val="18"/>
                <w:szCs w:val="18"/>
                <w:color w:val="auto"/>
              </w:rPr>
            </w:pPr>
            <w:hyperlink w:anchor="page38">
              <w:r>
                <w:rPr>
                  <w:rFonts w:ascii="Arial" w:cs="Arial" w:eastAsia="Arial" w:hAnsi="Arial"/>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700" w:type="dxa"/>
            <w:vAlign w:val="bottom"/>
            <w:shd w:val="clear" w:color="auto" w:fill="CCEEFF"/>
          </w:tcPr>
          <w:p>
            <w:pPr>
              <w:ind w:left="40"/>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SIGNATURES</w:t>
              </w:r>
            </w:hyperlink>
          </w:p>
        </w:tc>
        <w:tc>
          <w:tcPr>
            <w:tcW w:w="718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70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689.0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$114.2 and $110.8,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5,370.5</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6,171.2</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1,343.0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less accumulated amortization of $360.9 and $339.9,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927.7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2,554.7</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8,883.6</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2,248.7</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2,279.4</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447.7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490.9</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794.7</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469.4</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4,192.6</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4,810.4</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685.0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737.5</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1,215.6</w:t>
            </w:r>
          </w:p>
        </w:tc>
      </w:tr>
      <w:tr>
        <w:trPr>
          <w:trHeight w:val="297"/>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ManpowerGroup 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color w:val="auto"/>
              </w:rPr>
              <w:t>Common stock, $.01 par value, authorized 125,000,000 shares, issued 116,787,320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116,303,729 shares, respectively</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3,302.6</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3,060.7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2,713.0</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Treasury stock at cost, 53,476,900 and 50,226,525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(3,270.1)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(2,953.7)</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2,774.9</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2,857.6</w:t>
            </w:r>
          </w:p>
        </w:tc>
      </w:tr>
      <w:tr>
        <w:trPr>
          <w:trHeight w:val="257"/>
        </w:trPr>
        <w:tc>
          <w:tcPr>
            <w:tcW w:w="828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8,725.3</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8,883.6</w:t>
            </w: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15,396.8</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12,846.7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2,550.1</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1,998.3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551.8</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184.2</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329.1</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3"/>
                <w:szCs w:val="23"/>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4"/>
              </w:rPr>
              <w:t>Translation adjustments on net investment hedge, net of income taxes of $1.7,</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$(9.3), $7.5 and $(31.0), 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rPr>
              <w:t>Unrealized gain on investments, net of income taxes of $0.2 and $0.8,</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respectively, for 2017</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Reclassification of unrealized cumulative gain on investments, net of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6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7"/>
              </w:rPr>
              <w:t>taxes of $(3.4), included in retained earnings as of January 1, 2018 upon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3"/>
              </w:rPr>
              <w:t>adoption of new accounting guidance on financial instruments (See Note 12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6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 the Consolidated Financial Statements)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1"/>
              </w:rPr>
              <w:t>Defined benefit pension plans and retiree health care plan, net of income taxes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$0.0, $0.1, $0.1 and $0.3, 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464.6</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9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70"/>
        </w:trPr>
        <w:tc>
          <w:tcPr>
            <w:tcW w:w="9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9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Proceeds from the sale of investments,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Payments of contingent consideration for acquisitions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Payments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share-based award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9240" w:type="dxa"/>
            <w:vAlign w:val="bottom"/>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1"/>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2017 Annual Report on Form 10-K.</w:t>
      </w:r>
    </w:p>
    <w:p>
      <w:pPr>
        <w:spacing w:after="0" w:line="1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were to change and such change would more likely than not reduce the fair value of our reporting units below their carrying value.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2018 and determined that there was no impairment of our goodwill or our indefinite-lived intangible assets.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Significant assumptions used in our annual goodwill impairment test during the third quarter of 2018 included: expected future revenue growth rates, operating unit profit ("OUP") margins, working capital levels, discount rates ranging from 10.6% to 14.2% and a terminal value multiple. The expected future revenue growth rates and OUP margins were determined after taking into consideration our historical revenue growth rates and OUP margins, our assessment of future market potential, and our expectations of future business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April 2018, we sold substantially all of our French payroll tax credits earned in 2017 for net proceeds of $234.5 (€190.9). In March 2017, we sold a portion of our French payroll tax credits earned in 2016 for net proceeds of $143.5 (€133.0). We derecognized these receivables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evaluated events and transactions occurring after the balance sheet date through our filing date and have accrued or disclosed, if appropriate.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282A32"/>
        </w:rPr>
        <w:t>(2) Recently Issued Accounting Standards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282A32"/>
        </w:rPr>
        <w:t>In February 2016, the Financial Accounting Standards Board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guidance can be adopted using the modified retrospective approach applying to the earliest comparative period presented, or by recognizing a cumulative-effect adjustment to retained earnings in the period of adoption without restating prior periods. We have decided to adopt the guidance recognizing any cumulative-effect adjustment to retained earnings in 2019 without restating prior periods. The new guidance is effective for us in 2019. Based on a preliminary assessment, we expect the adoption of this guidance to have a material impact on our assets and liabilities due to the recognition of right-of-use assets and lease liabilities on our Consolidated Balance Sheets. However, we do not believe the adoption will have a material impact on our Consolidated Statements of Operations, but we are still finalizing our assessment of the impact. We have completed a preliminary qualitative assessment of our lease portfolio and are in the process of implementing a new lease software system, collecting lease data and designing processes and controls to account for our leases in accordance with the new guidance.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7"/>
          <w:szCs w:val="17"/>
          <w:color w:val="282A32"/>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The guidance is effective for us in 2019. We are currently assessing the impact of the adoption of this guidance on our Consolidated Financial Statements.</w:t>
      </w:r>
    </w:p>
    <w:p>
      <w:pPr>
        <w:spacing w:after="0" w:line="1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282A32"/>
        </w:rPr>
        <w:t>In February 2018, the FASB issued new guidance on reporting comprehensive income. The new guidance allows a reclassification from accumulated other comprehensive income to retained earnings for stranded tax effects resulting from the United States Tax Cuts and Jobs Act of 2017 (the "Tax Act"). The guidance is effective for us in 2019. We are currently assessing the impact of the adoption of this guidance on our Consolidated Financial Statements.</w:t>
      </w:r>
    </w:p>
    <w:p>
      <w:pPr>
        <w:spacing w:after="0" w:line="14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282A32"/>
        </w:rPr>
        <w:t>In June 2018, the FASB issued new guidance on the accounting for share-based payment awards. The guidance will make the accounting for share-based payment awards issued to nonemployees largely consistent with the accounting for share-based payment awards issued to employees. The guidance is effective for us in 2019. We do not expect the adoption of this guidance to have a material impact on our Consolidated Financial Statements.</w:t>
      </w:r>
    </w:p>
    <w:p>
      <w:pPr>
        <w:spacing w:after="0" w:line="14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282A32"/>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is effective for us in 2020. The adoption of this guidance will have no impact on our Consolidated Financial Statements.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282A32"/>
        </w:rPr>
        <w:t>In August 2018, the FASB issued new guidance on disclosures related to defined benefit plans. The guidance amends the current disclosure requirements to add, remove and clarify disclosure requirements for defined benefit pension and other postretirement plans. The guidance is effective for us in 2021. The adoption of this guidance will have no impact on our Consolidated Financial Statements.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282A32"/>
        </w:rPr>
        <w:t xml:space="preserve">In August 2018, the FASB issued new guidance on the accounting for internal-use software. </w:t>
      </w:r>
      <w:r>
        <w:rPr>
          <w:rFonts w:ascii="Arial" w:cs="Arial" w:eastAsia="Arial" w:hAnsi="Arial"/>
          <w:sz w:val="18"/>
          <w:szCs w:val="18"/>
          <w:color w:val="000000"/>
        </w:rPr>
        <w:t>The guidance aligns the accounting for costs incurred to</w:t>
      </w:r>
      <w:r>
        <w:rPr>
          <w:rFonts w:ascii="Arial" w:cs="Arial" w:eastAsia="Arial" w:hAnsi="Arial"/>
          <w:sz w:val="18"/>
          <w:szCs w:val="18"/>
          <w:color w:val="282A32"/>
        </w:rPr>
        <w:t xml:space="preserve"> </w:t>
      </w:r>
      <w:r>
        <w:rPr>
          <w:rFonts w:ascii="Arial" w:cs="Arial" w:eastAsia="Arial" w:hAnsi="Arial"/>
          <w:sz w:val="18"/>
          <w:szCs w:val="18"/>
          <w:color w:val="000000"/>
        </w:rPr>
        <w:t xml:space="preserve">implement a cloud computing arrangement that is a service arrangement with the guidance on capitalizing costs associated with developing or obtaining internal-use software. The guidance is effective for us in 2020. </w:t>
      </w:r>
      <w:r>
        <w:rPr>
          <w:rFonts w:ascii="Arial" w:cs="Arial" w:eastAsia="Arial" w:hAnsi="Arial"/>
          <w:sz w:val="18"/>
          <w:szCs w:val="18"/>
          <w:color w:val="282A32"/>
        </w:rPr>
        <w:t>We are assessing the impact of the adoption of this guidance on our Consolidated Financial</w:t>
      </w:r>
      <w:r>
        <w:rPr>
          <w:rFonts w:ascii="Arial" w:cs="Arial" w:eastAsia="Arial" w:hAnsi="Arial"/>
          <w:sz w:val="18"/>
          <w:szCs w:val="18"/>
          <w:color w:val="000000"/>
        </w:rPr>
        <w:t xml:space="preserve"> </w:t>
      </w:r>
      <w:r>
        <w:rPr>
          <w:rFonts w:ascii="Arial" w:cs="Arial" w:eastAsia="Arial" w:hAnsi="Arial"/>
          <w:sz w:val="18"/>
          <w:szCs w:val="18"/>
          <w:color w:val="282A32"/>
        </w:rPr>
        <w:t>Statements.</w:t>
      </w:r>
    </w:p>
    <w:p>
      <w:pPr>
        <w:spacing w:after="0" w:line="1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Adoption of New Accounting Guidance on Revenue Recognition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82A32"/>
        </w:rPr>
        <w:t>As of January 1, 2018, we adopted the new accounting guidance on revenue recognition using the modified retrospective approach applied to those contracts that were not completed as of January 1, 2018. Results for reporting periods beginning after January 1, 2018 are presented under the new guidance, while prior periods continue to be reported in accordance with previous accounting guidance. We determined that no cumulative effect adjustment to retained earnings was necessary upon adoption as there were no significant revenue recognition differences identified between the new and previous accounting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14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it is the unit of account in the new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8" w:right="279" w:bottom="1440" w:gutter="0" w:footer="0" w:header="0"/>
        </w:sectPr>
      </w:pPr>
    </w:p>
    <w:bookmarkStart w:id="8" w:name="page9"/>
    <w:bookmarkEnd w:id="8"/>
    <w:p>
      <w:pPr>
        <w:ind w:right="120"/>
        <w:spacing w:after="0" w:line="271" w:lineRule="auto"/>
        <w:rPr>
          <w:sz w:val="20"/>
          <w:szCs w:val="20"/>
          <w:color w:val="auto"/>
        </w:rPr>
      </w:pPr>
      <w:r>
        <w:rPr>
          <w:rFonts w:ascii="Arial" w:cs="Arial" w:eastAsia="Arial" w:hAnsi="Arial"/>
          <w:sz w:val="17"/>
          <w:szCs w:val="17"/>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vs. Agent</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 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allowed under the new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2018 related to remaining performance obligations, which are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Service Types</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Staffing and Interim</w:t>
      </w:r>
    </w:p>
    <w:p>
      <w:pPr>
        <w:spacing w:after="0" w:line="225" w:lineRule="exact"/>
        <w:rPr>
          <w:sz w:val="20"/>
          <w:szCs w:val="20"/>
          <w:color w:val="auto"/>
        </w:rPr>
      </w:pPr>
    </w:p>
    <w:p>
      <w:pPr>
        <w:jc w:val="both"/>
        <w:ind w:left="660" w:right="220"/>
        <w:spacing w:after="0" w:line="279"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225" w:lineRule="exact"/>
        <w:rPr>
          <w:sz w:val="20"/>
          <w:szCs w:val="20"/>
          <w:color w:val="auto"/>
        </w:rPr>
      </w:pPr>
    </w:p>
    <w:p>
      <w:pPr>
        <w:ind w:left="660" w:right="120"/>
        <w:spacing w:after="0" w:line="271" w:lineRule="auto"/>
        <w:rPr>
          <w:sz w:val="20"/>
          <w:szCs w:val="20"/>
          <w:color w:val="auto"/>
        </w:rPr>
      </w:pPr>
      <w:r>
        <w:rPr>
          <w:rFonts w:ascii="Arial" w:cs="Arial" w:eastAsia="Arial" w:hAnsi="Arial"/>
          <w:sz w:val="17"/>
          <w:szCs w:val="17"/>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Permanent Recruitment</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w:t>
      </w:r>
    </w:p>
    <w:p>
      <w:pPr>
        <w:spacing w:after="0" w:line="19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225" w:lineRule="exact"/>
        <w:rPr>
          <w:sz w:val="20"/>
          <w:szCs w:val="20"/>
          <w:color w:val="auto"/>
        </w:rPr>
      </w:pPr>
    </w:p>
    <w:p>
      <w:pPr>
        <w:ind w:left="640" w:hanging="320"/>
        <w:spacing w:after="0" w:line="25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186" w:lineRule="exact"/>
        <w:rPr>
          <w:rFonts w:ascii="Arial" w:cs="Arial" w:eastAsia="Arial" w:hAnsi="Arial"/>
          <w:sz w:val="18"/>
          <w:szCs w:val="18"/>
          <w:color w:val="auto"/>
        </w:rPr>
      </w:pPr>
    </w:p>
    <w:p>
      <w:pPr>
        <w:ind w:left="640" w:right="320" w:hanging="320"/>
        <w:spacing w:after="0" w:line="29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158" w:lineRule="exact"/>
        <w:rPr>
          <w:rFonts w:ascii="Arial" w:cs="Arial" w:eastAsia="Arial" w:hAnsi="Arial"/>
          <w:sz w:val="16"/>
          <w:szCs w:val="16"/>
          <w:color w:val="auto"/>
        </w:rPr>
      </w:pPr>
    </w:p>
    <w:p>
      <w:pPr>
        <w:ind w:left="640" w:right="260" w:hanging="320"/>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181" w:lineRule="exact"/>
        <w:rPr>
          <w:rFonts w:ascii="Arial" w:cs="Arial" w:eastAsia="Arial" w:hAnsi="Arial"/>
          <w:sz w:val="18"/>
          <w:szCs w:val="18"/>
          <w:color w:val="auto"/>
        </w:rPr>
      </w:pPr>
    </w:p>
    <w:p>
      <w:pPr>
        <w:ind w:left="640" w:right="120" w:hanging="320"/>
        <w:spacing w:after="0" w:line="302"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90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3 Months Ended September 30, 2018</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Southern</w:t>
            </w:r>
          </w:p>
        </w:tc>
        <w:tc>
          <w:tcPr>
            <w:tcW w:w="26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Service Types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Europe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APME</w:t>
            </w: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Right Management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Staffing and Interim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Outcome-Based Solutions and Consulting</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8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372.4</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Recruitment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8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81.8</w:t>
            </w: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5,418.7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gridSpan w:val="7"/>
          </w:tcPr>
          <w:p>
            <w:pPr>
              <w:jc w:val="right"/>
              <w:ind w:right="790"/>
              <w:spacing w:after="0"/>
              <w:rPr>
                <w:sz w:val="20"/>
                <w:szCs w:val="20"/>
                <w:color w:val="auto"/>
              </w:rPr>
            </w:pPr>
            <w:r>
              <w:rPr>
                <w:rFonts w:ascii="Arial" w:cs="Arial" w:eastAsia="Arial" w:hAnsi="Arial"/>
                <w:sz w:val="18"/>
                <w:szCs w:val="18"/>
                <w:b w:val="1"/>
                <w:bCs w:val="1"/>
                <w:color w:val="auto"/>
              </w:rPr>
              <w:t>3 Months Ended September 30,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Southern</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Right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APME</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114.2</w:t>
            </w:r>
          </w:p>
        </w:tc>
      </w:tr>
      <w:tr>
        <w:trPr>
          <w:trHeight w:val="27"/>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5,418.7</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9 Months Ended September 30, 2018</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Southern</w:t>
            </w:r>
          </w:p>
        </w:tc>
        <w:tc>
          <w:tcPr>
            <w:tcW w:w="26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Service Types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Europe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APME</w:t>
            </w: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Right Management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Staffing and Interim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14,727.6</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Outcome-Based Solutions and Consulting</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430.5</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212.8</w:t>
            </w:r>
          </w:p>
        </w:tc>
        <w:tc>
          <w:tcPr>
            <w:tcW w:w="8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1,130.0</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Recruitment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479.0</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8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261.4</w:t>
            </w: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16,598.0</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gridSpan w:val="7"/>
          </w:tcPr>
          <w:p>
            <w:pPr>
              <w:jc w:val="right"/>
              <w:ind w:right="790"/>
              <w:spacing w:after="0"/>
              <w:rPr>
                <w:sz w:val="20"/>
                <w:szCs w:val="20"/>
                <w:color w:val="auto"/>
              </w:rPr>
            </w:pPr>
            <w:r>
              <w:rPr>
                <w:rFonts w:ascii="Arial" w:cs="Arial" w:eastAsia="Arial" w:hAnsi="Arial"/>
                <w:sz w:val="18"/>
                <w:szCs w:val="18"/>
                <w:b w:val="1"/>
                <w:bCs w:val="1"/>
                <w:color w:val="auto"/>
              </w:rPr>
              <w:t>9 Months Ended September 30,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Southern</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Right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APME</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16,235.3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362.7</w:t>
            </w:r>
          </w:p>
        </w:tc>
      </w:tr>
      <w:tr>
        <w:trPr>
          <w:trHeight w:val="27"/>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16,598.0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7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deferred revenue was $31.8 at September 30, 2018 and $48.0 at December 31, 2017. The decrease is due to $47.2 of revenues recognized related to amounts that were included in the December 31, 2017 balance, partially offset by payments or amounts due in advance of satisfying our performance obligations in the first nine months of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September 30, 2018 and 2017, we recognized share-based compensation expense of $6.7 and $6.6, respectively, and $19.5 and $21.4 for the nine months ended September 30, 2018 and 2017,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$4.7 and $42.9 for the nine months ended September 30, 2018 and 2017, respectively.</w:t>
      </w:r>
    </w:p>
    <w:p>
      <w:pPr>
        <w:spacing w:after="0" w:line="18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nine months ended September 30, 2018, the total cash consideration for acquisitions, net of cash acquired, was $50.9, the majority of which took place in the Netherlands. This balance includes initial acquisition payments of $8.2 and contingent consideration payments of $42.7 ($18.6 of which was recognized as a liability at the acquisition date). During the nine months ended September 30, 2017, the total cash consideration for acquisitions, net of cash acquired, was $40.2, which includes initial acquisition payments of $27.3 and contingent consideration related to previous acquisitions of $12.9, of which $10.3 was related to our 2015 acquisition of 7S Group GmbH ("7S") in Germany.</w:t>
      </w:r>
    </w:p>
    <w:p>
      <w:pPr>
        <w:spacing w:after="0" w:line="19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On April 26, 2017, the sellers of 7S formally disputed the contingent consideration related to the acquisition and are claiming an additional $24.1 (€20.8), plus interest. We believe no further amounts are due and intend to vigorously dispute their claims in arbitration. We are not currently able to predict the outcome of the arbitration or the timing of any resolution, and consequently, no amounts have been recorded in the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1, 2018, we adopted the new accounting guidance on statement of cash flows. The guidance provides classification requirements for certain cash receipts and cash payments. During the first nine months of 2018, we classified $24.1 of payments which were in excess of the contingent consideration liabilities initially recognized on the acquisition date as operating cash flows. The excess cash payments for contingent consideration liabilities made during the first nine months of 2017 were not material.</w:t>
      </w:r>
    </w:p>
    <w:p>
      <w:pPr>
        <w:spacing w:after="0" w:line="18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net restructuring costs of $39.3 and $34.5 during the nine months ended September 30, 2018 and 2017, respectively, in selling and administrative expenses, primarily related to severances and office closures and consolidations in multiple countries and territories. During the nine months ended September 30, 2018, we made payments of $29.3 out of our restructuring reserve. We expect a majority of the remaining $23.5 reserve will be paid by the end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5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1"/>
                <w:szCs w:val="21"/>
                <w:color w:val="auto"/>
                <w:w w:val="93"/>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closure costs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$1.5 and $0.3 as of January 1, 2018 and September 30, 2018, respectively.</w:t>
      </w:r>
    </w:p>
    <w:p>
      <w:pPr>
        <w:spacing w:after="0" w:line="23" w:lineRule="exact"/>
        <w:rPr>
          <w:rFonts w:ascii="Arial" w:cs="Arial" w:eastAsia="Arial" w:hAnsi="Arial"/>
          <w:sz w:val="18"/>
          <w:szCs w:val="18"/>
          <w:color w:val="auto"/>
        </w:rPr>
      </w:pPr>
    </w:p>
    <w:p>
      <w:pPr>
        <w:ind w:right="58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$0.9 as of both January 1, 2018 and September 30, 2018. Italy had no balance as of January 1, 2018 and $0.9 as of September 30,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recorded income tax expense at an effective rate of 23.0% for the three months ended September 30, 2018, as compared to an effective rate of 36.5% for the three months ended September 30, 2017. The 2018 rate was favorably impacted by the enactment of the Tax Act in December 2017. The 23.0% effective tax rate in the quarter was higher than the United States Federal statutory rate of 21% due primarily to the French business tax.</w:t>
      </w:r>
    </w:p>
    <w:p>
      <w:pPr>
        <w:spacing w:after="0" w:line="166"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recorded income tax expense at an effective rate of 26.3% for the nine months ended September 30, 2018 as compared to an effective rate of 35.9% for the nine months ended September 30, 2017. The 2018 rate was favorably impacted by the enactment of the Tax Act in December 2017. The 26.3% effective tax rate for the nine months ended September 30, 2018 was higher than the United States Federal statutory rate of 21% primarily due to the French business tax. We currently expect a 2018 annual effective tax rate of approximately 26% to 27%.</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December 2017, the Tax Act made broad changes to the United States tax code, including a reduction of the United States federal corporate income tax rate from 35% to 21% effective January 1, 2018 and a transition to a territorial tax regime resulting in a one-time transition tax on the mandatory deemed repatriation of unremitted post-1986 non-United States earnings. The Tax Act also established new provisions related to global intangible low-taxed income ("GILTI"), foreign derived intangible income and a base erosion and anti-abuse tax. The computation of these new provisions is highly complex, and our estimates could significantly change as a result of new rules or guidance from the various standard-setting bodies.</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accounting for certain elements of the Tax Act was incomplete as of December 31, 2017 and remains incomplete as of September 30, 2018. However, we were able to make reasonable estimates of the impact of the Tax Act as of December 31, 2017 and, therefore, recorded provisional estimates for these items, including the one-time transition tax and the revaluation of our deferred tax assets and liabilities. In accordance with accounting guidance, we are allowed to make an accounting policy choice to either treat taxes due on future inclusions in United States taxable income related to GILTI as a current-period expense when incurred or factor such amounts into our measurement of deferred taxes. We have made a policy decision to treat taxes related to GILTI as a current-period expense when incurred and have included estimates of this provision as current-period expenses for the nine months ended September 30, 2018.</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first nine months of 2018, the Internal Revenue Service issued new guidance affecting the computation of our 2017 transition tax liability. As a result of the new guidance and additional analysis of the impacts of the Tax Act, during the first nine months of 2018 we revised our provisional estimates of the impact of enactment of the Tax Act in December 2017 and recorded tax expense of $0.2. The ultimate impact of the Tax Act may differ from our estimates as of September 30, 2018, possibly materially, due to changes in interpretations and assumptions we have made, future guidance that may be issued and actions we may take as a result of the Tax Act.</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September 30, 2018, we had gross unrecognized tax benefits related to various tax jurisdictions, including interest and penalties, of $78.9 that would favorably impact the effective tax rate if recognized. As of December 31, 2017, we had gross unrecognized tax benefits related to various tax jurisdictions, including interest and penalties, of $66.5. We believe it is reasonably possible over the next twelve months that our unrecognized tax benefits could decrease by up to $42.4 due to pending resolution of non-United States litigation. All tax contingencies are deemed appropriately reserved.</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2010 through 2017 for our major operations in France, Germany, Japan, the United Kingdom and the United States. As of September 30, 2018, we are subject to tax audits in Austria, Canada, Denmark, France, Germany and the United States. We believe that the resolution of these audits will not have a material impact on earnings.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0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67.3</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 -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Effect of other share-based awards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6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earnings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60"/>
              <w:spacing w:after="0"/>
              <w:rPr>
                <w:sz w:val="20"/>
                <w:szCs w:val="20"/>
                <w:color w:val="auto"/>
              </w:rPr>
            </w:pPr>
            <w:r>
              <w:rPr>
                <w:rFonts w:ascii="Arial" w:cs="Arial" w:eastAsia="Arial" w:hAnsi="Arial"/>
                <w:sz w:val="18"/>
                <w:szCs w:val="18"/>
                <w:color w:val="auto"/>
              </w:rPr>
              <w:t>Net earnings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There were 0.3 million and 0.1 million share-based awards excluded from the calculation of net earnings per share – diluted for the three months ended September 30, 2018 and 2017, respectively, and the calculation of net earnings per share – diluted for the nine months ended September 30, 2018 and 2017, respectively, because their impact was anti-dilutive.</w:t>
      </w:r>
    </w:p>
    <w:p>
      <w:pPr>
        <w:spacing w:after="0" w:line="18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2018</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September 30, 2018 and December 31, 2017.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2018 and December 31, 2017.</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2018 is expected to be $8.5 and in each of the next five years is expected to be as follows: 2019 - $29.2, 2020 - $24.4, 2021 - $13.6, 2022 - $10.0 and 2023 - $7.8.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APME</w:t>
            </w: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w w:val="99"/>
              </w:rPr>
              <w:t>Balance,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1,315.6</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January 1, 2018 and September 30, 2018.</w:t>
      </w:r>
    </w:p>
    <w:p>
      <w:pPr>
        <w:spacing w:after="0" w:line="23" w:lineRule="exact"/>
        <w:rPr>
          <w:rFonts w:ascii="Arial" w:cs="Arial" w:eastAsia="Arial" w:hAnsi="Arial"/>
          <w:sz w:val="18"/>
          <w:szCs w:val="18"/>
          <w:color w:val="auto"/>
        </w:rPr>
      </w:pPr>
    </w:p>
    <w:p>
      <w:pPr>
        <w:ind w:right="80" w:firstLine="8"/>
        <w:spacing w:after="0" w:line="250"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France were $76.3 and $69.7 as of January 1, 2018 and September 30, 2018, respectively. Balances related to Italy were $5.0 and $4.8 as of January 1, 2018 and September 30, 2018, respectively.</w:t>
      </w:r>
    </w:p>
    <w:p>
      <w:pPr>
        <w:jc w:val="both"/>
        <w:ind w:right="140" w:firstLine="8"/>
        <w:spacing w:after="0" w:line="25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January 1,</w:t>
            </w:r>
          </w:p>
        </w:tc>
      </w:tr>
      <w:tr>
        <w:trPr>
          <w:trHeight w:val="270"/>
        </w:trPr>
        <w:tc>
          <w:tcPr>
            <w:tcW w:w="18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1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532.0</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135.4</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89.2</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Right Management</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reporting units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w:t>
            </w:r>
          </w:p>
        </w:tc>
      </w:tr>
      <w:tr>
        <w:trPr>
          <w:trHeight w:val="257"/>
        </w:trPr>
        <w:tc>
          <w:tcPr>
            <w:tcW w:w="180" w:type="dxa"/>
            <w:vAlign w:val="bottom"/>
          </w:tcPr>
          <w:p>
            <w:pPr>
              <w:spacing w:after="0"/>
              <w:rPr>
                <w:sz w:val="22"/>
                <w:szCs w:val="22"/>
                <w:color w:val="auto"/>
              </w:rPr>
            </w:pPr>
          </w:p>
        </w:tc>
        <w:tc>
          <w:tcPr>
            <w:tcW w:w="8100" w:type="dxa"/>
            <w:vAlign w:val="bottom"/>
          </w:tcPr>
          <w:p>
            <w:pPr>
              <w:ind w:left="580"/>
              <w:spacing w:after="0"/>
              <w:rPr>
                <w:sz w:val="20"/>
                <w:szCs w:val="20"/>
                <w:color w:val="auto"/>
              </w:rPr>
            </w:pPr>
            <w:r>
              <w:rPr>
                <w:rFonts w:ascii="Arial" w:cs="Arial" w:eastAsia="Arial" w:hAnsi="Arial"/>
                <w:sz w:val="18"/>
                <w:szCs w:val="18"/>
                <w:color w:val="auto"/>
              </w:rPr>
              <w:t>Total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1,343.0</w:t>
            </w:r>
          </w:p>
        </w:tc>
      </w:tr>
      <w:tr>
        <w:trPr>
          <w:trHeight w:val="20"/>
        </w:trPr>
        <w:tc>
          <w:tcPr>
            <w:tcW w:w="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Debt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18, 2018, we amended and restated our Five Year Credit Agreement (the “Amended Agreement”) with a syndicate of commercial banks, principally to revise the termination date of the facility from September 16, 2020 to June 18, 2023. The remaining material terms and conditions of the Amended Agreement are substantially similar to the material terms and conditions of our Amended and Restated Five Year Credit Agreement dated September 16, 2015.</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22, 2018, we offered and sold €500.0 aggregate principal amount of the Company’s 1.750% notes due June 22, 2026 (the “Notes”). The net proceeds from the Notes of €495.7 were used to repay our €350.0 notes due June 22, 2018, with the remaining balance used for general corporate purposes, which included share repurchases, and may be used for additional share repurchases and the acquisition of or investment in complementary businesses or other assets. The Notes were issued at a price of 99.564% to yield an effective interest rate of 1.809%. Interest on the Notes is payable in arrears on June 22 of each year. The Notes are unsecured senior obligations and will rank equally with all of the Company’s existing and future senior unsecured debt and other liabilities.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520" w:type="dxa"/>
            <w:vAlign w:val="bottom"/>
            <w:gridSpan w:val="4"/>
          </w:tcPr>
          <w:p>
            <w:pPr>
              <w:spacing w:after="0"/>
              <w:rPr>
                <w:sz w:val="20"/>
                <w:szCs w:val="20"/>
                <w:color w:val="auto"/>
              </w:rPr>
            </w:pPr>
            <w:r>
              <w:rPr>
                <w:rFonts w:ascii="Arial" w:cs="Arial" w:eastAsia="Arial" w:hAnsi="Arial"/>
                <w:sz w:val="18"/>
                <w:szCs w:val="18"/>
                <w:color w:val="auto"/>
              </w:rPr>
              <w:t>(11) Retirement Plans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6520" w:type="dxa"/>
            <w:vAlign w:val="bottom"/>
            <w:gridSpan w:val="4"/>
          </w:tcPr>
          <w:p>
            <w:pPr>
              <w:spacing w:after="0"/>
              <w:rPr>
                <w:sz w:val="20"/>
                <w:szCs w:val="20"/>
                <w:color w:val="auto"/>
              </w:rPr>
            </w:pPr>
            <w:r>
              <w:rPr>
                <w:rFonts w:ascii="Arial" w:cs="Arial" w:eastAsia="Arial" w:hAnsi="Arial"/>
                <w:sz w:val="18"/>
                <w:szCs w:val="18"/>
                <w:color w:val="auto"/>
              </w:rPr>
              <w:t>The components of the net periodic benefit cost for our plans were as follows: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w w:val="93"/>
              </w:rPr>
              <w:t>Defined Benefit Pension Plans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9 Months Ended</w:t>
            </w: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196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benefit cost</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Arial" w:cs="Arial" w:eastAsia="Arial" w:hAnsi="Arial"/>
                <w:sz w:val="18"/>
                <w:szCs w:val="18"/>
                <w:b w:val="1"/>
                <w:bCs w:val="1"/>
                <w:color w:val="auto"/>
              </w:rPr>
              <w:t>Retiree Health Care Plan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9 Months Ended</w:t>
            </w: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Total benefit credit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three and nine months ended September 30, 2018, contributions made to our pension plans were $1.8 and $6.0, respectively, and contributions made to our retiree health care plan were $0.3 and $0.9, respectively. During 2018, we expect to make total contributions of approximately $10.1 to our pension plans and to fund our retiree health care payments as incurred.</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282A32"/>
        </w:rPr>
        <w:t xml:space="preserve">As of January 1, 2018, we adopted the new guidance on the presentation of net periodic pension and postretirement benefit cost ("net benefit cost"). The new guidance requires bifurcation of net benefit cost, which used to be reported as an employee cost within operating income under the old guidance. The service cost component is still presented with other employee compensation cost in operating income or capitalized in assets in rare circumstances. The other components are now reported separately outside of operations, and are not eligible for capitalization. We have reclassified the 2017 non-service cost components of net benefit cost to interest and other expenses from selling and administrative expenses to conform to the current period presentation. For the three months ended </w:t>
      </w:r>
      <w:r>
        <w:rPr>
          <w:rFonts w:ascii="Arial" w:cs="Arial" w:eastAsia="Arial" w:hAnsi="Arial"/>
          <w:sz w:val="17"/>
          <w:szCs w:val="17"/>
          <w:color w:val="000000"/>
        </w:rPr>
        <w:t>September 30, 2018</w:t>
      </w:r>
      <w:r>
        <w:rPr>
          <w:rFonts w:ascii="Arial" w:cs="Arial" w:eastAsia="Arial" w:hAnsi="Arial"/>
          <w:sz w:val="17"/>
          <w:szCs w:val="17"/>
          <w:color w:val="282A32"/>
        </w:rPr>
        <w:t xml:space="preserve"> and 2017, the non-service component was a net cost of $0.7 and $0.8, respectively. For the nine months ended </w:t>
      </w:r>
      <w:r>
        <w:rPr>
          <w:rFonts w:ascii="Arial" w:cs="Arial" w:eastAsia="Arial" w:hAnsi="Arial"/>
          <w:sz w:val="17"/>
          <w:szCs w:val="17"/>
          <w:color w:val="000000"/>
        </w:rPr>
        <w:t xml:space="preserve">September 30, 2018 </w:t>
      </w:r>
      <w:r>
        <w:rPr>
          <w:rFonts w:ascii="Arial" w:cs="Arial" w:eastAsia="Arial" w:hAnsi="Arial"/>
          <w:sz w:val="17"/>
          <w:szCs w:val="17"/>
          <w:color w:val="282A32"/>
        </w:rPr>
        <w:t>and 2017, the non-service component was a net cost of $1.6 and $2.3, respectively. For the year ended December 31, 2017, the non-service component was a net cost of $1.0.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51"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auto"/>
              </w:rPr>
              <w:t>(12) Shareholders’ Equity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Translation loss on net investment hedge, net of income taxes of $(15.6) and $(23.1), respectively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Unrealized gain on investments, net of income taxes of $3.4 for 2017</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plans, net of income taxes of $(27.6) and $(27.8),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Retiree health care plan, net of income taxes of $1.9 and $2.0,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282A32"/>
        </w:rPr>
        <w:t>As of January 1, 2018, we adopted the new accounting guidance on financial instruments. The new guidance requires equity investments (except those accounted for under the equity method of accounting or those that result in consolidation of the investee) to be measured at fair value with changes in fair value recognized in net earnings. Upon adoption, we reclassified $15.3, the cumulative unrealized gain on our Swiss franchise's investment portfolio as of December 31, 2017, from accumulated other comprehensive loss to retained earnings. Going forward, we will recognize the changes in fair value on the investment portfolio in the current period earnings as opposed to other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Noncontrolling interests, included in total shareholders' equity in our Consolidated Balance Sheets, represent amounts related to minority interest holders of our majority-owned subsidiaries for which we have a controlling financial interest and consequently consolidate within our financial statements.</w:t>
      </w:r>
    </w:p>
    <w:p>
      <w:pPr>
        <w:spacing w:after="0" w:line="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earnings attributable to these noncontrolling interests were $1.3 for both the three months ended September 30, 2018 and 2017, and $3.5 and $5.7 for the nine months ended September 30, 2018 and 2017, respectively, which were recorded as expenses in interest and other expenses in our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4, 2018 and May 2, 2017, the Board of Directors declared a semi-annual cash dividend of $1.01 and $0.93 per share, respectively. The 2018 dividends were paid on June 15, 2018 to shareholders of record on June 1, 2018. The 2017 dividends were paid on June 15, 2017 to shareholders of record on June 1, 2017.</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1, 2017, the Board of Directors declared a semi-annual cash dividend of $0.93 per share that was paid on December 15, 2017 to shareholders of record on December 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August 2018, the Board of Directors authorized the repurchase of an additional 6.0 million shares of our common stock, with terms consistent with the previous authorization. This authorization is in addition to the July 2016 Board authorization to repurchase 6.0 million shares of our common stock. Share repurchases may be made from time to time through a variety of methods, including open market purchases, block transactions, privately negotiated transactions or similar facilities. During the first nine months of 2018, we repurchased a total of 3.1 million shares comprised of 2.8 million shares under the 2016 authorization and 0.3 million shares under the 2018 authorization, at a total cost of $299.2. In the first nine months of 2017, we repurchased 1.7 million shares at a cost of $178.0 under the 2016 authorization. As of September 30, 2018, there were 5.7 million shares remaining authorized for repurchase under the 2018 authorization and no shares remaining authorized for repurchase under the 2016 authorization.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51" w:right="239" w:bottom="1440" w:gutter="0" w:footer="0" w:header="0"/>
        </w:sectPr>
      </w:pPr>
    </w:p>
    <w:bookmarkStart w:id="17" w:name="page18"/>
    <w:bookmarkEnd w:id="17"/>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3 Months Ended</w:t>
            </w:r>
          </w:p>
        </w:tc>
        <w:tc>
          <w:tcPr>
            <w:tcW w:w="240" w:type="dxa"/>
            <w:vAlign w:val="bottom"/>
          </w:tcPr>
          <w:p>
            <w:pPr>
              <w:spacing w:after="0"/>
              <w:rPr>
                <w:sz w:val="20"/>
                <w:szCs w:val="20"/>
                <w:color w:val="auto"/>
              </w:rPr>
            </w:pPr>
          </w:p>
        </w:tc>
        <w:tc>
          <w:tcPr>
            <w:tcW w:w="20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5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Miscellaneous expenses, net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 and other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foreign exchange losses for the three and nine months ended September 30, 2018 compared to 2017 was primarily due to a $3.6 translation loss in Argentina, as a result of changing our Argentina reporting unit's functional currency to the United States dollar as Argentina was designated as a highly-inflationary economy as of July 1, 2018.</w:t>
      </w:r>
    </w:p>
    <w:p>
      <w:pPr>
        <w:spacing w:after="0" w:line="18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accounting guidance on derivative instruments and hedging activities, we record all of our derivative instruments as either an asset or liability measured at their fair value.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portion of the €400.0 ($462.1) notes due September 2022 and the €500.0 ($574.5) notes due June 2026 was designated as a hedge of our net investment in our foreign subsidiaries with a Euro-functional currency as of September 30, 2018. For this portion of the Euro-denominated notes, the gain or loss associated with foreign currency translation is recorded as a component of accumulated other comprehensive loss, net of taxes. As of September 30, 2018 and December 31, 2017, we had an unrealized loss of $10.0 and $35.7, respectively, included in accumulated other comprehensive loss, net of taxes, as the net investment hedge was deemed effective.</w:t>
      </w:r>
    </w:p>
    <w:p>
      <w:pPr>
        <w:spacing w:after="0" w:line="18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On occasion, forward contracts are designated as a hedge of our net investment in our foreign subsidiaries. We had a translation loss of $4.2 as of both September 30, 2018 and December 31, 2017, included in accumulated other comprehensive loss, net of taxes, as the net investment hedge was deemed effective.</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We recorded no gain or loss for both the three months ended September 30, 2018 and 2017, and a gain of $2.0 and no gain or loss for the nine months ended September 30, 2018 and 2017, respectively, in interest and other expenses associated with those forward contracts, which offset the loss and gain recorded for the items noted above.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368" w:right="27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September 30, 2018 and December 31, 2017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$1,070.0 and $939.9 as of September 30, 2018 and December 31, 2017, respectively, compared to a carrying value of $1,036.6 and $897.8, respectively.</w:t>
      </w:r>
    </w:p>
    <w:p>
      <w:pPr>
        <w:spacing w:after="0" w:line="18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Effective January 1, 2018, we adopted new accounting guidance on the presentation of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APME; and Right Management.</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and other services. The Right Management segment revenues are derived from outplacement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1,992.7</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1,151.9</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3,975.5</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1,047.0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7,077.6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6,258.0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3,888.3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1,941.2</w:t>
            </w: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5,464.8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16,598.0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656.9</w:t>
            </w:r>
          </w:p>
        </w:tc>
      </w:tr>
      <w:tr>
        <w:trPr>
          <w:trHeight w:val="243"/>
        </w:trPr>
        <w:tc>
          <w:tcPr>
            <w:tcW w:w="652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57"/>
        </w:trPr>
        <w:tc>
          <w:tcPr>
            <w:tcW w:w="652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513.3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line="30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 $3.7 and $3.9 for the three months ended September 30, 2018 and 2017, respectively, and $10.8 and $11.0 for the nine months ended September 30, 2018 and 2017, respectively. These fees are primarily based on revenues generated by the franchise offices, which were $169.9 and $164.3 for the three months ended September 30, 2018 and 2017, respectively, and $485.6 and $487.6 for the nine months ended September 30, 2018 and 2017, respectively.</w:t>
      </w:r>
    </w:p>
    <w:p>
      <w:pPr>
        <w:spacing w:after="0" w:line="154" w:lineRule="exact"/>
        <w:rPr>
          <w:rFonts w:ascii="Arial" w:cs="Arial" w:eastAsia="Arial" w:hAnsi="Arial"/>
          <w:sz w:val="16"/>
          <w:szCs w:val="16"/>
          <w:color w:val="auto"/>
        </w:rPr>
      </w:pPr>
    </w:p>
    <w:p>
      <w:pPr>
        <w:ind w:left="420" w:right="80" w:hanging="412"/>
        <w:spacing w:after="0" w:line="279"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$6.2 and $6.4 for the three months ended September 30, 2018 and 2017, respectively, and $17.6 and $17.5 for the nine months ended September 30, 2018 and 2017, respectively. These fees are primarily based on revenues generated by the franchise offices, which were $278.7 and $272.9 for the three months ended September 30, 2018 and 2017, respectively, and $789.4 and $759.3 for the nine months ended September 30, 2018 and 2017, respectively.</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26" w:right="239" w:bottom="1440" w:gutter="0" w:footer="0" w:header="0"/>
          <w:type w:val="continuous"/>
        </w:sectPr>
      </w:pPr>
    </w:p>
    <w:bookmarkStart w:id="20" w:name="page21"/>
    <w:bookmarkEnd w:id="20"/>
    <w:p>
      <w:pPr>
        <w:ind w:left="420" w:right="600" w:hanging="41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 segment performance based on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the financial measures section on pages 30 through 32 for further information on the Non-GAAP financial measures of constant currency and organic constant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82A32"/>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as we experienced in the first half of 2018, we are generally able to improve our profitability and operating leverage as our cost base can support some increase in business without a similar increase in selling and administrative expenses. Whereas, during periods of decreased demand, as we experienced in certain large markets and in overall reported revenues in the third quarter of 2018, our operating profit is generally impacted unfavorably as we experience a deleveraging of our selling and administrative expense base as expenses may not decline at the same pace as revenues.</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During the third quarter of 2018, t</w:t>
      </w:r>
      <w:r>
        <w:rPr>
          <w:rFonts w:ascii="Arial" w:cs="Arial" w:eastAsia="Arial" w:hAnsi="Arial"/>
          <w:sz w:val="17"/>
          <w:szCs w:val="17"/>
          <w:color w:val="282A32"/>
        </w:rPr>
        <w:t>he United States dollar was stronger relative to the currencies in Europe, having an unfavorable impact on our reported</w:t>
      </w:r>
      <w:r>
        <w:rPr>
          <w:rFonts w:ascii="Arial" w:cs="Arial" w:eastAsia="Arial" w:hAnsi="Arial"/>
          <w:sz w:val="17"/>
          <w:szCs w:val="17"/>
          <w:color w:val="auto"/>
        </w:rPr>
        <w:t xml:space="preserve"> </w:t>
      </w:r>
      <w:r>
        <w:rPr>
          <w:rFonts w:ascii="Arial" w:cs="Arial" w:eastAsia="Arial" w:hAnsi="Arial"/>
          <w:sz w:val="17"/>
          <w:szCs w:val="17"/>
          <w:color w:val="282A32"/>
        </w:rPr>
        <w:t xml:space="preserve">results. </w:t>
      </w:r>
      <w:r>
        <w:rPr>
          <w:rFonts w:ascii="Arial" w:cs="Arial" w:eastAsia="Arial" w:hAnsi="Arial"/>
          <w:sz w:val="17"/>
          <w:szCs w:val="17"/>
          <w:color w:val="000000"/>
        </w:rPr>
        <w:t>While our reported revenues from services decreased 0.8% over the third quarter of 2017 and our reported operating profit decreased 5.2%, these</w:t>
      </w:r>
      <w:r>
        <w:rPr>
          <w:rFonts w:ascii="Arial" w:cs="Arial" w:eastAsia="Arial" w:hAnsi="Arial"/>
          <w:sz w:val="17"/>
          <w:szCs w:val="17"/>
          <w:color w:val="282A32"/>
        </w:rPr>
        <w:t xml:space="preserve"> </w:t>
      </w:r>
      <w:r>
        <w:rPr>
          <w:rFonts w:ascii="Arial" w:cs="Arial" w:eastAsia="Arial" w:hAnsi="Arial"/>
          <w:sz w:val="17"/>
          <w:szCs w:val="17"/>
          <w:color w:val="000000"/>
        </w:rPr>
        <w:t>results were impacted by the relative weakness of other currencies against the United States dollar compared to the same period in 2017, and generally may understate the performance of our underlying business. The changes in the foreign currency exchange rates had a 2.1% unfavorable impact on revenues from services, a 1.8% unfavorable impact on operating profit, and an approximately $0.04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three months ended September 30, 2018, we experienced uneven results as we saw constant currency revenue declines in the United States, France, Northern Europe, and Right Management, while we saw constant-currency revenue growth in Other Americas, Italy, Other Southern Europe and APME. Our consolidated revenues were up 1.3% in constant currency in the quarter, a deceleration from the 4.5% constant currency growth in the second quarter of 2018, primarily driven by lower growth rates in some of our European entities, most notably France and Germany. Our third quarter results reflect a slower growth environment in certain markets within Southern and Northern Europe, which when combined represented approximately 67% of our total consolidated revenues. These economic conditions were more challenging than anticipated at the beginning of the quarter. The revenue decrease in Northern Europe was primarily due to a decrease in Germany resulting from issues with the implementation of a new front-office system and certain actions taken to optimize our delivery channels that caused some client disruption, as well as softer demand from the manufacturing sector in that market. We experienced better performance from our Southern Europe segment than from our Northern Europe segment, as discussed below under "Segment Operating Results" due to the revenue increases in Italy and certain other markets within Southern Europe, offset by the slight revenue decline in France, where certain economic indicators and business confidence measures reached their lowest point of 2018 at the end of the quarter. After adjusting for billing days, our constant currency revenue growth in France decelerated throughout the third quarter of 2018 from 1% growth in July to a 2% decline in September, and we observed a continuation of challenging economic conditions in the first half of October. Our ManpowerGroup Solutions business had strong growth in the quarter in addition to a 5.1% constant currency increase (2.6% as reported) in our permanent recruitment business, while our staffing/interim business remained flat. At Right Management, we have experienced a constant currency revenue decline for both our outplacement services, due to the counter-cyclical nature of this business, and our talent management services.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1" w:name="page22"/>
    <w:bookmarkEnd w:id="21"/>
    <w:p>
      <w:pPr>
        <w:ind w:right="40"/>
        <w:spacing w:after="0" w:line="254" w:lineRule="auto"/>
        <w:rPr>
          <w:sz w:val="20"/>
          <w:szCs w:val="20"/>
          <w:color w:val="auto"/>
        </w:rPr>
      </w:pPr>
      <w:r>
        <w:rPr>
          <w:rFonts w:ascii="Arial" w:cs="Arial" w:eastAsia="Arial" w:hAnsi="Arial"/>
          <w:sz w:val="18"/>
          <w:szCs w:val="18"/>
          <w:color w:val="auto"/>
        </w:rPr>
        <w:t>Our gross profit margin in the third quarter of 2018 compared to 2017 decreased primarily due to the decline in our staffing/interim gross profit margin due to the decrease in the CICE (Credit d'Impôt pour la Compétitivité et l'Emploi) payroll tax credit rate in France and business mix changes in various countries, partially offset by favorable direct costs adjustments in the third quarter of 2018, primarily in France and Japan. The margin also decreased due to the margin decline in our TAPFIN - Managed Service Provider (MSP) business. These declines were partially offset by the increase in our permanent recruitment business. The CICE payroll tax credit is accounted for as a reduction of our cost of services in the period, and has had a favorable impact on our consolidated gross margin, as well as margins in France and Southern Europe since 2013. The French government has proposed to replace the CICE program with new subsidies starting in 2019, which, if adopted, we believe will have an impact on our gross profit margin. The new subsidies and their anticipated impact is discussed in "Legal Regulations."</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operating profit decreased in the third quarter of 2018 by 5.2% (-3.4% in constant currency and -4.0% in organic constant currency) and our operating profit margin was down 20 basis points compared to the third quarter of 2017. Our Northern Europe segment in particular experienced profitability challenges during the third quarter, as discussed below under "Segment Operating Results." We continue to monitor expenses closely to ensure we maintain the benefit of our efforts to optimize our organizational and cost structures, while investing to enable growth in the business and enhance our productivity and technology and digital capabilities. During the third quarter of 2018, we added recruiters and certain other staff to support the increased demand for our services in Other Americas, Italy and Other Southern Europe, and APME. Even with these investments, we experienced improved operational leverage in the quarter for these markets as we were able to support the higher revenue level without a similar increase in expenses.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our performance in the fourth quarter will be impacted by current trends in key markets, particularly Europe, where economic indicators have been trending unfavorably.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Operating Results - Three Months Ended September 30, </w:t>
      </w:r>
      <w:r>
        <w:rPr>
          <w:rFonts w:ascii="Arial" w:cs="Arial" w:eastAsia="Arial" w:hAnsi="Arial"/>
          <w:sz w:val="18"/>
          <w:szCs w:val="18"/>
          <w:u w:val="single" w:color="auto"/>
          <w:color w:val="auto"/>
          <w:highlight w:val="white"/>
        </w:rPr>
        <w:t>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2018 as compared to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4,528.1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4,564.2</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900.6</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671.9</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228.7</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217.0</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79.3</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137.7</w:t>
            </w:r>
          </w:p>
        </w:tc>
        <w:tc>
          <w:tcPr>
            <w:tcW w:w="148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16.6</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year-over-year decrease in revenues from services of 0.8% (increase of 1.3% in constant currency and 1.0% in organic constant currency) was attributed to:</w:t>
      </w:r>
    </w:p>
    <w:p>
      <w:pPr>
        <w:spacing w:after="0" w:line="170" w:lineRule="exact"/>
        <w:rPr>
          <w:sz w:val="20"/>
          <w:szCs w:val="20"/>
          <w:color w:val="auto"/>
        </w:rPr>
      </w:pPr>
    </w:p>
    <w:p>
      <w:pPr>
        <w:ind w:left="660" w:right="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revenue decrease in the United States of 4.0% primarily driven by a decline in our Experis interim services, </w:t>
      </w:r>
      <w:r>
        <w:rPr>
          <w:rFonts w:ascii="Arial" w:cs="Arial" w:eastAsia="Arial" w:hAnsi="Arial"/>
          <w:sz w:val="18"/>
          <w:szCs w:val="18"/>
          <w:color w:val="282A32"/>
        </w:rPr>
        <w:t>specifically within the IT sector, because</w:t>
      </w:r>
      <w:r>
        <w:rPr>
          <w:rFonts w:ascii="Arial" w:cs="Arial" w:eastAsia="Arial" w:hAnsi="Arial"/>
          <w:sz w:val="18"/>
          <w:szCs w:val="18"/>
          <w:color w:val="auto"/>
        </w:rPr>
        <w:t xml:space="preserve"> </w:t>
      </w:r>
      <w:r>
        <w:rPr>
          <w:rFonts w:ascii="Arial" w:cs="Arial" w:eastAsia="Arial" w:hAnsi="Arial"/>
          <w:sz w:val="18"/>
          <w:szCs w:val="18"/>
          <w:color w:val="282A32"/>
        </w:rPr>
        <w:t>of decreased demand from larger clients, and a decline in our Manpower staffing services as we experienced delays in finding individuals with the relevant skills needed to match our clients' requirements, despite good client demand during the quarter</w:t>
      </w:r>
      <w:r>
        <w:rPr>
          <w:rFonts w:ascii="Arial" w:cs="Arial" w:eastAsia="Arial" w:hAnsi="Arial"/>
          <w:sz w:val="18"/>
          <w:szCs w:val="18"/>
          <w:color w:val="000000"/>
        </w:rPr>
        <w: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revenue decrease in France of 1.4% (-0.6% in constant currency) primarily driven by a </w:t>
      </w:r>
      <w:r>
        <w:rPr>
          <w:rFonts w:ascii="Arial" w:cs="Arial" w:eastAsia="Arial" w:hAnsi="Arial"/>
          <w:sz w:val="17"/>
          <w:szCs w:val="17"/>
          <w:color w:val="282A32"/>
        </w:rPr>
        <w:t>decline in demand for our Manpower staffing services</w:t>
      </w:r>
      <w:r>
        <w:rPr>
          <w:rFonts w:ascii="Arial" w:cs="Arial" w:eastAsia="Arial" w:hAnsi="Arial"/>
          <w:sz w:val="17"/>
          <w:szCs w:val="17"/>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ind w:left="660" w:right="140" w:hanging="328"/>
        <w:spacing w:after="0" w:line="27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decreased demand for services in several of our markets within Northern Europe, where revenues decreased 5.9% (-3.9% in constant currency). We experienced revenue declines in the United Kingdom, Germany, the Nordics, and the Netherlands of 0.5%, 14.4%, 8.8% and 5.1%, respectively (-0.1%, -13.7%, -3.1% and -4.2%, respectively, in constant currency). The decrease was primarily due to a decrease in Germany resulting from issues with the implementation of a new front-office system and certain actions taken to optimize our delivery channels that caused some client disruption, as well as softer demand from the manufacturing sector in that market;</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2.1% decrease due to the impact of changes in currency exchange rates; and</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8.9% (-7.5% in constant currency), including a 10.0% (-8.8% in constant currency) decrease in our outplacement services as well as a 6.0% (-3.9% in constant currency) decrease in our talent management business; partially offset by</w:t>
      </w:r>
    </w:p>
    <w:p>
      <w:pPr>
        <w:spacing w:after="0" w:line="181"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demand for services in Italy and several of our markets within Other Southern Europe where revenues increased 6.3% (7.2% in constant currency) and 2.2% (4.3% in constant currency), respectively. The increases are due to increased demand for our Manpower staffing services, increases of 14.0% and 17.1%, respectively (14.7% and 21.0%, respectively, in constant currency) in the permanent recruitment business and increases in our ManpowerGroup Solutions business;</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revenue increase in APME of 7.2% (10.3% in constant currency) primarily due to an increase in our staffing/interim revenues, a 3.8% increase (8.2% in constant currency) in our permanent recruitment business, and an increase in our ManpowerGroup Solutions business;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acquisitions in the Americas and APME, which added approximately 0.3% revenue growth to our consolidated results on a constant currency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10 basis point (-0.10%) decrease in gross profit margin was primarily attributed to:</w:t>
      </w:r>
    </w:p>
    <w:p>
      <w:pPr>
        <w:spacing w:after="0" w:line="225" w:lineRule="exact"/>
        <w:rPr>
          <w:sz w:val="20"/>
          <w:szCs w:val="20"/>
          <w:color w:val="auto"/>
        </w:rPr>
      </w:pPr>
    </w:p>
    <w:p>
      <w:pPr>
        <w:ind w:left="660" w:right="8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10 basis point (-0.10%) unfavorable impact from the decline in our staffing/interim margin due to the decrease in the CICE payroll tax credit rate from 7.0% to 6.0%, business mix changes in various countries, partially offset by favorable direct costs adjustments in the third quarter of 2018;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10 basis point (-0.10%) </w:t>
      </w:r>
      <w:r>
        <w:rPr>
          <w:rFonts w:ascii="Arial" w:cs="Arial" w:eastAsia="Arial" w:hAnsi="Arial"/>
          <w:sz w:val="18"/>
          <w:szCs w:val="18"/>
          <w:color w:val="282A32"/>
        </w:rPr>
        <w:t>unfavorable impact from a declining margin in our MSP business;</w:t>
      </w:r>
      <w:r>
        <w:rPr>
          <w:rFonts w:ascii="Arial" w:cs="Arial" w:eastAsia="Arial" w:hAnsi="Arial"/>
          <w:sz w:val="18"/>
          <w:szCs w:val="18"/>
          <w:color w:val="auto"/>
        </w:rPr>
        <w:t xml:space="preserve"> partially offset by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favorable impact from the 2.6% (5.1% in constant currency) increase in our permanent recruitment business.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0.3% increase in selling and administrative expenses in the third quarter of 2018 (2.5% in constant currency; 2.1% in organic constant currency) was primarily attributed to:</w:t>
      </w:r>
    </w:p>
    <w:p>
      <w:pPr>
        <w:spacing w:after="0" w:line="170"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282A32"/>
        </w:rPr>
      </w:pPr>
      <w:r>
        <w:rPr>
          <w:rFonts w:ascii="Arial" w:cs="Arial" w:eastAsia="Arial" w:hAnsi="Arial"/>
          <w:sz w:val="18"/>
          <w:szCs w:val="18"/>
          <w:color w:val="282A32"/>
        </w:rPr>
        <w:t xml:space="preserve">a 16.1% increase (18.0% in constant currency and 17.9% in organic constant currency) in consulting costs primarily related to certain technology projects, </w:t>
      </w:r>
      <w:r>
        <w:rPr>
          <w:rFonts w:ascii="Arial" w:cs="Arial" w:eastAsia="Arial" w:hAnsi="Arial"/>
          <w:sz w:val="18"/>
          <w:szCs w:val="18"/>
          <w:color w:val="000000"/>
        </w:rPr>
        <w:t>delivery model and other front-office centralization and back-office optimization activities</w:t>
      </w:r>
      <w:r>
        <w:rPr>
          <w:rFonts w:ascii="Arial" w:cs="Arial" w:eastAsia="Arial" w:hAnsi="Arial"/>
          <w:sz w:val="18"/>
          <w:szCs w:val="18"/>
          <w:color w:val="282A32"/>
        </w:rPr>
        <w:t>;</w:t>
      </w:r>
    </w:p>
    <w:p>
      <w:pPr>
        <w:spacing w:after="0" w:line="170" w:lineRule="exact"/>
        <w:rPr>
          <w:rFonts w:ascii="Arial" w:cs="Arial" w:eastAsia="Arial" w:hAnsi="Arial"/>
          <w:sz w:val="18"/>
          <w:szCs w:val="18"/>
          <w:color w:val="282A32"/>
        </w:rPr>
      </w:pPr>
    </w:p>
    <w:p>
      <w:pPr>
        <w:ind w:left="660" w:hanging="328"/>
        <w:spacing w:after="0"/>
        <w:tabs>
          <w:tab w:leader="none" w:pos="660" w:val="left"/>
        </w:tabs>
        <w:numPr>
          <w:ilvl w:val="0"/>
          <w:numId w:val="23"/>
        </w:numPr>
        <w:rPr>
          <w:rFonts w:ascii="Arial" w:cs="Arial" w:eastAsia="Arial" w:hAnsi="Arial"/>
          <w:sz w:val="18"/>
          <w:szCs w:val="18"/>
          <w:color w:val="282A32"/>
        </w:rPr>
      </w:pPr>
      <w:r>
        <w:rPr>
          <w:rFonts w:ascii="Arial" w:cs="Arial" w:eastAsia="Arial" w:hAnsi="Arial"/>
          <w:sz w:val="18"/>
          <w:szCs w:val="18"/>
          <w:color w:val="282A32"/>
        </w:rPr>
        <w:t xml:space="preserve">a </w:t>
      </w:r>
      <w:r>
        <w:rPr>
          <w:rFonts w:ascii="Arial" w:cs="Arial" w:eastAsia="Arial" w:hAnsi="Arial"/>
          <w:sz w:val="18"/>
          <w:szCs w:val="18"/>
          <w:color w:val="000000"/>
        </w:rPr>
        <w:t>2.2%</w:t>
      </w:r>
      <w:r>
        <w:rPr>
          <w:rFonts w:ascii="Arial" w:cs="Arial" w:eastAsia="Arial" w:hAnsi="Arial"/>
          <w:sz w:val="18"/>
          <w:szCs w:val="18"/>
          <w:color w:val="282A32"/>
        </w:rPr>
        <w:t xml:space="preserve"> increase due to the impact of changes in currency exchange rates; and</w:t>
      </w:r>
    </w:p>
    <w:p>
      <w:pPr>
        <w:spacing w:after="0" w:line="225"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3"/>
        </w:numPr>
        <w:rPr>
          <w:rFonts w:ascii="Arial" w:cs="Arial" w:eastAsia="Arial" w:hAnsi="Arial"/>
          <w:sz w:val="18"/>
          <w:szCs w:val="18"/>
          <w:color w:val="282A32"/>
        </w:rPr>
      </w:pPr>
      <w:r>
        <w:rPr>
          <w:rFonts w:ascii="Arial" w:cs="Arial" w:eastAsia="Arial" w:hAnsi="Arial"/>
          <w:sz w:val="18"/>
          <w:szCs w:val="18"/>
          <w:color w:val="282A32"/>
        </w:rPr>
        <w:t>the additional recurring selling and administrative costs of $2.3 million incurred as a result of acquisitions in the Americas and APME; partially offset by</w:t>
      </w:r>
    </w:p>
    <w:p>
      <w:pPr>
        <w:spacing w:after="0" w:line="170"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3"/>
        </w:numPr>
        <w:rPr>
          <w:rFonts w:ascii="Arial" w:cs="Arial" w:eastAsia="Arial" w:hAnsi="Arial"/>
          <w:sz w:val="18"/>
          <w:szCs w:val="18"/>
          <w:color w:val="282A32"/>
        </w:rPr>
      </w:pPr>
      <w:r>
        <w:rPr>
          <w:rFonts w:ascii="Arial" w:cs="Arial" w:eastAsia="Arial" w:hAnsi="Arial"/>
          <w:sz w:val="18"/>
          <w:szCs w:val="18"/>
          <w:color w:val="282A32"/>
        </w:rPr>
        <w:t>a 7.1% decrease (-5.6% in constant currency and -5.9% in organic constant currency) in variable incentive costs due to a decline in profitability in certain markets.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and administrative expenses as a percent of revenues increased 10 basis points (0.10%) in the third quarter of 2018 compared to the third quarter of 2017 due to a 10 basis point (0.10%) unfavorable impact resulting from the consulting costs incurred in the third quarter of 2018 and a 10 basis point (0.10%) unfavorable impact from expense deleveraging as we were unable to decrease our expenses at the same rate as the revenue decline, partially offset by a 10 basis point (-0.10%) favorable impact from the decrease in variable incentive costs in the third quarter of 2018.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$11.8 million in the third quarter of 2018 compared to $11.7 million in the third quarter of 2017. Net interest expense decreased $2.7 million in the third quarter of 2018 to $8.7 million from $11.4 million in the third quarter of 2017 due to the lower interest rate on our €500.0 million notes (as defined below) offered and sold in June 2018 compared to the interest rate on the €350.0 million notes due June 22, 2018 that were repaid in June 2018.</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Foreign exchange losses in the third quarter of 2018 were $3.0 million compared to $0.1 million in the third quarter of 2017. The increase in foreign exchange losses was primarily due to a $3.6 million translation loss in Argentina, as a result of changing our Argentina reporting unit's functional currency to the United States dollar as Argentina was designated as a highly-inflationary economy as of July 1, 2018. Miscellaneous expenses were $0.1 million in the third quarter of 2018 compared to $0.2 million in the third quarter of 2017.</w:t>
      </w:r>
    </w:p>
    <w:p>
      <w:pPr>
        <w:spacing w:after="0" w:line="1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recorded income tax expense at an effective rate of 23.0% in the third quarter of 2018 compared to an effective rate of 36.5% in the third quarter of 2017. The 2018 rate was favorably impacted by the enactment of the Tax Act in December 2017. The 23.0% effective tax rate in the quarter was higher than the United States Federal statutory rate of 21%, and we currently expect a 2018 annual effective tax rate of approximately 26% to 27% due primarily to the French business tax.</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earnings per share - diluted was $2.43 and $2.04 in the third quarter of 2018 and 2017, respectively. Foreign currency exchange rates negatively impacted net earnings per share - diluted by approximately $0.04 per share in the third quarter of 2018. The translation loss from the Argentina highly-inflationary designation recorded in the third quarter of 2018 negatively impacted net earnings per share - diluted by approximately $0.04 per share, net of tax, in the third quarter of 2018.</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Weighted average shares - diluted decreased 3.9% to 65.0 million in the third quarter of 2018 from 67.6 million in the third quarter of 2017. This decrease was due to the impact of share repurchases completed since the third quarter of 2017 and the full weighting of the repurchases completed in the third quarter of 2017, partially offset by shares issued as a result of exercises and vesting of share-based awards since the third quarter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2018 as compared to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Variance</w:t>
            </w: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15,396.8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13,899.3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12,846.7</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3.9</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2,550.1</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1,998.3</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r>
      <w:tr>
        <w:trPr>
          <w:trHeight w:val="237"/>
        </w:trPr>
        <w:tc>
          <w:tcPr>
            <w:tcW w:w="496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551.8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38.5</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513.3</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184.2</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97"/>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329.1</w:t>
            </w:r>
          </w:p>
        </w:tc>
        <w:tc>
          <w:tcPr>
            <w:tcW w:w="150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17.2</w:t>
            </w:r>
          </w:p>
        </w:tc>
      </w:tr>
      <w:tr>
        <w:trPr>
          <w:trHeight w:val="251"/>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4.84</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year-over-year increase in revenues from services of 7.8% (3.6% in constant currency and 3.3% in organic constant currency) was attributed to:</w:t>
      </w:r>
    </w:p>
    <w:p>
      <w:pPr>
        <w:spacing w:after="0" w:line="237" w:lineRule="exact"/>
        <w:rPr>
          <w:sz w:val="20"/>
          <w:szCs w:val="20"/>
          <w:color w:val="auto"/>
        </w:rPr>
      </w:pPr>
    </w:p>
    <w:p>
      <w:pPr>
        <w:ind w:left="660" w:right="20" w:hanging="328"/>
        <w:spacing w:after="0" w:line="290"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revenues increased 13.1% (5.9% in constant currency) and 5.4% (-0.3% in constant currency), respectively. This included an increase in France of 10.6% (3.3% in constant currency) primarily due to the strong growth in our large client accounts within the staffing market and a 18.9% increase (10.5% in constant currency) in the permanent recruitment business. The Southern Europe increase also includes an increase in Italy of 21.0% (12.9% in constant currency) due to increased demand for our Manpower staffing services and a 20.9% increase (12.4% in constant currency) in the permanent recruitment business. We also experienced revenue growth in the United Kingdom, Spain and Belgium of 6.7%, 14.9% and 9.7%, respectively (0.6%, 7.2% and 2.5%, respectively, in constant currency; 4.6% in organic constant currency in Spain). Lastly, we experienced revenue growth in Germany, the Nordics, and the Netherlands of 2.5%, 2.2% and 6.9%, respectively, while revenues decreased 4.7%, 0.3% and 0.6%, respectively, in constant currency;</w:t>
      </w:r>
    </w:p>
    <w:p>
      <w:pPr>
        <w:spacing w:after="0" w:line="16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increase in APME of 11.2% (9.7% in constant currency) primarily due to an increase in our staffing/interim revenues and a 13.7% increase (12.5% in constant currency) in our permanent recruitment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acquisitions in the Americas, Southern Europe, and APME, which added approximately 0.3% revenue growth to our consolidated results;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4.2% increase due to the impact of changes in currency exchange rates; partially offset by</w:t>
      </w:r>
    </w:p>
    <w:p>
      <w:pPr>
        <w:spacing w:after="0" w:line="225"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revenue decrease in the United States of 5.2% primarily driven by a decline in our Experis interim services, </w:t>
      </w:r>
      <w:r>
        <w:rPr>
          <w:rFonts w:ascii="Arial" w:cs="Arial" w:eastAsia="Arial" w:hAnsi="Arial"/>
          <w:sz w:val="17"/>
          <w:szCs w:val="17"/>
          <w:color w:val="282A32"/>
        </w:rPr>
        <w:t>specifically within the IT sector because</w:t>
      </w:r>
      <w:r>
        <w:rPr>
          <w:rFonts w:ascii="Arial" w:cs="Arial" w:eastAsia="Arial" w:hAnsi="Arial"/>
          <w:sz w:val="17"/>
          <w:szCs w:val="17"/>
          <w:color w:val="auto"/>
        </w:rPr>
        <w:t xml:space="preserve"> </w:t>
      </w:r>
      <w:r>
        <w:rPr>
          <w:rFonts w:ascii="Arial" w:cs="Arial" w:eastAsia="Arial" w:hAnsi="Arial"/>
          <w:sz w:val="17"/>
          <w:szCs w:val="17"/>
          <w:color w:val="282A32"/>
        </w:rPr>
        <w:t>of decreased demand from larger clients, a decline in our Manpower staffing services, as we experienced delays in finding individuals with the relevant skills needed to match our clients' requirements, despite good client demand during the quarter, and a decrease in our ManpowerGroup Solutions business primarily related to non-recurrence of certain lower-margin business within our MSP offering</w:t>
      </w:r>
      <w:r>
        <w:rPr>
          <w:rFonts w:ascii="Arial" w:cs="Arial" w:eastAsia="Arial" w:hAnsi="Arial"/>
          <w:sz w:val="17"/>
          <w:szCs w:val="17"/>
          <w:color w:val="000000"/>
        </w:rPr>
        <w:t>; and</w:t>
      </w:r>
    </w:p>
    <w:p>
      <w:pPr>
        <w:spacing w:after="0" w:line="171" w:lineRule="exact"/>
        <w:rPr>
          <w:rFonts w:ascii="Arial" w:cs="Arial" w:eastAsia="Arial" w:hAnsi="Arial"/>
          <w:sz w:val="17"/>
          <w:szCs w:val="17"/>
          <w:color w:val="auto"/>
        </w:rPr>
      </w:pPr>
    </w:p>
    <w:p>
      <w:pPr>
        <w:ind w:left="660" w:right="32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9.3% (-11.1% in constant currency), including a 11.1% decrease (-13.0% in constant currency) in our outplacement services as well as a 3.2% decrease (-4.9% in constant currency) in our talent management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30 basis point (-0.30%) decrease in gross profit margin was primarily attributed to:</w:t>
      </w:r>
    </w:p>
    <w:p>
      <w:pPr>
        <w:spacing w:after="0" w:line="225" w:lineRule="exact"/>
        <w:rPr>
          <w:sz w:val="20"/>
          <w:szCs w:val="20"/>
          <w:color w:val="auto"/>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30 basis point (-0.30%) unfavorable impact from the decline in our staffing/interim margin due to the decrease in the CICE payroll tax credit rate and business mix changes in various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 10 basis point (-0.10%) </w:t>
      </w:r>
      <w:r>
        <w:rPr>
          <w:rFonts w:ascii="Arial" w:cs="Arial" w:eastAsia="Arial" w:hAnsi="Arial"/>
          <w:sz w:val="17"/>
          <w:szCs w:val="17"/>
          <w:color w:val="282A32"/>
        </w:rPr>
        <w:t>unfavorable impact from decreased demand in our outplacement business at Right Management; partially offset by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(0.10%) favorable impact from the 12.8% (9.3% in constant currency) increase in our permanent recruitment business.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6.1% increase in selling and administrative expenses for the nine months ended September 30, 2018 (2.4% in constant currency; 2.0% in organic constant currency) was primarily attributed to:</w:t>
      </w:r>
    </w:p>
    <w:p>
      <w:pPr>
        <w:spacing w:after="0" w:line="170"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282A32"/>
        </w:rPr>
      </w:pPr>
      <w:r>
        <w:rPr>
          <w:rFonts w:ascii="Arial" w:cs="Arial" w:eastAsia="Arial" w:hAnsi="Arial"/>
          <w:sz w:val="18"/>
          <w:szCs w:val="18"/>
          <w:color w:val="282A32"/>
        </w:rPr>
        <w:t xml:space="preserve">a 26.5% increase (22.2% in constant currency and 22.0% in organic constant currency) in consulting costs primarily related to certain technology projects, </w:t>
      </w:r>
      <w:r>
        <w:rPr>
          <w:rFonts w:ascii="Arial" w:cs="Arial" w:eastAsia="Arial" w:hAnsi="Arial"/>
          <w:sz w:val="18"/>
          <w:szCs w:val="18"/>
          <w:color w:val="000000"/>
        </w:rPr>
        <w:t>delivery model and other front-office centralization and back-office optimization activities</w:t>
      </w:r>
      <w:r>
        <w:rPr>
          <w:rFonts w:ascii="Arial" w:cs="Arial" w:eastAsia="Arial" w:hAnsi="Arial"/>
          <w:sz w:val="18"/>
          <w:szCs w:val="18"/>
          <w:color w:val="282A32"/>
        </w:rPr>
        <w:t>;</w:t>
      </w:r>
    </w:p>
    <w:p>
      <w:pPr>
        <w:spacing w:after="0" w:line="170" w:lineRule="exact"/>
        <w:rPr>
          <w:rFonts w:ascii="Arial" w:cs="Arial" w:eastAsia="Arial" w:hAnsi="Arial"/>
          <w:sz w:val="18"/>
          <w:szCs w:val="18"/>
          <w:color w:val="282A32"/>
        </w:rPr>
      </w:pPr>
    </w:p>
    <w:p>
      <w:pPr>
        <w:ind w:left="660" w:hanging="328"/>
        <w:spacing w:after="0"/>
        <w:tabs>
          <w:tab w:leader="none" w:pos="660" w:val="left"/>
        </w:tabs>
        <w:numPr>
          <w:ilvl w:val="0"/>
          <w:numId w:val="26"/>
        </w:numPr>
        <w:rPr>
          <w:rFonts w:ascii="Arial" w:cs="Arial" w:eastAsia="Arial" w:hAnsi="Arial"/>
          <w:sz w:val="17"/>
          <w:szCs w:val="17"/>
          <w:color w:val="282A32"/>
        </w:rPr>
      </w:pPr>
      <w:r>
        <w:rPr>
          <w:rFonts w:ascii="Arial" w:cs="Arial" w:eastAsia="Arial" w:hAnsi="Arial"/>
          <w:sz w:val="17"/>
          <w:szCs w:val="17"/>
          <w:color w:val="282A32"/>
        </w:rPr>
        <w:t>restructuring costs of $39.3 million incurred in the first nine months of 2018 compared to $34.5 million incurred in the first nine months of 2017;</w:t>
      </w:r>
    </w:p>
    <w:p>
      <w:pPr>
        <w:spacing w:after="0" w:line="236" w:lineRule="exact"/>
        <w:rPr>
          <w:rFonts w:ascii="Arial" w:cs="Arial" w:eastAsia="Arial" w:hAnsi="Arial"/>
          <w:sz w:val="17"/>
          <w:szCs w:val="17"/>
          <w:color w:val="282A32"/>
        </w:rPr>
      </w:pPr>
    </w:p>
    <w:p>
      <w:pPr>
        <w:ind w:left="660" w:hanging="328"/>
        <w:spacing w:after="0"/>
        <w:tabs>
          <w:tab w:leader="none" w:pos="660" w:val="left"/>
        </w:tabs>
        <w:numPr>
          <w:ilvl w:val="0"/>
          <w:numId w:val="26"/>
        </w:numPr>
        <w:rPr>
          <w:rFonts w:ascii="Arial" w:cs="Arial" w:eastAsia="Arial" w:hAnsi="Arial"/>
          <w:sz w:val="18"/>
          <w:szCs w:val="18"/>
          <w:color w:val="282A32"/>
        </w:rPr>
      </w:pPr>
      <w:r>
        <w:rPr>
          <w:rFonts w:ascii="Arial" w:cs="Arial" w:eastAsia="Arial" w:hAnsi="Arial"/>
          <w:sz w:val="18"/>
          <w:szCs w:val="18"/>
          <w:color w:val="282A32"/>
        </w:rPr>
        <w:t xml:space="preserve">a </w:t>
      </w:r>
      <w:r>
        <w:rPr>
          <w:rFonts w:ascii="Arial" w:cs="Arial" w:eastAsia="Arial" w:hAnsi="Arial"/>
          <w:sz w:val="18"/>
          <w:szCs w:val="18"/>
          <w:color w:val="000000"/>
        </w:rPr>
        <w:t>3.7%</w:t>
      </w:r>
      <w:r>
        <w:rPr>
          <w:rFonts w:ascii="Arial" w:cs="Arial" w:eastAsia="Arial" w:hAnsi="Arial"/>
          <w:sz w:val="18"/>
          <w:szCs w:val="18"/>
          <w:color w:val="282A32"/>
        </w:rPr>
        <w:t xml:space="preserve"> increase due to the impact of changes in currency exchange rates; and</w:t>
      </w:r>
    </w:p>
    <w:p>
      <w:pPr>
        <w:spacing w:after="0" w:line="225"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6"/>
        </w:numPr>
        <w:rPr>
          <w:rFonts w:ascii="Arial" w:cs="Arial" w:eastAsia="Arial" w:hAnsi="Arial"/>
          <w:sz w:val="18"/>
          <w:szCs w:val="18"/>
          <w:color w:val="282A32"/>
        </w:rPr>
      </w:pPr>
      <w:r>
        <w:rPr>
          <w:rFonts w:ascii="Arial" w:cs="Arial" w:eastAsia="Arial" w:hAnsi="Arial"/>
          <w:sz w:val="18"/>
          <w:szCs w:val="18"/>
          <w:color w:val="282A32"/>
        </w:rPr>
        <w:t>the additional recurring selling and administrative costs of $8.6 million incurred as a result of acquisitions in the Americas, Southern Europe and APME; partially offset by</w:t>
      </w:r>
    </w:p>
    <w:p>
      <w:pPr>
        <w:spacing w:after="0" w:line="170"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6"/>
        </w:numPr>
        <w:rPr>
          <w:rFonts w:ascii="Arial" w:cs="Arial" w:eastAsia="Arial" w:hAnsi="Arial"/>
          <w:sz w:val="18"/>
          <w:szCs w:val="18"/>
          <w:color w:val="282A32"/>
        </w:rPr>
      </w:pPr>
      <w:r>
        <w:rPr>
          <w:rFonts w:ascii="Arial" w:cs="Arial" w:eastAsia="Arial" w:hAnsi="Arial"/>
          <w:sz w:val="18"/>
          <w:szCs w:val="18"/>
          <w:color w:val="auto"/>
        </w:rPr>
        <w:t>a 1.4% decrease (-4.7% in constant currency and -5.1% in organic constant currency) in variable incentive costs due to a decline in profitability in certain markets</w:t>
      </w:r>
      <w:r>
        <w:rPr>
          <w:rFonts w:ascii="Arial" w:cs="Arial" w:eastAsia="Arial" w:hAnsi="Arial"/>
          <w:sz w:val="18"/>
          <w:szCs w:val="18"/>
          <w:color w:val="282A32"/>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administrative expenses as a percent of revenues decreased 20 basis points (-0.20%) in the nine months ended September 30, 2018 compared to 2017 due to a 30 basis point (-0.30%) favorable impact from better expense leverage as a result of our strong focus on productivity and efficiency, and a 10 basis point (-0.10%) favorable impact due to the decrease in variable incentive costs, partially offset by a 20 basis point (0.20%) unfavorable impact due to the consulting costs incurred in the first nine months of 2018.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ind w:right="20"/>
        <w:spacing w:after="0" w:line="291" w:lineRule="auto"/>
        <w:rPr>
          <w:sz w:val="20"/>
          <w:szCs w:val="20"/>
          <w:color w:val="auto"/>
        </w:rPr>
      </w:pPr>
      <w:r>
        <w:rPr>
          <w:rFonts w:ascii="Arial" w:cs="Arial" w:eastAsia="Arial" w:hAnsi="Arial"/>
          <w:sz w:val="16"/>
          <w:szCs w:val="16"/>
          <w:color w:val="auto"/>
        </w:rPr>
        <w:t>Interest and other expenses were $38.4 million for the nine months ended September 30, 2018 compared to $38.5 million for the nine months ended September 30, 2017. Net interest expense was flat at $33.0 million for both the nine months ended September 30, 2018 and 2017. Foreign exchange losses in the nine months ended September 30, 2018 were $2.8 million compared to $0.4 million in the nine months ended September 30, 2017. The increase in foreign exchange losses was primarily due to the $3.6 million translation loss in Argentina as a result of the highly-inflationary designation of its economy as of July 1, 2018. Miscellaneous expenses decreased to $2.6 million for the nine months ended September 30, 2018 from $5.1 million for the nine months ended September 30, 2017. The first nine months of 2018 included a gain on sale of investments partially offset by a loss on the change in fair value of the investments both held by our minority-owned Swiss franchise. The first nine months of 2017 included a loss on an investment.</w:t>
      </w:r>
    </w:p>
    <w:p>
      <w:pPr>
        <w:spacing w:after="0" w:line="16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recorded income tax expense at an effective rate of 26.3% for the nine months ended September 30, 2018 compared to an effective rate of 35.9% for the nine months ended September 30, 2017. The 2018 rate was favorably impacted by the enactment of the Tax Act in December 2017. The 26.3% effective tax rate for the nine months ended September 30, 2018 was higher than the United States Federal statutory rate of 21% due primarily to the French business tax.</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earnings per share - diluted was $6.03 and $4.84 for the nine months ended September 30, 2018 and 2017, respectively. Foreign currency exchange rates favorably impacted net earnings per share - diluted by approximately $0.19 per share for the nine months ended September 30, 2018. Restructuring costs recorded in the nine months ended September 30, 2018 and 2017 negatively impacted net earnings per share - diluted by approximately $0.45 and $0.41 per share, net of tax, for the nine months ended September 30, 2018 and 2017, respectively. The translation loss from the Argentina highly-inflationary designation recorded in the third quarter of 2018 negatively impacted net earnings per share - diluted by approximately $0.04 per share, net of tax, for the nine months ended September 30, 2018.</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Weighted average shares - diluted decreased 2.8% to 66.1 million for the nine months ended September 30, 2018 from 68.1 million for the nine months ended September 30, 2017. This decrease was due to the impact of share repurchases completed since the third quarter of 2017 and the full weighting of the repurchases completed in the first nine months of 2017, partially offset by shares issued as a result of exercises and vesting of share-based awards since the third quarter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the Americas, revenues from services decreased 2.0% (increase of 1.9% in constant currency and 1.0% in organic constant currency) in the third quarter of 2018 compared to 2017. In the United States, revenues from services decreased 4.0% in the third quarter of 2018 compared to 2017, primarily driven by a decline in our Experis interim services, </w:t>
      </w:r>
      <w:r>
        <w:rPr>
          <w:rFonts w:ascii="Arial" w:cs="Arial" w:eastAsia="Arial" w:hAnsi="Arial"/>
          <w:sz w:val="16"/>
          <w:szCs w:val="16"/>
          <w:color w:val="282A32"/>
        </w:rPr>
        <w:t>specifically within the IT sector because of decreased demand from larger clients, and a decline in our Manpower</w:t>
      </w:r>
      <w:r>
        <w:rPr>
          <w:rFonts w:ascii="Arial" w:cs="Arial" w:eastAsia="Arial" w:hAnsi="Arial"/>
          <w:sz w:val="16"/>
          <w:szCs w:val="16"/>
          <w:color w:val="auto"/>
        </w:rPr>
        <w:t xml:space="preserve"> </w:t>
      </w:r>
      <w:r>
        <w:rPr>
          <w:rFonts w:ascii="Arial" w:cs="Arial" w:eastAsia="Arial" w:hAnsi="Arial"/>
          <w:sz w:val="16"/>
          <w:szCs w:val="16"/>
          <w:color w:val="282A32"/>
        </w:rPr>
        <w:t>staffing services, as we experienced challenges in finding individuals with the relevant skills needed to match our clients' requirements, despite good client demand during the quarter. These declines are partially offset by an increase in our ManpowerGroup Solutions business primarily within our MSP offering</w:t>
      </w:r>
      <w:r>
        <w:rPr>
          <w:rFonts w:ascii="Arial" w:cs="Arial" w:eastAsia="Arial" w:hAnsi="Arial"/>
          <w:sz w:val="16"/>
          <w:szCs w:val="16"/>
          <w:color w:val="000000"/>
        </w:rPr>
        <w:t>. In</w:t>
      </w:r>
      <w:r>
        <w:rPr>
          <w:rFonts w:ascii="Arial" w:cs="Arial" w:eastAsia="Arial" w:hAnsi="Arial"/>
          <w:sz w:val="16"/>
          <w:szCs w:val="16"/>
          <w:color w:val="282A32"/>
        </w:rPr>
        <w:t xml:space="preserve"> </w:t>
      </w:r>
      <w:r>
        <w:rPr>
          <w:rFonts w:ascii="Arial" w:cs="Arial" w:eastAsia="Arial" w:hAnsi="Arial"/>
          <w:sz w:val="16"/>
          <w:szCs w:val="16"/>
          <w:color w:val="000000"/>
        </w:rPr>
        <w:t>Other Americas, revenues from services increased 1.3% (11.7% in constant currency and 9.3% in organic currency) in the third quarter of 2018 compared to 2017. We experienced constant currency revenue growth in Mexico, Canada, Argentina, Colombia, Peru and Brazil of 5.4%, 16.3%, 13.6%, 14.5%, 3.0% and 15.2%, respectively (-0.9%, 11.6%, -37.1%, 14.9%, 1.5% and -7.7%, respectively, as reported). The constant currency increase in Argentina was primarily due to inflation. There has been a steady devaluation of the Argentine peso relative to the United States dollar in the last few years. As of July 1, 2018, the Argentina economy was designated as highly-inflationary and was treated as such for accounting purposes starting in the third quarter of 2018.</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the Americas, revenues from services decreased 0.9% (increase of 1.1% in constant currency and 0.2% in organic constant currency) in the nine months ended September 30, 2018 compared to 2017. In the United States, revenues from services decreased 5.2% in the nine months ended September 30, 2018 compared to 2017, primarily driven by a decline in our Experis interim services, </w:t>
      </w:r>
      <w:r>
        <w:rPr>
          <w:rFonts w:ascii="Arial" w:cs="Arial" w:eastAsia="Arial" w:hAnsi="Arial"/>
          <w:sz w:val="18"/>
          <w:szCs w:val="18"/>
          <w:color w:val="282A32"/>
        </w:rPr>
        <w:t>specifically within the IT sector because of decreased demand from larger</w:t>
      </w:r>
      <w:r>
        <w:rPr>
          <w:rFonts w:ascii="Arial" w:cs="Arial" w:eastAsia="Arial" w:hAnsi="Arial"/>
          <w:sz w:val="18"/>
          <w:szCs w:val="18"/>
          <w:color w:val="auto"/>
        </w:rPr>
        <w:t xml:space="preserve"> </w:t>
      </w:r>
      <w:r>
        <w:rPr>
          <w:rFonts w:ascii="Arial" w:cs="Arial" w:eastAsia="Arial" w:hAnsi="Arial"/>
          <w:sz w:val="18"/>
          <w:szCs w:val="18"/>
          <w:color w:val="282A32"/>
        </w:rPr>
        <w:t>clients, a decline in our Manpower staffing services, as we experienced delays in finding individuals with the relevant skills needed to match our clients' requirements, despite good client demand during the quarter, and a decrease in our ManpowerGroup Solutions business, primarily related to our MSP offering</w:t>
      </w:r>
      <w:r>
        <w:rPr>
          <w:rFonts w:ascii="Arial" w:cs="Arial" w:eastAsia="Arial" w:hAnsi="Arial"/>
          <w:sz w:val="18"/>
          <w:szCs w:val="18"/>
          <w:color w:val="000000"/>
        </w:rPr>
        <w:t>. In Other Americas, revenues from services increased 6.4% (11.8% in constant currency and 9.4% in organic currency) in the nine months ended</w:t>
      </w:r>
      <w:r>
        <w:rPr>
          <w:rFonts w:ascii="Arial" w:cs="Arial" w:eastAsia="Arial" w:hAnsi="Arial"/>
          <w:sz w:val="18"/>
          <w:szCs w:val="18"/>
          <w:color w:val="282A32"/>
        </w:rPr>
        <w:t xml:space="preserve"> </w:t>
      </w:r>
      <w:r>
        <w:rPr>
          <w:rFonts w:ascii="Arial" w:cs="Arial" w:eastAsia="Arial" w:hAnsi="Arial"/>
          <w:sz w:val="18"/>
          <w:szCs w:val="18"/>
          <w:color w:val="000000"/>
        </w:rPr>
        <w:t>September 30, 2018 compared to 2017. We experienced constant currency revenue growth in Mexico, Canada, Argentina, Colombia and Peru of 8.2%, 6.9%, 15.7%, 13.8% and 3.1%, respectively (6.9%, 8.2%, -21.2%, 15.8% and 3.1%, respectively, as reported). The constant currency increase in Argentina is primarily due to inflation.</w:t>
      </w:r>
    </w:p>
    <w:p>
      <w:pPr>
        <w:spacing w:after="0" w:line="19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 xml:space="preserve">Gross profit margin decreased in the third quarter of 2018 compared to 2017 due to </w:t>
      </w:r>
      <w:r>
        <w:rPr>
          <w:rFonts w:ascii="Arial" w:cs="Arial" w:eastAsia="Arial" w:hAnsi="Arial"/>
          <w:sz w:val="17"/>
          <w:szCs w:val="17"/>
          <w:color w:val="282A32"/>
        </w:rPr>
        <w:t>a declining margin in the United States' MSP business</w:t>
      </w:r>
      <w:r>
        <w:rPr>
          <w:rFonts w:ascii="Arial" w:cs="Arial" w:eastAsia="Arial" w:hAnsi="Arial"/>
          <w:sz w:val="17"/>
          <w:szCs w:val="17"/>
          <w:color w:val="auto"/>
        </w:rPr>
        <w:t xml:space="preserve"> and </w:t>
      </w:r>
      <w:r>
        <w:rPr>
          <w:rFonts w:ascii="Arial" w:cs="Arial" w:eastAsia="Arial" w:hAnsi="Arial"/>
          <w:sz w:val="17"/>
          <w:szCs w:val="17"/>
          <w:color w:val="282A32"/>
        </w:rPr>
        <w:t>business mix</w:t>
      </w:r>
      <w:r>
        <w:rPr>
          <w:rFonts w:ascii="Arial" w:cs="Arial" w:eastAsia="Arial" w:hAnsi="Arial"/>
          <w:sz w:val="17"/>
          <w:szCs w:val="17"/>
          <w:color w:val="auto"/>
        </w:rPr>
        <w:t xml:space="preserve"> </w:t>
      </w:r>
      <w:r>
        <w:rPr>
          <w:rFonts w:ascii="Arial" w:cs="Arial" w:eastAsia="Arial" w:hAnsi="Arial"/>
          <w:sz w:val="17"/>
          <w:szCs w:val="17"/>
          <w:color w:val="282A32"/>
        </w:rPr>
        <w:t>changes within our staffing/interim business, as revenue growth came from our lower-margin entities within Other Americas. These decreases were partially offset by improvement in the United States' staffing/interim gross profit margin due to strong pricing discipline.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7"/>
          <w:szCs w:val="17"/>
          <w:color w:val="auto"/>
        </w:rPr>
        <w:t xml:space="preserve">Gross profit margin decreased in the first nine months of 2018 compared to 2017 due to </w:t>
      </w:r>
      <w:r>
        <w:rPr>
          <w:rFonts w:ascii="Arial" w:cs="Arial" w:eastAsia="Arial" w:hAnsi="Arial"/>
          <w:sz w:val="17"/>
          <w:szCs w:val="17"/>
          <w:color w:val="282A32"/>
        </w:rPr>
        <w:t>business mix changes within our staffing/interim business, as revenue</w:t>
      </w:r>
      <w:r>
        <w:rPr>
          <w:rFonts w:ascii="Arial" w:cs="Arial" w:eastAsia="Arial" w:hAnsi="Arial"/>
          <w:sz w:val="17"/>
          <w:szCs w:val="17"/>
          <w:color w:val="auto"/>
        </w:rPr>
        <w:t xml:space="preserve"> </w:t>
      </w:r>
      <w:r>
        <w:rPr>
          <w:rFonts w:ascii="Arial" w:cs="Arial" w:eastAsia="Arial" w:hAnsi="Arial"/>
          <w:sz w:val="17"/>
          <w:szCs w:val="17"/>
          <w:color w:val="282A32"/>
        </w:rPr>
        <w:t xml:space="preserve">growth came from our lower-margin entities within Other Americas as well as a decline in the United States' staffing/interim margin due to </w:t>
      </w:r>
      <w:r>
        <w:rPr>
          <w:rFonts w:ascii="Arial" w:cs="Arial" w:eastAsia="Arial" w:hAnsi="Arial"/>
          <w:sz w:val="17"/>
          <w:szCs w:val="17"/>
          <w:color w:val="000000"/>
        </w:rPr>
        <w:t>the non-recurrence of certain prior year favorable reductions related to workers compensation and health care costs in the United States.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Selling and administrative expenses increased 1.4% (4.8% in constant currency and 4.1% in organic constant currency) in the third quarter of 2018 compared to 2017. This year over year increase is due primarily to </w:t>
      </w:r>
      <w:r>
        <w:rPr>
          <w:rFonts w:ascii="Arial" w:cs="Arial" w:eastAsia="Arial" w:hAnsi="Arial"/>
          <w:sz w:val="17"/>
          <w:szCs w:val="17"/>
          <w:color w:val="282A32"/>
        </w:rPr>
        <w:t>increased costs related to certain technology projects and back-office and delivery-model</w:t>
      </w:r>
      <w:r>
        <w:rPr>
          <w:rFonts w:ascii="Arial" w:cs="Arial" w:eastAsia="Arial" w:hAnsi="Arial"/>
          <w:sz w:val="17"/>
          <w:szCs w:val="17"/>
          <w:color w:val="auto"/>
        </w:rPr>
        <w:t xml:space="preserve"> </w:t>
      </w:r>
      <w:r>
        <w:rPr>
          <w:rFonts w:ascii="Arial" w:cs="Arial" w:eastAsia="Arial" w:hAnsi="Arial"/>
          <w:sz w:val="17"/>
          <w:szCs w:val="17"/>
          <w:color w:val="282A32"/>
        </w:rPr>
        <w:t>optimization activities and the additional recurring selling and administrative costs incurred as a result of an acquisition in Other Americas</w:t>
      </w:r>
      <w:r>
        <w:rPr>
          <w:rFonts w:ascii="Arial" w:cs="Arial" w:eastAsia="Arial" w:hAnsi="Arial"/>
          <w:sz w:val="17"/>
          <w:szCs w:val="17"/>
          <w:color w:val="000000"/>
        </w:rPr>
        <w:t>.</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Selling and administrative expenses decreased 2.3% (-0.6% in constant currency and -1.2% in organic constant currency) during the nine months ended September 30, 2018 compared to 2017. This year over year decrease is due primarily to s</w:t>
      </w:r>
      <w:r>
        <w:rPr>
          <w:rFonts w:ascii="Arial" w:cs="Arial" w:eastAsia="Arial" w:hAnsi="Arial"/>
          <w:sz w:val="16"/>
          <w:szCs w:val="16"/>
          <w:color w:val="282A32"/>
        </w:rPr>
        <w:t>trong cost management and a decline in salary-related expenses as a</w:t>
      </w:r>
      <w:r>
        <w:rPr>
          <w:rFonts w:ascii="Arial" w:cs="Arial" w:eastAsia="Arial" w:hAnsi="Arial"/>
          <w:sz w:val="16"/>
          <w:szCs w:val="16"/>
          <w:color w:val="auto"/>
        </w:rPr>
        <w:t xml:space="preserve"> </w:t>
      </w:r>
      <w:r>
        <w:rPr>
          <w:rFonts w:ascii="Arial" w:cs="Arial" w:eastAsia="Arial" w:hAnsi="Arial"/>
          <w:sz w:val="16"/>
          <w:szCs w:val="16"/>
          <w:color w:val="282A32"/>
        </w:rPr>
        <w:t>result of lower headcount in the United States and a decrease in restructuring costs to $0.3 million in the first nine months of 2018, respectively, from $6.3 million in the first nine months of 2017. These decreases were partially offset by increased costs related to certain technology projects and back-office and delivery-model optimization activities and the additional recurring selling and administrative costs incurred as a result of an acquisition in Other Americas</w:t>
      </w:r>
      <w:r>
        <w:rPr>
          <w:rFonts w:ascii="Arial" w:cs="Arial" w:eastAsia="Arial" w:hAnsi="Arial"/>
          <w:sz w:val="16"/>
          <w:szCs w:val="16"/>
          <w:color w:val="000000"/>
        </w:rPr>
        <w:t>.</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Operating Unit Profit (“OUP”) margin in the Americas was 4.9% and 5.6% for the third quarter of 2018 and 2017, respectively. In the United States, OUP margin decreased to 5.2% in the third quarter of 2018 from 6.6% in 2017 due to the increased costs as a result of investment in certain technology and back-office and delivery model optimization activities. Other Americas OUP margin increased to 4.5% in the third quarter of 2018 compared to 4.0% in 2017 due to improved operating leverage on increased revenues, partially offset by a decrease in the gross profit margin.</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OUP margin in the Americas was 4.8% and 5.0% for the nine months ended September 30, 2018 and 2017, respectively. This decrease was primarily due to the decline of the United States margin. In the United States, OUP margin decreased to 5.2% in the nine months ended September 30, 2018 from 5.7% in 2017 due to the increased costs as a result of investment in certain technology and back-office and delivery model optimization activities and the slight decline in the gross profit margin, partially offset by the decrease in restructuring costs. Other Americas OUP margin increased to 4.3% in the nine months ended September 30, 2018 from 3.6% in 2017 due to </w:t>
      </w:r>
      <w:r>
        <w:rPr>
          <w:rFonts w:ascii="Arial" w:cs="Arial" w:eastAsia="Arial" w:hAnsi="Arial"/>
          <w:sz w:val="16"/>
          <w:szCs w:val="16"/>
          <w:color w:val="282A32"/>
        </w:rPr>
        <w:t>improved operational leverage, as we were able to support an increase in revenues without a similar</w:t>
      </w:r>
      <w:r>
        <w:rPr>
          <w:rFonts w:ascii="Arial" w:cs="Arial" w:eastAsia="Arial" w:hAnsi="Arial"/>
          <w:sz w:val="16"/>
          <w:szCs w:val="16"/>
          <w:color w:val="auto"/>
        </w:rPr>
        <w:t xml:space="preserve"> </w:t>
      </w:r>
      <w:r>
        <w:rPr>
          <w:rFonts w:ascii="Arial" w:cs="Arial" w:eastAsia="Arial" w:hAnsi="Arial"/>
          <w:sz w:val="16"/>
          <w:szCs w:val="16"/>
          <w:color w:val="282A32"/>
        </w:rPr>
        <w:t>increase in expenses, partially offset by the restructuring costs incurred in the first nine months of 2018 and a slight decrease in the gross profit margin</w:t>
      </w:r>
      <w:r>
        <w:rPr>
          <w:rFonts w:ascii="Arial" w:cs="Arial" w:eastAsia="Arial" w:hAnsi="Arial"/>
          <w:sz w:val="16"/>
          <w:szCs w:val="16"/>
          <w:color w:val="000000"/>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Southern Europe, which includes operations in France and Italy, revenues from services increased 0.6% (1.7% in constant currency) in the third quarter of 2018 compared to 2017. In the third quarter of 2018, revenues from services decreased 1.4% (-0.6% in constant currency) in France (which represents 63% of Southern Europe’s revenues) and increased 6.3% (7.2% in constant currency) in Italy (which represents 18% of Southern Europe’s revenues). The decrease in France is primarily due to softer demand for our Manpower staffing services, partially offset by an increase in our permanent recruitment business of 6.5% (7.4% in constant currency) and an increase in our Proservia business. After adjusting for billing days, our constant currency revenue growth in France decelerated throughout the third quarter of 2018 from 1% growth in July to a 2% decline in September. The increase in Italy was due to increased demand for our Manpower staffing services and a 14.0% increase (14.7% in constant currency) in the permanent recruitment business. This represents a slowing from the 12% constant-currency growth rate in the second quarter due to stronger prior year third quarter comparable figures in Italy. In Other Southern Europe, revenues from services increased 2.2% (4.3% in constant currency) during the third quarter of 2018 compared to 2017, primarily due to increased demand for our Manpower staffing services, the increase in our permanent recruitment business of 17.1% (21.0% in constant currency) and an increase in our ManpowerGroup Solutions business. This increase was partially offset by the 2.6% decrease (-1.7% in constant currency) in Spain.</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Revenues from services increased 13.1% (5.9% in constant currency) in the nine months ended September 30, 2018 compared to 2017. In the nine months ended September 30, 2018, revenues from services increased 10.6% (3.3% in constant currency) in France and increased 21.0% (12.9% in constant currency) in Italy. The increase in France is primarily due to the strong growth in our large client accounts within the staffing market and an increase in our permanent recruitment business of 18.9% (10.5% in constant currency). The increase in Italy is due to increased demand for our Manpower staffing services and</w:t>
      </w:r>
    </w:p>
    <w:p>
      <w:pPr>
        <w:spacing w:after="0" w:line="2"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a 20.9% increase (12.4% in constant currency) in the permanent recruitment business. In Other Southern Europe, revenues from services increased 14.4% (8.4% in constant currency, 7.4% in organic constant currency) during the nine months ended September 30, 2018 compared to 2017, primarily due to increased demand for our Manpower staffing services, the 14.9% increase (7.2% in constant currency; 4.6% in organic constant currency) in Spain, the increase in our permanent recruitment business of 31.3% (25.3% in constant currency) and an increase in our ManpowerGroup Solutions business.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8" w:right="259" w:bottom="1440" w:gutter="0" w:footer="0" w:header="0"/>
        </w:sectPr>
      </w:pPr>
    </w:p>
    <w:bookmarkStart w:id="27" w:name="page28"/>
    <w:bookmarkEnd w:id="27"/>
    <w:p>
      <w:pPr>
        <w:ind w:right="80"/>
        <w:spacing w:after="0" w:line="257" w:lineRule="auto"/>
        <w:rPr>
          <w:sz w:val="20"/>
          <w:szCs w:val="20"/>
          <w:color w:val="auto"/>
        </w:rPr>
      </w:pPr>
      <w:r>
        <w:rPr>
          <w:rFonts w:ascii="Arial" w:cs="Arial" w:eastAsia="Arial" w:hAnsi="Arial"/>
          <w:sz w:val="18"/>
          <w:szCs w:val="18"/>
          <w:color w:val="auto"/>
        </w:rPr>
        <w:t xml:space="preserve">Gross profit margin increased in the third quarter of 2018 compared to 2017 primarily due to an increase in France's staffing/interim margin as a result of favorable direct costs adjustments in the third quarter of 2018, partially offset by the decrease in the CICE payroll tax credit rate (see "Legal Regulations" for a discussion of the proposed new subsidies that are expected to replace CICE in 2019), </w:t>
      </w:r>
      <w:r>
        <w:rPr>
          <w:rFonts w:ascii="Arial" w:cs="Arial" w:eastAsia="Arial" w:hAnsi="Arial"/>
          <w:sz w:val="18"/>
          <w:szCs w:val="18"/>
          <w:color w:val="282A32"/>
        </w:rPr>
        <w:t>and a decrease in Italy's Manpower staffing margin primarily due to</w:t>
      </w:r>
      <w:r>
        <w:rPr>
          <w:rFonts w:ascii="Arial" w:cs="Arial" w:eastAsia="Arial" w:hAnsi="Arial"/>
          <w:sz w:val="18"/>
          <w:szCs w:val="18"/>
          <w:color w:val="auto"/>
        </w:rPr>
        <w:t xml:space="preserve"> </w:t>
      </w:r>
      <w:r>
        <w:rPr>
          <w:rFonts w:ascii="Arial" w:cs="Arial" w:eastAsia="Arial" w:hAnsi="Arial"/>
          <w:sz w:val="18"/>
          <w:szCs w:val="18"/>
          <w:color w:val="282A32"/>
        </w:rPr>
        <w:t>business mix changes and pricing pressures</w:t>
      </w:r>
      <w:r>
        <w:rPr>
          <w:rFonts w:ascii="Arial" w:cs="Arial" w:eastAsia="Arial" w:hAnsi="Arial"/>
          <w:sz w:val="18"/>
          <w:szCs w:val="18"/>
          <w:color w:val="000000"/>
        </w:rPr>
        <w:t>. This decrease was partially offset by an increase of 12.2% (14.2% in constant currency), in our permanent</w:t>
      </w:r>
      <w:r>
        <w:rPr>
          <w:rFonts w:ascii="Arial" w:cs="Arial" w:eastAsia="Arial" w:hAnsi="Arial"/>
          <w:sz w:val="18"/>
          <w:szCs w:val="18"/>
          <w:color w:val="282A32"/>
        </w:rPr>
        <w:t xml:space="preserve"> </w:t>
      </w:r>
      <w:r>
        <w:rPr>
          <w:rFonts w:ascii="Arial" w:cs="Arial" w:eastAsia="Arial" w:hAnsi="Arial"/>
          <w:sz w:val="18"/>
          <w:szCs w:val="18"/>
          <w:color w:val="000000"/>
        </w:rPr>
        <w:t>recruitment business.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Gross profit margin decreased in the nine months ended September 30, 2018 compared to 2017 primarily due to a decrease in France's staffing/interim margin as a result of the decrease in the CICE payroll tax credit rate, partially offset by favorable direct costs adjustments in the third quarter of 2018, </w:t>
      </w:r>
      <w:r>
        <w:rPr>
          <w:rFonts w:ascii="Arial" w:cs="Arial" w:eastAsia="Arial" w:hAnsi="Arial"/>
          <w:sz w:val="18"/>
          <w:szCs w:val="18"/>
          <w:color w:val="282A32"/>
        </w:rPr>
        <w:t>and a decrease</w:t>
      </w:r>
      <w:r>
        <w:rPr>
          <w:rFonts w:ascii="Arial" w:cs="Arial" w:eastAsia="Arial" w:hAnsi="Arial"/>
          <w:sz w:val="18"/>
          <w:szCs w:val="18"/>
          <w:color w:val="auto"/>
        </w:rPr>
        <w:t xml:space="preserve"> </w:t>
      </w:r>
      <w:r>
        <w:rPr>
          <w:rFonts w:ascii="Arial" w:cs="Arial" w:eastAsia="Arial" w:hAnsi="Arial"/>
          <w:sz w:val="18"/>
          <w:szCs w:val="18"/>
          <w:color w:val="282A32"/>
        </w:rPr>
        <w:t>in Italy's Manpower staffing margin primarily due to business mix changes and pricing pressures</w:t>
      </w:r>
      <w:r>
        <w:rPr>
          <w:rFonts w:ascii="Arial" w:cs="Arial" w:eastAsia="Arial" w:hAnsi="Arial"/>
          <w:sz w:val="18"/>
          <w:szCs w:val="18"/>
          <w:color w:val="000000"/>
        </w:rPr>
        <w:t>. This decrease was partially offset by an increase of</w:t>
      </w:r>
      <w:r>
        <w:rPr>
          <w:rFonts w:ascii="Arial" w:cs="Arial" w:eastAsia="Arial" w:hAnsi="Arial"/>
          <w:sz w:val="18"/>
          <w:szCs w:val="18"/>
          <w:color w:val="282A32"/>
        </w:rPr>
        <w:t xml:space="preserve"> </w:t>
      </w:r>
      <w:r>
        <w:rPr>
          <w:rFonts w:ascii="Arial" w:cs="Arial" w:eastAsia="Arial" w:hAnsi="Arial"/>
          <w:sz w:val="18"/>
          <w:szCs w:val="18"/>
          <w:color w:val="000000"/>
        </w:rPr>
        <w:t>23.8% (16.2% in constant currency) in our permanent recruitment business.</w:t>
      </w:r>
    </w:p>
    <w:p>
      <w:pPr>
        <w:spacing w:after="0" w:line="18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Selling and administrative expenses increased 0.9% (2.3% in constant currency) during the third quarter of 2018 compared to 2017 </w:t>
      </w:r>
      <w:r>
        <w:rPr>
          <w:rFonts w:ascii="Arial" w:cs="Arial" w:eastAsia="Arial" w:hAnsi="Arial"/>
          <w:sz w:val="16"/>
          <w:szCs w:val="16"/>
          <w:color w:val="282A32"/>
        </w:rPr>
        <w:t>primarily due to an</w:t>
      </w:r>
      <w:r>
        <w:rPr>
          <w:rFonts w:ascii="Arial" w:cs="Arial" w:eastAsia="Arial" w:hAnsi="Arial"/>
          <w:sz w:val="16"/>
          <w:szCs w:val="16"/>
          <w:color w:val="auto"/>
        </w:rPr>
        <w:t xml:space="preserve"> </w:t>
      </w:r>
      <w:r>
        <w:rPr>
          <w:rFonts w:ascii="Arial" w:cs="Arial" w:eastAsia="Arial" w:hAnsi="Arial"/>
          <w:sz w:val="16"/>
          <w:szCs w:val="16"/>
          <w:color w:val="282A32"/>
        </w:rPr>
        <w:t>increase in organic salary-related expenses, as a result of higher headcount, and non-personnel related costs to support the increase in revenues.</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Selling and administrative expenses increased 13.2% (5.8% in constant currency; 5.6% in organic constant currency) during the nine months ended September 30, 2018 compared to 2017. The increases are </w:t>
      </w:r>
      <w:r>
        <w:rPr>
          <w:rFonts w:ascii="Arial" w:cs="Arial" w:eastAsia="Arial" w:hAnsi="Arial"/>
          <w:sz w:val="18"/>
          <w:szCs w:val="18"/>
          <w:color w:val="282A32"/>
        </w:rPr>
        <w:t>primarily due to an increase in organic salary-related expenses, as a result of higher headcount,</w:t>
      </w:r>
      <w:r>
        <w:rPr>
          <w:rFonts w:ascii="Arial" w:cs="Arial" w:eastAsia="Arial" w:hAnsi="Arial"/>
          <w:sz w:val="18"/>
          <w:szCs w:val="18"/>
          <w:color w:val="auto"/>
        </w:rPr>
        <w:t xml:space="preserve"> </w:t>
      </w:r>
      <w:r>
        <w:rPr>
          <w:rFonts w:ascii="Arial" w:cs="Arial" w:eastAsia="Arial" w:hAnsi="Arial"/>
          <w:sz w:val="18"/>
          <w:szCs w:val="18"/>
          <w:color w:val="282A32"/>
        </w:rPr>
        <w:t>restructuring costs of $5.4 million in first nine months of 2018, non-personnel related costs to support the increase in revenues, and the additional recurring selling and administrative costs incurred as a result of the acquisitions in Spain.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OUP margin in Southern Europe was 5.2% for the third quarter of 2018 compared to 5.1% for 2017. In France, the OUP margin increased to 5.4% for the third quarter of 2018 from 5.2% in 2017, primarily due to the increase of the gross profit margin as a result of the favorable direct costs adjustments in the third quarter of 2018. In Italy, the OUP margin remained flat at 6.3% for both the third quarter of 2018 and 2017, as </w:t>
      </w:r>
      <w:r>
        <w:rPr>
          <w:rFonts w:ascii="Arial" w:cs="Arial" w:eastAsia="Arial" w:hAnsi="Arial"/>
          <w:sz w:val="18"/>
          <w:szCs w:val="18"/>
          <w:color w:val="282A32"/>
        </w:rPr>
        <w:t>improved operational leverage was offset</w:t>
      </w:r>
      <w:r>
        <w:rPr>
          <w:rFonts w:ascii="Arial" w:cs="Arial" w:eastAsia="Arial" w:hAnsi="Arial"/>
          <w:sz w:val="18"/>
          <w:szCs w:val="18"/>
          <w:color w:val="auto"/>
        </w:rPr>
        <w:t xml:space="preserve"> </w:t>
      </w:r>
      <w:r>
        <w:rPr>
          <w:rFonts w:ascii="Arial" w:cs="Arial" w:eastAsia="Arial" w:hAnsi="Arial"/>
          <w:sz w:val="18"/>
          <w:szCs w:val="18"/>
          <w:color w:val="282A32"/>
        </w:rPr>
        <w:t xml:space="preserve">by </w:t>
      </w:r>
      <w:r>
        <w:rPr>
          <w:rFonts w:ascii="Arial" w:cs="Arial" w:eastAsia="Arial" w:hAnsi="Arial"/>
          <w:sz w:val="18"/>
          <w:szCs w:val="18"/>
          <w:color w:val="000000"/>
        </w:rPr>
        <w:t>the decline in the gross profit margin. Other Southern Europe’s OUP margin increased to 3.7% for the third quarter of 2018 from 3.6% in 2017, due to</w:t>
      </w:r>
      <w:r>
        <w:rPr>
          <w:rFonts w:ascii="Arial" w:cs="Arial" w:eastAsia="Arial" w:hAnsi="Arial"/>
          <w:sz w:val="18"/>
          <w:szCs w:val="18"/>
          <w:color w:val="282A32"/>
        </w:rPr>
        <w:t xml:space="preserve"> improved operational leverage, partially offset by a decrease </w:t>
      </w:r>
      <w:r>
        <w:rPr>
          <w:rFonts w:ascii="Arial" w:cs="Arial" w:eastAsia="Arial" w:hAnsi="Arial"/>
          <w:sz w:val="18"/>
          <w:szCs w:val="18"/>
          <w:color w:val="000000"/>
        </w:rPr>
        <w:t>in the gross profit margin.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OUP margin in Southern Europe was 4.8% for the nine months ended September 30, 2018 compared to 5.0% for 2017. In France, the OUP margin decreased to 4.8% for the nine months ended September 30, 2018 from 5.0% for 2017, primarily due to the decline in the gross profit margin and an increase in expenses as we invest to support higher growth. In Italy, the OUP margin decreased to 6.5% for the nine months ended September 30, 2018 from 6.7% for 2017, due to the decline in the gross profit margin and the restructuring costs incurred in the first nine months of 2018, partially offset by </w:t>
      </w:r>
      <w:r>
        <w:rPr>
          <w:rFonts w:ascii="Arial" w:cs="Arial" w:eastAsia="Arial" w:hAnsi="Arial"/>
          <w:sz w:val="18"/>
          <w:szCs w:val="18"/>
          <w:color w:val="282A32"/>
        </w:rPr>
        <w:t>improved</w:t>
      </w:r>
      <w:r>
        <w:rPr>
          <w:rFonts w:ascii="Arial" w:cs="Arial" w:eastAsia="Arial" w:hAnsi="Arial"/>
          <w:sz w:val="18"/>
          <w:szCs w:val="18"/>
          <w:color w:val="auto"/>
        </w:rPr>
        <w:t xml:space="preserve"> </w:t>
      </w:r>
      <w:r>
        <w:rPr>
          <w:rFonts w:ascii="Arial" w:cs="Arial" w:eastAsia="Arial" w:hAnsi="Arial"/>
          <w:sz w:val="18"/>
          <w:szCs w:val="18"/>
          <w:color w:val="282A32"/>
        </w:rPr>
        <w:t>operational leverage, as we were able to support an increase in revenues without a similar increase in expenses</w:t>
      </w:r>
      <w:r>
        <w:rPr>
          <w:rFonts w:ascii="Arial" w:cs="Arial" w:eastAsia="Arial" w:hAnsi="Arial"/>
          <w:sz w:val="18"/>
          <w:szCs w:val="18"/>
          <w:color w:val="000000"/>
        </w:rPr>
        <w:t>. Other Southern Europe’s OUP margin</w:t>
      </w:r>
      <w:r>
        <w:rPr>
          <w:rFonts w:ascii="Arial" w:cs="Arial" w:eastAsia="Arial" w:hAnsi="Arial"/>
          <w:sz w:val="18"/>
          <w:szCs w:val="18"/>
          <w:color w:val="282A32"/>
        </w:rPr>
        <w:t xml:space="preserve"> </w:t>
      </w:r>
      <w:r>
        <w:rPr>
          <w:rFonts w:ascii="Arial" w:cs="Arial" w:eastAsia="Arial" w:hAnsi="Arial"/>
          <w:sz w:val="18"/>
          <w:szCs w:val="18"/>
          <w:color w:val="000000"/>
        </w:rPr>
        <w:t>remained flat at 3.4% for both the nine months ended September 30, 2018 and 2017, as the increase in the gross profit margin was offset by the restructuring costs incurred in the first nine months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Northern Europe, which includes operations in the United Kingdom, Germany, the Nordics, the Netherlands and Belgium (representing 31%, 20%, 19%, 14%, and 9%, respectively, of Northern Europe’s revenues), revenues from services decreased 5.9% (-3.9% in constant currency) in the third quarter of 2018 compared to 2017. We experienced revenue declines in the United Kingdom, Germany, the Nordics, the Netherlands and Belgium of 0.5%, 14.4%, 8.8%, 5.1% and 0.2% (-0.1%, -13.7%, -3.1%, -4.2% and increase of 0.8%, respectively, in constant currency). </w:t>
      </w:r>
      <w:r>
        <w:rPr>
          <w:rFonts w:ascii="Arial" w:cs="Arial" w:eastAsia="Arial" w:hAnsi="Arial"/>
          <w:sz w:val="16"/>
          <w:szCs w:val="16"/>
          <w:color w:val="282A32"/>
        </w:rPr>
        <w:t>The Northern Europe revenue decrease is due to</w:t>
      </w:r>
      <w:r>
        <w:rPr>
          <w:rFonts w:ascii="Arial" w:cs="Arial" w:eastAsia="Arial" w:hAnsi="Arial"/>
          <w:sz w:val="16"/>
          <w:szCs w:val="16"/>
          <w:color w:val="auto"/>
        </w:rPr>
        <w:t xml:space="preserve"> </w:t>
      </w:r>
      <w:r>
        <w:rPr>
          <w:rFonts w:ascii="Arial" w:cs="Arial" w:eastAsia="Arial" w:hAnsi="Arial"/>
          <w:sz w:val="16"/>
          <w:szCs w:val="16"/>
          <w:color w:val="282A32"/>
        </w:rPr>
        <w:t xml:space="preserve">reduced demand for our Manpower staffing services, </w:t>
      </w:r>
      <w:r>
        <w:rPr>
          <w:rFonts w:ascii="Arial" w:cs="Arial" w:eastAsia="Arial" w:hAnsi="Arial"/>
          <w:sz w:val="16"/>
          <w:szCs w:val="16"/>
          <w:color w:val="000000"/>
        </w:rPr>
        <w:t>primarily because of the decrease in Germany resulting from issues with the implementation of a new</w:t>
      </w:r>
      <w:r>
        <w:rPr>
          <w:rFonts w:ascii="Arial" w:cs="Arial" w:eastAsia="Arial" w:hAnsi="Arial"/>
          <w:sz w:val="16"/>
          <w:szCs w:val="16"/>
          <w:color w:val="282A32"/>
        </w:rPr>
        <w:t xml:space="preserve"> </w:t>
      </w:r>
      <w:r>
        <w:rPr>
          <w:rFonts w:ascii="Arial" w:cs="Arial" w:eastAsia="Arial" w:hAnsi="Arial"/>
          <w:sz w:val="16"/>
          <w:szCs w:val="16"/>
          <w:color w:val="000000"/>
        </w:rPr>
        <w:t xml:space="preserve">front-office system and certain actions taken to optimize our delivery channels that caused some client disruption, as well as softer demand from the manufacturing sector in that market, </w:t>
      </w:r>
      <w:r>
        <w:rPr>
          <w:rFonts w:ascii="Arial" w:cs="Arial" w:eastAsia="Arial" w:hAnsi="Arial"/>
          <w:sz w:val="16"/>
          <w:szCs w:val="16"/>
          <w:color w:val="282A32"/>
        </w:rPr>
        <w:t>and a</w:t>
      </w:r>
      <w:r>
        <w:rPr>
          <w:rFonts w:ascii="Arial" w:cs="Arial" w:eastAsia="Arial" w:hAnsi="Arial"/>
          <w:sz w:val="16"/>
          <w:szCs w:val="16"/>
          <w:color w:val="000000"/>
        </w:rPr>
        <w:t xml:space="preserve"> 4.5% </w:t>
      </w:r>
      <w:r>
        <w:rPr>
          <w:rFonts w:ascii="Arial" w:cs="Arial" w:eastAsia="Arial" w:hAnsi="Arial"/>
          <w:sz w:val="16"/>
          <w:szCs w:val="16"/>
          <w:color w:val="282A32"/>
        </w:rPr>
        <w:t>(</w:t>
      </w:r>
      <w:r>
        <w:rPr>
          <w:rFonts w:ascii="Arial" w:cs="Arial" w:eastAsia="Arial" w:hAnsi="Arial"/>
          <w:sz w:val="16"/>
          <w:szCs w:val="16"/>
          <w:color w:val="000000"/>
        </w:rPr>
        <w:t xml:space="preserve">-2.4% </w:t>
      </w:r>
      <w:r>
        <w:rPr>
          <w:rFonts w:ascii="Arial" w:cs="Arial" w:eastAsia="Arial" w:hAnsi="Arial"/>
          <w:sz w:val="16"/>
          <w:szCs w:val="16"/>
          <w:color w:val="282A32"/>
        </w:rPr>
        <w:t>in constant currency) decrease in our permanent recruitment business. These decreases were partially</w:t>
      </w:r>
      <w:r>
        <w:rPr>
          <w:rFonts w:ascii="Arial" w:cs="Arial" w:eastAsia="Arial" w:hAnsi="Arial"/>
          <w:sz w:val="16"/>
          <w:szCs w:val="16"/>
          <w:color w:val="000000"/>
        </w:rPr>
        <w:t xml:space="preserve"> </w:t>
      </w:r>
      <w:r>
        <w:rPr>
          <w:rFonts w:ascii="Arial" w:cs="Arial" w:eastAsia="Arial" w:hAnsi="Arial"/>
          <w:sz w:val="16"/>
          <w:szCs w:val="16"/>
          <w:color w:val="282A32"/>
        </w:rPr>
        <w:t>offset by the growth in our Proservia business and increased demand for our Experis interim services, primarily within the IT sector in the United Kingdom.</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Revenues from services increased 5.4% (-0.3% in constant currency) in the nine months ended September 30, 2018 compared to 2017. We experienced revenue growth in the United Kingdom and Belgium of 6.7% and 9.7% (0.6% and 2.5%, respectively, in constant currency). We also experienced revenue growth in Germany, the Nordics, and the Netherlands of 2.5%, 2.2% and 6.9%, respectively, while revenues decreased 4.7%, 0.3% and 0.6%, respectively, in constant currency. </w:t>
      </w:r>
      <w:r>
        <w:rPr>
          <w:rFonts w:ascii="Arial" w:cs="Arial" w:eastAsia="Arial" w:hAnsi="Arial"/>
          <w:sz w:val="17"/>
          <w:szCs w:val="17"/>
          <w:color w:val="282A32"/>
        </w:rPr>
        <w:t>The Northern Europe constant currency revenue decrease is due to decreased demand for our Manpower staffing services, specifically in</w:t>
      </w:r>
      <w:r>
        <w:rPr>
          <w:rFonts w:ascii="Arial" w:cs="Arial" w:eastAsia="Arial" w:hAnsi="Arial"/>
          <w:sz w:val="17"/>
          <w:szCs w:val="17"/>
          <w:color w:val="auto"/>
        </w:rPr>
        <w:t xml:space="preserve"> </w:t>
      </w:r>
      <w:r>
        <w:rPr>
          <w:rFonts w:ascii="Arial" w:cs="Arial" w:eastAsia="Arial" w:hAnsi="Arial"/>
          <w:sz w:val="17"/>
          <w:szCs w:val="17"/>
          <w:color w:val="282A32"/>
        </w:rPr>
        <w:t xml:space="preserve">Germany, partially offset growth in our Proservia business, a </w:t>
      </w:r>
      <w:r>
        <w:rPr>
          <w:rFonts w:ascii="Arial" w:cs="Arial" w:eastAsia="Arial" w:hAnsi="Arial"/>
          <w:sz w:val="17"/>
          <w:szCs w:val="17"/>
          <w:color w:val="000000"/>
        </w:rPr>
        <w:t>12.4%</w:t>
      </w:r>
      <w:r>
        <w:rPr>
          <w:rFonts w:ascii="Arial" w:cs="Arial" w:eastAsia="Arial" w:hAnsi="Arial"/>
          <w:sz w:val="17"/>
          <w:szCs w:val="17"/>
          <w:color w:val="282A32"/>
        </w:rPr>
        <w:t xml:space="preserve"> (</w:t>
      </w:r>
      <w:r>
        <w:rPr>
          <w:rFonts w:ascii="Arial" w:cs="Arial" w:eastAsia="Arial" w:hAnsi="Arial"/>
          <w:sz w:val="17"/>
          <w:szCs w:val="17"/>
          <w:color w:val="000000"/>
        </w:rPr>
        <w:t>6.5%</w:t>
      </w:r>
      <w:r>
        <w:rPr>
          <w:rFonts w:ascii="Arial" w:cs="Arial" w:eastAsia="Arial" w:hAnsi="Arial"/>
          <w:sz w:val="17"/>
          <w:szCs w:val="17"/>
          <w:color w:val="282A32"/>
        </w:rPr>
        <w:t xml:space="preserve"> in constant currency) increase in our permanent recruitment business, and increased demand for our Experis interim services, primarily within the IT sector in the United Kingdom.</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Gross profit margin decreased in the third quarter of 2018 compared to 2017 primarily due to the </w:t>
      </w:r>
      <w:r>
        <w:rPr>
          <w:rFonts w:ascii="Arial" w:cs="Arial" w:eastAsia="Arial" w:hAnsi="Arial"/>
          <w:sz w:val="18"/>
          <w:szCs w:val="18"/>
          <w:color w:val="282A32"/>
        </w:rPr>
        <w:t>decline in our staffing/interim margin, primarily as a result</w:t>
      </w:r>
      <w:r>
        <w:rPr>
          <w:rFonts w:ascii="Arial" w:cs="Arial" w:eastAsia="Arial" w:hAnsi="Arial"/>
          <w:sz w:val="18"/>
          <w:szCs w:val="18"/>
          <w:color w:val="auto"/>
        </w:rPr>
        <w:t xml:space="preserve"> </w:t>
      </w:r>
      <w:r>
        <w:rPr>
          <w:rFonts w:ascii="Arial" w:cs="Arial" w:eastAsia="Arial" w:hAnsi="Arial"/>
          <w:sz w:val="18"/>
          <w:szCs w:val="18"/>
          <w:color w:val="282A32"/>
        </w:rPr>
        <w:t xml:space="preserve">of business mix changes, and a decrease </w:t>
      </w:r>
      <w:r>
        <w:rPr>
          <w:rFonts w:ascii="Arial" w:cs="Arial" w:eastAsia="Arial" w:hAnsi="Arial"/>
          <w:sz w:val="18"/>
          <w:szCs w:val="18"/>
          <w:color w:val="000000"/>
        </w:rPr>
        <w:t>in our permanent recruitment business. This decrease was partially offset by an increase in our higher-margin</w:t>
      </w:r>
      <w:r>
        <w:rPr>
          <w:rFonts w:ascii="Arial" w:cs="Arial" w:eastAsia="Arial" w:hAnsi="Arial"/>
          <w:sz w:val="18"/>
          <w:szCs w:val="18"/>
          <w:color w:val="282A32"/>
        </w:rPr>
        <w:t xml:space="preserve"> </w:t>
      </w:r>
      <w:r>
        <w:rPr>
          <w:rFonts w:ascii="Arial" w:cs="Arial" w:eastAsia="Arial" w:hAnsi="Arial"/>
          <w:sz w:val="18"/>
          <w:szCs w:val="18"/>
          <w:color w:val="000000"/>
        </w:rPr>
        <w:t>ManpowerGroup Solutions business.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8" w:right="259" w:bottom="1440" w:gutter="0" w:footer="0" w:header="0"/>
        </w:sectPr>
      </w:pPr>
    </w:p>
    <w:bookmarkStart w:id="28" w:name="page29"/>
    <w:bookmarkEnd w:id="28"/>
    <w:p>
      <w:pPr>
        <w:ind w:right="340"/>
        <w:spacing w:after="0" w:line="264" w:lineRule="auto"/>
        <w:rPr>
          <w:sz w:val="20"/>
          <w:szCs w:val="20"/>
          <w:color w:val="auto"/>
        </w:rPr>
      </w:pPr>
      <w:r>
        <w:rPr>
          <w:rFonts w:ascii="Arial" w:cs="Arial" w:eastAsia="Arial" w:hAnsi="Arial"/>
          <w:sz w:val="18"/>
          <w:szCs w:val="18"/>
          <w:color w:val="auto"/>
        </w:rPr>
        <w:t xml:space="preserve">Gross profit margin decreased in the first nine months of 2018 compared to 2017 due to the </w:t>
      </w:r>
      <w:r>
        <w:rPr>
          <w:rFonts w:ascii="Arial" w:cs="Arial" w:eastAsia="Arial" w:hAnsi="Arial"/>
          <w:sz w:val="18"/>
          <w:szCs w:val="18"/>
          <w:color w:val="282A32"/>
        </w:rPr>
        <w:t>decline in our staffing/interim margin, primarily as a result of</w:t>
      </w:r>
      <w:r>
        <w:rPr>
          <w:rFonts w:ascii="Arial" w:cs="Arial" w:eastAsia="Arial" w:hAnsi="Arial"/>
          <w:sz w:val="18"/>
          <w:szCs w:val="18"/>
          <w:color w:val="auto"/>
        </w:rPr>
        <w:t xml:space="preserve"> </w:t>
      </w:r>
      <w:r>
        <w:rPr>
          <w:rFonts w:ascii="Arial" w:cs="Arial" w:eastAsia="Arial" w:hAnsi="Arial"/>
          <w:sz w:val="18"/>
          <w:szCs w:val="18"/>
          <w:color w:val="282A32"/>
        </w:rPr>
        <w:t xml:space="preserve">business mix changes and </w:t>
      </w:r>
      <w:r>
        <w:rPr>
          <w:rFonts w:ascii="Arial" w:cs="Arial" w:eastAsia="Arial" w:hAnsi="Arial"/>
          <w:sz w:val="18"/>
          <w:szCs w:val="18"/>
          <w:color w:val="000000"/>
        </w:rPr>
        <w:t>higher sickness rates in Germany, the Netherlands and Belgium in the first quarter of 2018, partially offset by increases in our</w:t>
      </w:r>
      <w:r>
        <w:rPr>
          <w:rFonts w:ascii="Arial" w:cs="Arial" w:eastAsia="Arial" w:hAnsi="Arial"/>
          <w:sz w:val="18"/>
          <w:szCs w:val="18"/>
          <w:color w:val="282A32"/>
        </w:rPr>
        <w:t xml:space="preserve"> </w:t>
      </w:r>
      <w:r>
        <w:rPr>
          <w:rFonts w:ascii="Arial" w:cs="Arial" w:eastAsia="Arial" w:hAnsi="Arial"/>
          <w:sz w:val="18"/>
          <w:szCs w:val="18"/>
          <w:color w:val="000000"/>
        </w:rPr>
        <w:t>permanent recruitment business and our higher-margin ManpowerGroup Solutions business.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Selling and administrative expenses decreased 3.1% (-1.0% in constant currency) in the third quarter of 2018 compared to 2017. The decrease is due primarily to a decrease in salary-related expenses as a result of a reduction of headcount, partially offset by </w:t>
      </w:r>
      <w:r>
        <w:rPr>
          <w:rFonts w:ascii="Arial" w:cs="Arial" w:eastAsia="Arial" w:hAnsi="Arial"/>
          <w:sz w:val="18"/>
          <w:szCs w:val="18"/>
          <w:color w:val="282A32"/>
        </w:rPr>
        <w:t>an increase in consulting costs related to certain</w:t>
      </w:r>
      <w:r>
        <w:rPr>
          <w:rFonts w:ascii="Arial" w:cs="Arial" w:eastAsia="Arial" w:hAnsi="Arial"/>
          <w:sz w:val="18"/>
          <w:szCs w:val="18"/>
          <w:color w:val="auto"/>
        </w:rPr>
        <w:t xml:space="preserve"> </w:t>
      </w:r>
      <w:r>
        <w:rPr>
          <w:rFonts w:ascii="Arial" w:cs="Arial" w:eastAsia="Arial" w:hAnsi="Arial"/>
          <w:sz w:val="18"/>
          <w:szCs w:val="18"/>
          <w:color w:val="282A32"/>
        </w:rPr>
        <w:t xml:space="preserve">technology projects, </w:t>
      </w:r>
      <w:r>
        <w:rPr>
          <w:rFonts w:ascii="Arial" w:cs="Arial" w:eastAsia="Arial" w:hAnsi="Arial"/>
          <w:sz w:val="18"/>
          <w:szCs w:val="18"/>
          <w:color w:val="000000"/>
        </w:rPr>
        <w:t>front-office centralization and back-office optimization activities.</w:t>
      </w:r>
    </w:p>
    <w:p>
      <w:pPr>
        <w:spacing w:after="0" w:line="18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Selling and administrative expenses increased 8.2% (1.9% in constant currency) in the first nine months of 2018 compared to 2017. The increase is due primarily to the increase in restructuring costs of $33.3 million in the first nine months of 2018 from $23.8 million in 2017. The 2018 restructuring costs related to delivery model and other front-office centralization activities as well as back-office optimization activities primarily in the United Kingdom, Germany, the Netherlands, Norway and Belgium. Excluding the restructuring costs, selling and administrative expenses increased 6.8% (0.8% in constant currency) in the first nine months of 2018 due to </w:t>
      </w:r>
      <w:r>
        <w:rPr>
          <w:rFonts w:ascii="Arial" w:cs="Arial" w:eastAsia="Arial" w:hAnsi="Arial"/>
          <w:sz w:val="17"/>
          <w:szCs w:val="17"/>
          <w:color w:val="282A32"/>
        </w:rPr>
        <w:t>an increase in consulting costs related to certain technology projects,</w:t>
      </w:r>
      <w:r>
        <w:rPr>
          <w:rFonts w:ascii="Arial" w:cs="Arial" w:eastAsia="Arial" w:hAnsi="Arial"/>
          <w:sz w:val="17"/>
          <w:szCs w:val="17"/>
          <w:color w:val="auto"/>
        </w:rPr>
        <w:t xml:space="preserve"> front-office centralization and back-office optimization activities, partially offset by a decrease in salary-related expenses as a result of a reduction of headcount.</w:t>
      </w:r>
    </w:p>
    <w:p>
      <w:pPr>
        <w:spacing w:after="0" w:line="17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OUP margin for Northern Europe for the third quarter of 2018 decreased to 3.1% compared to 3.6% in 2017. OUP margin for the first nine months of 2018 decreased to 2.0% compared to 2.4% in 2017. The decreases in third quarter and first nine months of 2018 are due primarily to the increased costs related to </w:t>
      </w:r>
      <w:r>
        <w:rPr>
          <w:rFonts w:ascii="Arial" w:cs="Arial" w:eastAsia="Arial" w:hAnsi="Arial"/>
          <w:sz w:val="18"/>
          <w:szCs w:val="18"/>
          <w:color w:val="282A32"/>
        </w:rPr>
        <w:t xml:space="preserve">certain technology projects, </w:t>
      </w:r>
      <w:r>
        <w:rPr>
          <w:rFonts w:ascii="Arial" w:cs="Arial" w:eastAsia="Arial" w:hAnsi="Arial"/>
          <w:sz w:val="18"/>
          <w:szCs w:val="18"/>
          <w:color w:val="000000"/>
        </w:rPr>
        <w:t>front-office centralization and back-office optimization activities and decreases in the gross profit margins. The decrease for the</w:t>
      </w:r>
      <w:r>
        <w:rPr>
          <w:rFonts w:ascii="Arial" w:cs="Arial" w:eastAsia="Arial" w:hAnsi="Arial"/>
          <w:sz w:val="18"/>
          <w:szCs w:val="18"/>
          <w:color w:val="282A32"/>
        </w:rPr>
        <w:t xml:space="preserve"> </w:t>
      </w:r>
      <w:r>
        <w:rPr>
          <w:rFonts w:ascii="Arial" w:cs="Arial" w:eastAsia="Arial" w:hAnsi="Arial"/>
          <w:sz w:val="18"/>
          <w:szCs w:val="18"/>
          <w:color w:val="000000"/>
        </w:rPr>
        <w:t>first nine months of 2018 is also due to the increase in restructuring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APME, revenues from services increased 7.2% (10.3% in constant currency and 9.5% in organic constant currency) in the third quarter of 2018 compared to 2017. In Japan (which represents 31% of APME’s revenues), revenues from services increased 2.9% (3.4% in constant currency) due to the increased demand for our Manpower staffing services, a 7.7% increase (8.1% in constant currency) in our permanent recruitment business, and an increase in our ManpowerGroup Solutions business. In Australia (which represents 21% of APME’s revenues), revenues from services increased 0.7% (8.8% in constant currency) due to the increased demand for our Manpower staffing services, partially offset by a 3.9% decrease (increase of 3.6% in constant currency) in our permanent recruitment business. The revenue increase in the remaining markets in APME is due to increased demand for our Manpower staffing services, mostly in India, Greater China, Thailand, and Malaysia and an increase in our permanent recruitment and ManpowerGroup Solutions businesses.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Revenues from services increased 11.2% (9.7% in constant currency and 8.7% in organic constant currency) in the nine months ended September 30, 2018 compared to 2017. In Japan and Australia, revenues from services increased 5.0% and 5.2%, respectively (2.8% and 6.6%, respectively, in constant currency). The increase in Japan is due to the increased demand for our Manpower staffing services and a 20.5% increase (18.2% in constant currency) in our permanent recruitment business. The increase in Australia is due to the increase in our Manpower staffing business and a 6.8% increase (7.8% in constant currency) in our permanent recruitment business. The revenue increase in the remaining markets in APME is due to increased demand for our Manpower staffing services, mostly in India, Greater China, Thailand, Singapore and Malaysia and an increase in our permanent recruitment businesses.</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margin increased in both the third quarter and first nine months of 2018 compared to 2017 due to the improvements in our staffing/interim margins as a result of favorable direct costs adjustments in the third quarter of 2018 in Japan, and increases in our permanent recruitment business of 3.8% and 13.7% (8.2% and 12.5% in constant currency), respectively. The increase in the first nine months of 2018 is also due to a margin increase in our ManpowerGroup Solutions business.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Selling and administrative expenses increased 4.6% (7.9% in constant currency and 6.5% in organic constant currency) in the third quarter of 2018 compared to 2017. Selling and administrative expenses increased 9.1% (7.6% in constant currency and 6.0% in organic constant currency) in the nine months ended September 30, 2018 compared to 2017. The increases are due to the increases in salary-related costs because of higher headcount to support the increase in revenues and </w:t>
      </w:r>
      <w:r>
        <w:rPr>
          <w:rFonts w:ascii="Arial" w:cs="Arial" w:eastAsia="Arial" w:hAnsi="Arial"/>
          <w:sz w:val="17"/>
          <w:szCs w:val="17"/>
          <w:color w:val="282A32"/>
        </w:rPr>
        <w:t>the additional recurring selling and administrative costs incurred as a result of an acquisition</w:t>
      </w:r>
      <w:r>
        <w:rPr>
          <w:rFonts w:ascii="Arial" w:cs="Arial" w:eastAsia="Arial" w:hAnsi="Arial"/>
          <w:sz w:val="17"/>
          <w:szCs w:val="17"/>
          <w:color w:val="auto"/>
        </w:rPr>
        <w:t>.</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OUP margin for APME was 4.5% in the third quarter of 2018 compared to 4.1% in 2017. OUP margin was 4.1% in the nine months ended September 30, 2018 compared to 3.6% in 2017. The increases were due to </w:t>
      </w:r>
      <w:r>
        <w:rPr>
          <w:rFonts w:ascii="Arial" w:cs="Arial" w:eastAsia="Arial" w:hAnsi="Arial"/>
          <w:sz w:val="18"/>
          <w:szCs w:val="18"/>
          <w:color w:val="282A32"/>
        </w:rPr>
        <w:t>improved operating leverage on increased revenues and the improvement in the gross profit</w:t>
      </w:r>
      <w:r>
        <w:rPr>
          <w:rFonts w:ascii="Arial" w:cs="Arial" w:eastAsia="Arial" w:hAnsi="Arial"/>
          <w:sz w:val="18"/>
          <w:szCs w:val="18"/>
          <w:color w:val="auto"/>
        </w:rPr>
        <w:t xml:space="preserve"> </w:t>
      </w:r>
      <w:r>
        <w:rPr>
          <w:rFonts w:ascii="Arial" w:cs="Arial" w:eastAsia="Arial" w:hAnsi="Arial"/>
          <w:sz w:val="18"/>
          <w:szCs w:val="18"/>
          <w:color w:val="282A32"/>
        </w:rPr>
        <w:t>margins</w:t>
      </w:r>
      <w:r>
        <w:rPr>
          <w:rFonts w:ascii="Arial" w:cs="Arial" w:eastAsia="Arial" w:hAnsi="Arial"/>
          <w:sz w:val="18"/>
          <w:szCs w:val="18"/>
          <w:color w:val="000000"/>
        </w:rPr>
        <w: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Revenues from services decreased 8.9% (-7.5% in constant currency) in the third quarter of 2018 compared to 2017. The decrease is primarily due to the 10.0% decrease (-8.8% in constant currency) in our outplacement services as we experienced softer demand in our Americas and Asian markets due to the counter-cyclical nature of this business. Our talent management business decreased 6.0% (-3.9% in constant currency) in the third quarter of 2018 compared to 2017 due mostly to softening demand in our Americas and Asian markets.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Revenues from services decreased 9.3% (-11.1% in constant currency) in the nine months ended September 30, 2018 compared to 2017. The decrease is primarily due to the decrease of 11.1% (-13.0% in constant currency) in our outplacement services as we experienced softer demand in most of our markets due to the counter-cyclical nature of this business. Our talent management business decreased 3.2% (-4.9% in constant currency) in the nine months ended September 30, 2018 compared to 2017 due mostly to softening demand in our Americas markets.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Gross profit margin decreased in the third quarter and first nine months of 2018 compared to 2017 due to </w:t>
      </w:r>
      <w:r>
        <w:rPr>
          <w:rFonts w:ascii="Arial" w:cs="Arial" w:eastAsia="Arial" w:hAnsi="Arial"/>
          <w:sz w:val="18"/>
          <w:szCs w:val="18"/>
          <w:color w:val="282A32"/>
        </w:rPr>
        <w:t>the decreases in our outplacement business gross</w:t>
      </w:r>
      <w:r>
        <w:rPr>
          <w:rFonts w:ascii="Arial" w:cs="Arial" w:eastAsia="Arial" w:hAnsi="Arial"/>
          <w:sz w:val="18"/>
          <w:szCs w:val="18"/>
          <w:color w:val="auto"/>
        </w:rPr>
        <w:t xml:space="preserve"> </w:t>
      </w:r>
      <w:r>
        <w:rPr>
          <w:rFonts w:ascii="Arial" w:cs="Arial" w:eastAsia="Arial" w:hAnsi="Arial"/>
          <w:sz w:val="18"/>
          <w:szCs w:val="18"/>
          <w:color w:val="282A32"/>
        </w:rPr>
        <w:t>profit margin and the change in business mix as the higher-margin outplacement business represented a lower percentage of the revenues mix, partially offset by increases in the talent management business gross profit margins</w:t>
      </w:r>
      <w:r>
        <w:rPr>
          <w:rFonts w:ascii="Arial" w:cs="Arial" w:eastAsia="Arial" w:hAnsi="Arial"/>
          <w:sz w:val="18"/>
          <w:szCs w:val="18"/>
          <w:color w:val="000000"/>
        </w:rPr>
        <w: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and administrative expenses decreased 6.1% (-4.5% in constant currency) in the third quarter of 2018 compared to 2017 and decreased 11.1% (-12.8% in constant currency) in the nine months ended September 30, 2018 compared to 2017. The decreases are primarily due to reduced compensation-related expenses, such as salaries and variable-incentive costs, due to lower headcount. The decrease for the nine months ended September 30, 2018 compared to 2017 was also due to the decrease in restructuring costs incurred in the first nine months of 2018 compared to 2017.</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OUP margin for Right Management decreased to 14.0% in the third quarter of 2018 from 15.7% in 2017 due primarily to deleveraging, as we were unable to reduce costs at the same rate as the revenue decline, and the decrease in gross profit margin.</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OUP margin increased to 15.7% in the nine months ended September 30, 2018 from 15.4% in 2017 due to improved operational leverage, and </w:t>
      </w:r>
      <w:r>
        <w:rPr>
          <w:rFonts w:ascii="Arial" w:cs="Arial" w:eastAsia="Arial" w:hAnsi="Arial"/>
          <w:sz w:val="17"/>
          <w:szCs w:val="17"/>
          <w:color w:val="282A32"/>
        </w:rPr>
        <w:t>the decrease of</w:t>
      </w:r>
      <w:r>
        <w:rPr>
          <w:rFonts w:ascii="Arial" w:cs="Arial" w:eastAsia="Arial" w:hAnsi="Arial"/>
          <w:sz w:val="17"/>
          <w:szCs w:val="17"/>
          <w:color w:val="auto"/>
        </w:rPr>
        <w:t xml:space="preserve"> </w:t>
      </w:r>
      <w:r>
        <w:rPr>
          <w:rFonts w:ascii="Arial" w:cs="Arial" w:eastAsia="Arial" w:hAnsi="Arial"/>
          <w:sz w:val="17"/>
          <w:szCs w:val="17"/>
          <w:color w:val="282A32"/>
        </w:rPr>
        <w:t xml:space="preserve">restructuring costs incurred in the first nine months of 2018 compared to 2017, </w:t>
      </w:r>
      <w:r>
        <w:rPr>
          <w:rFonts w:ascii="Arial" w:cs="Arial" w:eastAsia="Arial" w:hAnsi="Arial"/>
          <w:sz w:val="17"/>
          <w:szCs w:val="17"/>
          <w:color w:val="000000"/>
        </w:rPr>
        <w:t>partially offset by</w:t>
      </w:r>
      <w:r>
        <w:rPr>
          <w:rFonts w:ascii="Arial" w:cs="Arial" w:eastAsia="Arial" w:hAnsi="Arial"/>
          <w:sz w:val="17"/>
          <w:szCs w:val="17"/>
          <w:color w:val="282A32"/>
        </w:rPr>
        <w:t xml:space="preserve"> the decline in the gross profit margin</w:t>
      </w:r>
      <w:r>
        <w:rPr>
          <w:rFonts w:ascii="Arial" w:cs="Arial" w:eastAsia="Arial" w:hAnsi="Arial"/>
          <w:sz w:val="17"/>
          <w:szCs w:val="17"/>
          <w:color w:val="000000"/>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constant currency and organic constant currency financial measures are used to supplement those measures that are in accordance with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8"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 reconciliation of these Non-GAAP percentage variances to those calculated based on our GAAP financial results is provided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420"/>
              <w:spacing w:after="0"/>
              <w:rPr>
                <w:sz w:val="20"/>
                <w:szCs w:val="20"/>
                <w:color w:val="auto"/>
              </w:rPr>
            </w:pPr>
            <w:r>
              <w:rPr>
                <w:rFonts w:ascii="Arial" w:cs="Arial" w:eastAsia="Arial" w:hAnsi="Arial"/>
                <w:sz w:val="18"/>
                <w:szCs w:val="18"/>
                <w:b w:val="1"/>
                <w:bCs w:val="1"/>
                <w:color w:val="auto"/>
              </w:rPr>
              <w:t>3 Months Ended September 30, 2018 Compared to 2017</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57" w:lineRule="exact"/>
              <w:rPr>
                <w:sz w:val="20"/>
                <w:szCs w:val="20"/>
                <w:color w:val="auto"/>
              </w:rPr>
            </w:pPr>
            <w:r>
              <w:rPr>
                <w:rFonts w:ascii="Arial" w:cs="Arial" w:eastAsia="Arial" w:hAnsi="Arial"/>
                <w:sz w:val="18"/>
                <w:szCs w:val="18"/>
                <w:color w:val="auto"/>
                <w:w w:val="89"/>
              </w:rPr>
              <w:t>Amount</w:t>
            </w:r>
            <w:r>
              <w:rPr>
                <w:rFonts w:ascii="Arial" w:cs="Arial" w:eastAsia="Arial" w:hAnsi="Arial"/>
                <w:sz w:val="25"/>
                <w:szCs w:val="25"/>
                <w:color w:val="auto"/>
                <w:w w:val="89"/>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406.8</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1,040.0</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1,460.6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410.2</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460.8</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4.3</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2,331.6</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64"/>
        </w:trPr>
        <w:tc>
          <w:tcPr>
            <w:tcW w:w="3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1,287.1</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713.0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5,418.7</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1.0</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890.6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673.9</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420"/>
              <w:spacing w:after="0"/>
              <w:rPr>
                <w:sz w:val="20"/>
                <w:szCs w:val="20"/>
                <w:color w:val="auto"/>
              </w:rPr>
            </w:pPr>
            <w:r>
              <w:rPr>
                <w:rFonts w:ascii="Arial" w:cs="Arial" w:eastAsia="Arial" w:hAnsi="Arial"/>
                <w:sz w:val="18"/>
                <w:szCs w:val="18"/>
                <w:b w:val="1"/>
                <w:bCs w:val="1"/>
                <w:color w:val="auto"/>
              </w:rPr>
              <w:t>9 Months Ended September 30, 2018 Compared to 2017</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57" w:lineRule="exact"/>
              <w:rPr>
                <w:sz w:val="20"/>
                <w:szCs w:val="20"/>
                <w:color w:val="auto"/>
              </w:rPr>
            </w:pPr>
            <w:r>
              <w:rPr>
                <w:rFonts w:ascii="Arial" w:cs="Arial" w:eastAsia="Arial" w:hAnsi="Arial"/>
                <w:sz w:val="18"/>
                <w:szCs w:val="18"/>
                <w:color w:val="auto"/>
                <w:w w:val="89"/>
              </w:rPr>
              <w:t>Amount</w:t>
            </w:r>
            <w:r>
              <w:rPr>
                <w:rFonts w:ascii="Arial" w:cs="Arial" w:eastAsia="Arial" w:hAnsi="Arial"/>
                <w:sz w:val="25"/>
                <w:szCs w:val="25"/>
                <w:color w:val="auto"/>
                <w:w w:val="89"/>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1,225.1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3,115.1</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4,397.1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1,266.8</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1,413.7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7.4</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7,077.6</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4,097.9</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2,158.0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8.7</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16,598.0</w:t>
            </w:r>
          </w:p>
        </w:tc>
        <w:tc>
          <w:tcPr>
            <w:tcW w:w="122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3.3</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2,698.7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2,119.9</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578.8</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ind w:right="6880" w:firstLine="8"/>
        <w:spacing w:after="0" w:line="501" w:lineRule="auto"/>
        <w:tabs>
          <w:tab w:leader="none" w:pos="2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 millions for the nine months ended September 30, 2018. </w:t>
      </w:r>
      <w:r>
        <w:rPr>
          <w:rFonts w:ascii="Arial" w:cs="Arial" w:eastAsia="Arial" w:hAnsi="Arial"/>
          <w:sz w:val="18"/>
          <w:szCs w:val="18"/>
          <w:u w:val="single" w:color="auto"/>
          <w:color w:val="auto"/>
        </w:rPr>
        <w:t>Liquidity and Capital Resources</w:t>
      </w:r>
    </w:p>
    <w:p>
      <w:pPr>
        <w:ind w:right="160"/>
        <w:spacing w:after="0" w:line="271" w:lineRule="auto"/>
        <w:rPr>
          <w:sz w:val="20"/>
          <w:szCs w:val="20"/>
          <w:color w:val="auto"/>
        </w:rPr>
      </w:pPr>
      <w:r>
        <w:rPr>
          <w:rFonts w:ascii="Arial" w:cs="Arial" w:eastAsia="Arial" w:hAnsi="Arial"/>
          <w:sz w:val="17"/>
          <w:szCs w:val="17"/>
          <w:color w:val="auto"/>
        </w:rPr>
        <w:t>Cash used to fund our operations is primarily generated through operating activities and is also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2018, we had $223.7 million of cash held by foreign subsidiaries that was not available to fund domestic operations unless repatriated. We have historically made and anticipate future cash repatriations to the United States from certain foreign subsidiaries to fund domestic operations. With the enactment of the Tax Act in December 2017, we are no longer required to provide United States Federal income taxes on unremitted earnings of non-United States subsidiaries. However, we do record deferred tax liabilities related to non-United States withholding taxes on unremitted earnings that are not considered permanently invested.</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provided by operating activities was $302.0 million during the nine months ended September 30, 2018 compared to $287.5 million during the nine months ended September 30, 2017. Changes in operating assets and liabilities utilized $186.7 million of cash during the nine months ended September 30, 2018 compared to $179.4 million during the nine months ended September 30, 2017. The increase in the operating cash outflow is mainly due to the contingent consideration of $24.1 million paid during the first nine months of 2018 in excess of the contingent consideration liabilities initially recognized on the acquisition date, as well as the timing of collections and payments. The net negative impact of the above items was partially offset by an increase in the net proceeds from the sale of our CICE payroll tax credits to $234.5 million (€190.9 million) in April 2018 from $143.5 million (€133.0 million) in March 2017.</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accounts receivable decreased to $5,331.3 million as of September 30, 2018 from $5,370.5 million as of December 31, 2017. This decrease is due to changes in currency exchange rates. Days Sales Outstanding ("DSO") increased by approximately 5.0 days from December 31, 2017 due to unfavorable mix changes, with higher growth in countries with a higher average DSO, and partly as a result of delayed payments at quarter end due to the month end being on a weekend.</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Capital expenditures were $39.8 million for the nine months ended September 30, 2018 compared to $40.2 million for the nine months ended September 30, 2017. These expenditures were primarily comprised of purchases of computer equipment, office furniture and other costs related to office openings and refurbishments, as well as capitalized software costs.</w:t>
      </w:r>
    </w:p>
    <w:p>
      <w:pPr>
        <w:sectPr>
          <w:pgSz w:w="11900" w:h="16838" w:orient="portrait"/>
          <w:cols w:equalWidth="0" w:num="1">
            <w:col w:w="11420"/>
          </w:cols>
          <w:pgMar w:left="240" w:top="5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26" w:right="239" w:bottom="1440" w:gutter="0" w:footer="0" w:header="0"/>
          <w:type w:val="continuous"/>
        </w:sectPr>
      </w:pPr>
    </w:p>
    <w:bookmarkStart w:id="32" w:name="page33"/>
    <w:bookmarkEnd w:id="32"/>
    <w:p>
      <w:pPr>
        <w:ind w:right="60"/>
        <w:spacing w:after="0" w:line="271" w:lineRule="auto"/>
        <w:rPr>
          <w:sz w:val="20"/>
          <w:szCs w:val="20"/>
          <w:color w:val="auto"/>
        </w:rPr>
      </w:pPr>
      <w:r>
        <w:rPr>
          <w:rFonts w:ascii="Arial" w:cs="Arial" w:eastAsia="Arial" w:hAnsi="Arial"/>
          <w:sz w:val="17"/>
          <w:szCs w:val="17"/>
          <w:color w:val="auto"/>
        </w:rPr>
        <w:t>From time to time, we acquire and invest in companies throughout the world, including franchises. For the nine months ended September 30, 2018, the total cash consideration for acquisitions, net of cash acquired, was $50.9 million, the majority of which took place in the Netherlands. This balance includes initial acquisition payments of $8.2 million and contingent consideration payments of $42.7 million ($18.6 million of which was recognized as a liability at the acquisition date). During the nine months ended September 30, 2017, the total cash consideration for acquisitions, net of cash acquired, was $40.2 million, which includes initial acquisition payments of $27.3 million and contingent consideration related to previous acquisitions of $12.9 million, of which $10.3 million was related to our 2015 acquisition of 7S Group GmbH ("7S") in Germany. During the first nine months of 2018, we classified $24.1 million of payments which were in excess of the contingent consideration liabilities initially recognized on the acquisition date as operating cash flows. The excess cash payments for contingent consideration liabilities made during the first nine months of 2017 were not material.</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provided by net debt borrowings was $170.0 million in the nine months ended September 30, 2018 compared to net debt repayments of $2.6 million in the nine months ended September 30, 2017.</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June 22, 2018, we offered and sold €500.0 million aggregate principal amount of the Company’s 1.750% notes due June 22, 2026 (the “€500.0 million notes”). The net proceeds from the €500.0 million notes of €495.7 million were used to repay our €350.0 million notes due June 22, 2018, with the remaining balance used for general corporate purposes, which included share repurchases, and may be used for additional share repurchases and the acquisition of or investment in complementary businesses or other assets. The €500.0 million notes were issued at a price of 99.564% to yield an effective interest rate of</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1.809%. Interest on the €500.0 million notes is payable in arrears on June 22 of each year. The €500.0 million notes are unsecured senior obligations and will rank equally with all of the Company’s existing and future senior unsecured debt and other liabilities.</w:t>
      </w:r>
    </w:p>
    <w:p>
      <w:pPr>
        <w:spacing w:after="0" w:line="18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€400.0 million notes are due September 2022 (the "€400.0 million notes").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million notes or the €500.0 million notes.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June 18, 2018, we amended and restated our Five Year Credit Agreement (the “Amended Agreement”) with a syndicate of commercial banks, principally to revise the termination date of the facility from September 16, 2020 to June 18, 2023. The remaining material terms and conditions of the Amended Agreement are substantially similar to our Amended and Restated Five Year Credit Agreement dated September 16, 2015.</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2018, we had letters of credit totaling $0.5 million issued under our $600.0 million revolving credit facility. Additional borrowings of $599.5 million were available to us under the facility as of September 30, 2018.</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0.86 to 1 and a fixed charge coverage ratio of 5.31 to 1 as of September 30, 2018. Based on our current forecast, we expect to be in compliance with our financial covenants for the next 12 months.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2018, such credit lines totaled $307.5 million and additional borrowings of $265.5 million could have been made under these lines. Under the revolving credit agreement, total subsidiary borrowings cannot exceed $300.0 million in the first, second and fourth quarters, and $600.0 million in the third quarter of each year.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4, 2018 and May 2, 2017, the Board of Directors declared a semi-annual cash dividend of $1.01 and $0.93 per share, respectively. The 2018 dividends were paid on June 15, 2018 to shareholders of record on June 1, 2018. The 2017 dividends were paid on June 15, 2017 to shareholders of record on June 1, 2017.</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1, 2017, the Board of Directors declared a semi-annual cash dividend of $0.93 per share that was paid on December 15, 2017 to shareholders of record on December 1,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100"/>
        <w:spacing w:after="0" w:line="291" w:lineRule="auto"/>
        <w:rPr>
          <w:sz w:val="20"/>
          <w:szCs w:val="20"/>
          <w:color w:val="auto"/>
        </w:rPr>
      </w:pPr>
      <w:r>
        <w:rPr>
          <w:rFonts w:ascii="Arial" w:cs="Arial" w:eastAsia="Arial" w:hAnsi="Arial"/>
          <w:sz w:val="16"/>
          <w:szCs w:val="16"/>
          <w:color w:val="auto"/>
        </w:rPr>
        <w:t>In August 2018, the Board of Directors authorized the repurchase of an additional 6.0 million shares of our common stock, with terms consistent with the previous authorization. This authorization is in addition to the July 2016 Board authorization to repurchase 6.0 million shares of our common stock. Share repurchases may be made from time to time through a variety of methods, including open market purchases, block transactions, privately negotiated transactions or similar facilities. During the first nine months of 2018, we repurchased a total of 3.1 million shares comprised of 2.8 million shares under the 2016 authorization and 0.3 million shares under the 2018 authorization, at a total cost of $299.2 million. In the first nine months of 2017, we repurchased 1.7 million shares at a cost of $178.0 million under the 2016 authorization. As of September 30, 2018, there were 5.7 million shares remaining authorized for repurchase under the 2018 authorization and no shares remaining authorized for repurchase under the 2016 authorization.</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$2,304.8 million as of September 30, 2018 compared to $2,141.0 million as of December 31, 2017.</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totaling approximately $192.1 million and $201.9 million as of September 30, 2018 and December 31, 2017, respectively, which consist of $140.8 million and $149.3 million for guarantees, respectively, and $51.3 million and $52.6 million for stand-by letters of credit as of September 30, 2018 and December 31, 2017,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$1.4 million and $1.5 million for the nine months ended September 30, 2018 and 2017 respectively.</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recorded net restructuring costs of $39.3 million and $34.5 million during the nine months ended September 30, 2018 and 2017, respectively, in selling and administrative expenses, primarily related to severances and office closures and consolidations in multiple countries and territories. During the nine months ended September 30, 2018, we made payments of $29.3 million out of our restructuring reserve. We expect a majority of the remaining $23.5 million reserve will be paid by the end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performed our annual impairment test of our goodwill during the third quarter of 2018 and determined that there was no impairment of our goodwill.</w:t>
      </w:r>
    </w:p>
    <w:p>
      <w:pPr>
        <w:spacing w:after="0" w:line="2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2018 included: expected future revenue growth rates, operating unit profit margins, working capital levels, discount rates ranging from 10.6% to 14.2%,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2018. The reporting units included below represent approximately 77% of our consolidated goodwill balance as of September 30, 2018.</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Right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France</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Kingdom</w:t>
            </w: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Germany</w:t>
            </w:r>
          </w:p>
        </w:tc>
        <w:tc>
          <w:tcPr>
            <w:tcW w:w="2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Management</w:t>
            </w:r>
          </w:p>
        </w:tc>
        <w:tc>
          <w:tcPr>
            <w:tcW w:w="1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Netherlands</w:t>
            </w:r>
          </w:p>
        </w:tc>
      </w:tr>
      <w:tr>
        <w:trPr>
          <w:trHeight w:val="27"/>
        </w:trPr>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Carrying values</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363.3</w:t>
            </w: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138.6</w:t>
            </w:r>
          </w:p>
        </w:tc>
      </w:tr>
      <w:tr>
        <w:trPr>
          <w:trHeight w:val="702"/>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8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Legal Regulations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2018, the French government published their preliminary budget for 2019. The preliminary budget and related materials indicate that the government intends to replace the current CICE program with new subsidies in 2019. Based on the preliminary budget, we estimate that this will result in a reduction of our gross profit margin in France of approximately 50 basis points (-0.50%) in the first three quarters of 2019, and beginning in the fourth quarter after incremental subsidies are scheduled, we estimate the reduction will then represent approximately 15 basis points (-0.15%) going forward. We would seek to offset this net negative impact in 2019 with ongoing initiatives.</w:t>
      </w:r>
    </w:p>
    <w:p>
      <w:pPr>
        <w:spacing w:after="0" w:line="14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Based on our understanding of the anticipated treatment of the transition from the CICE program at the end of 2018 to the new subsidy program in January of 2019, we believe that the CICE benefit for the month of December 2018 will be substantially reduced. As a result, we estimate a negative impact on our gross profit margin for the month of December in France of approximately 120 basis points (-1.20%) for the fourth quarter of 2018 related to the transition. This would represent an estimated 30 basis point (-0.30%) negative impact on our consolidated gross profit margin and operating profit margin.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Statements made in this quarterly report that are not statements of historical fact, including the statements set forth under the heading "Fourth Quarter 2018 Outlook" in Item 2. Management's Discussion and Analysis of Financial Condition and Results of Operations,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2017,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w:t>
      </w:r>
    </w:p>
    <w:p>
      <w:pPr>
        <w:spacing w:after="0" w:line="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statements. Forward-looking statements can be identified by words such as “expect,” “anticipate,” “intend,” “plan,” “may,” “believe,” “seek,” “estimate,” and similar expressions. Some or all of the factors identified in our annual report on Form 10-K may be beyond our control. Other risks and uncertainties include, but are not limited to, the following: changes in tax legislation in places we do business, including the transition from the CICE program to a new subsidy program in France; challenges in growing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2017 Annual Report on Form 10-K contains certain disclosures about market risks affecting us. There have been no material changes to the information provided which would require additional disclosures as of the date of this filing.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8" w:right="259" w:bottom="1440" w:gutter="0" w:footer="0" w:header="0"/>
        </w:sectPr>
      </w:pPr>
    </w:p>
    <w:bookmarkStart w:id="36" w:name="page37"/>
    <w:bookmarkEnd w:id="36"/>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July 2016, the Board of Directors authorized the repurchase of 6.0 million shares of our common stock. In August 2018, the Board of Directors authorized the repurchase of an additional 6.0 million shares of our common stock. We conduct share repurchases from time to time through a variety of methods, including open market purchases, block transactions, privately negotiated transactions or similar facilities. As of September 30, 2018, there were 5.7 million shares remaining authorized for repurchase under the 2018 authorization and no shares remaining authorized for repurchase under the 2016 authorization. The following table shows the total number of shares repurchased during the third quarter of 2018.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420" w:type="dxa"/>
            <w:vAlign w:val="bottom"/>
            <w:gridSpan w:val="6"/>
          </w:tcPr>
          <w:p>
            <w:pPr>
              <w:ind w:left="100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Total number of</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7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1 - 31, 2018</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382,062</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91.59</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382,062</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1,377,110</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August 1 - 31, 2018</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1,464,260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90.81</w:t>
            </w: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1,464,260</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5,912,850</w:t>
            </w:r>
          </w:p>
        </w:tc>
      </w:tr>
      <w:tr>
        <w:trPr>
          <w:trHeight w:val="27"/>
        </w:trPr>
        <w:tc>
          <w:tcPr>
            <w:tcW w:w="2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1 - 30, 2018</w:t>
            </w:r>
          </w:p>
        </w:tc>
        <w:tc>
          <w:tcPr>
            <w:tcW w:w="17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197,276</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91.42</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197,276</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5,715,574</w:t>
            </w:r>
          </w:p>
        </w:tc>
      </w:tr>
      <w:tr>
        <w:trPr>
          <w:trHeight w:val="257"/>
        </w:trPr>
        <w:tc>
          <w:tcPr>
            <w:tcW w:w="2720" w:type="dxa"/>
            <w:vAlign w:val="bottom"/>
          </w:tcPr>
          <w:p>
            <w:pPr>
              <w:ind w:left="28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2,043,598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91.01</w:t>
            </w:r>
          </w:p>
        </w:tc>
        <w:tc>
          <w:tcPr>
            <w:tcW w:w="3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2,043,598</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5,715,574</w:t>
            </w:r>
          </w:p>
        </w:tc>
      </w:tr>
      <w:tr>
        <w:trPr>
          <w:trHeight w:val="20"/>
        </w:trPr>
        <w:tc>
          <w:tcPr>
            <w:tcW w:w="2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2018:</w:t>
      </w:r>
    </w:p>
    <w:p>
      <w:pPr>
        <w:spacing w:after="0" w:line="116"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38" w:lineRule="exact"/>
        <w:rPr>
          <w:rFonts w:ascii="Arial" w:cs="Arial" w:eastAsia="Arial" w:hAnsi="Arial"/>
          <w:sz w:val="18"/>
          <w:szCs w:val="18"/>
          <w:color w:val="auto"/>
        </w:rPr>
      </w:pPr>
    </w:p>
    <w:p>
      <w:pPr>
        <w:ind w:left="500" w:right="380" w:hanging="465"/>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0">
        <w:r>
          <w:rPr>
            <w:rFonts w:ascii="Arial" w:cs="Arial" w:eastAsia="Arial" w:hAnsi="Arial"/>
            <w:sz w:val="18"/>
            <w:szCs w:val="18"/>
            <w:u w:val="single" w:color="auto"/>
            <w:color w:val="0000FF"/>
          </w:rPr>
          <w:t>12.1</w:t>
        </w:r>
      </w:hyperlink>
      <w:r>
        <w:rPr>
          <w:rFonts w:ascii="Arial" w:cs="Arial" w:eastAsia="Arial" w:hAnsi="Arial"/>
          <w:sz w:val="18"/>
          <w:szCs w:val="18"/>
          <w:u w:val="single" w:color="auto"/>
          <w:color w:val="0000FF"/>
        </w:rPr>
        <w:tab/>
      </w:r>
      <w:hyperlink w:anchor="page40">
        <w:r>
          <w:rPr>
            <w:rFonts w:ascii="Arial" w:cs="Arial" w:eastAsia="Arial" w:hAnsi="Arial"/>
            <w:sz w:val="16"/>
            <w:szCs w:val="16"/>
            <w:u w:val="single" w:color="auto"/>
            <w:color w:val="0000FF"/>
          </w:rPr>
          <w:t>Statement regarding Computation of Ratio of Earnings to Fixed Charges.</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Certification of Jonas Prising, Chief Executive Officer, pursuant to Section 13a-14(a) of the Securities Exchange Act of 1934.</w:t>
        </w:r>
      </w:hyperlink>
    </w:p>
    <w:p>
      <w:pPr>
        <w:spacing w:after="0" w:line="387" w:lineRule="exact"/>
        <w:rPr>
          <w:sz w:val="20"/>
          <w:szCs w:val="20"/>
          <w:color w:val="auto"/>
        </w:rPr>
      </w:pPr>
    </w:p>
    <w:p>
      <w:pPr>
        <w:ind w:left="600" w:hanging="566"/>
        <w:spacing w:after="0" w:line="277" w:lineRule="auto"/>
        <w:tabs>
          <w:tab w:leader="none" w:pos="580" w:val="left"/>
        </w:tabs>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2">
        <w:r>
          <w:rPr>
            <w:rFonts w:ascii="Arial" w:cs="Arial" w:eastAsia="Arial" w:hAnsi="Arial"/>
            <w:sz w:val="18"/>
            <w:szCs w:val="18"/>
            <w:u w:val="single" w:color="auto"/>
            <w:color w:val="0000FF"/>
          </w:rPr>
          <w:t>Certification of John T. McGinnis, Executive Vice President and Chief Financial Officer, pursuant to Section 13a-14(a) of the Securities Exchange</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Act of 1934.</w:t>
        </w:r>
      </w:hyperlink>
    </w:p>
    <w:p>
      <w:pPr>
        <w:spacing w:after="0" w:line="333"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43">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3">
        <w:r>
          <w:rPr>
            <w:rFonts w:ascii="Arial" w:cs="Arial" w:eastAsia="Arial" w:hAnsi="Arial"/>
            <w:sz w:val="16"/>
            <w:szCs w:val="16"/>
            <w:u w:val="single" w:color="auto"/>
            <w:color w:val="0000FF"/>
          </w:rPr>
          <w:t>Statement of Jonas Prising, Chief Executive Officer, pursuant to 18 U.S.C. ss. 1350.</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4">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4">
        <w:r>
          <w:rPr>
            <w:rFonts w:ascii="Arial" w:cs="Arial" w:eastAsia="Arial" w:hAnsi="Arial"/>
            <w:sz w:val="16"/>
            <w:szCs w:val="16"/>
            <w:u w:val="single" w:color="auto"/>
            <w:color w:val="0000FF"/>
          </w:rPr>
          <w:t>Statement of John T. McGinnis, Executive Vice President and Chief Financial Officer, pursuant to 18 U.S.C. ss. 1350.</w:t>
        </w:r>
      </w:hyperlink>
    </w:p>
    <w:p>
      <w:pPr>
        <w:spacing w:after="0" w:line="387" w:lineRule="exact"/>
        <w:rPr>
          <w:sz w:val="20"/>
          <w:szCs w:val="20"/>
          <w:color w:val="auto"/>
        </w:rPr>
      </w:pPr>
    </w:p>
    <w:p>
      <w:pPr>
        <w:ind w:left="600" w:right="420" w:hanging="565"/>
        <w:spacing w:after="0" w:line="312"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2018,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368" w:right="499" w:bottom="1440" w:gutter="0" w:footer="0" w:header="0"/>
        </w:sectPr>
      </w:pPr>
    </w:p>
    <w:bookmarkStart w:id="38" w:name="page39"/>
    <w:bookmarkEnd w:id="38"/>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2018</w:t>
      </w:r>
    </w:p>
    <w:p>
      <w:pPr>
        <w:spacing w:after="0" w:line="36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31750</wp:posOffset>
            </wp:positionV>
            <wp:extent cx="3155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1229"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Arial" w:cs="Arial" w:eastAsia="Arial" w:hAnsi="Arial"/>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Arial" w:cs="Arial" w:eastAsia="Arial" w:hAnsi="Arial"/>
                <w:sz w:val="18"/>
                <w:szCs w:val="18"/>
                <w:color w:val="auto"/>
                <w:w w:val="95"/>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9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September 30, 2018</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540.4</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82.3</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475.5</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651.1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The increase in interest expense due to the adoption was $9.1 million for the nine months ended September 30, 2018. The increase was $11.2 million, $11.6 million, $13.4 million, $16.6 million and $15.9 million for 2017, 2016, 2015, 2014 and 2013, respectively.</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2018</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2018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2018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4"/>
    </w:lvl>
  </w:abstractNum>
  <w:abstractNum w:abstractNumId="16">
    <w:nsid w:val="79838CB2"/>
    <w:multiLevelType w:val="hybridMultilevel"/>
    <w:lvl w:ilvl="0">
      <w:lvlJc w:val="left"/>
      <w:lvlText w:val="(%1)"/>
      <w:numFmt w:val="decimal"/>
      <w:start w:val="15"/>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3"/>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0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2019-12-28T17:51:50Z</dcterms:created>
  <dcterms:modified xsi:type="dcterms:W3CDTF">2019-12-28T17:51:50Z</dcterms:modified>
</cp:coreProperties>
</file>