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7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4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restart"/>
          </w:tcPr>
          <w:p>
            <w:pPr>
              <w:jc w:val="center"/>
              <w:ind w:right="367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3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ind w:lef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10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Hall Patricia Hemingway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-1322070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-1330960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-1305560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-1118870</wp:posOffset>
            </wp:positionV>
            <wp:extent cx="6963410" cy="251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1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-1118870</wp:posOffset>
            </wp:positionV>
            <wp:extent cx="6963410" cy="2519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1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85090</wp:posOffset>
            </wp:positionV>
            <wp:extent cx="6963410" cy="1128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2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-1757680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9556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512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8" Type="http://schemas.openxmlformats.org/officeDocument/2006/relationships/hyperlink" Target="http://www.sec.gov/cgi-bin/browse-edgar?action=getcompany&amp;CIK=0001517890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2021-01-05T16:23:35Z</dcterms:created>
  <dcterms:modified xsi:type="dcterms:W3CDTF">2021-01-05T16:23:35Z</dcterms:modified>
</cp:coreProperties>
</file>