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Date of Report (Date of earliest event reported): October 21, 2014</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MANPOWERGROUP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82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87"/>
              </w:rPr>
              <w:t>Wisconsin</w:t>
            </w:r>
          </w:p>
        </w:tc>
        <w:tc>
          <w:tcPr>
            <w:tcW w:w="2920" w:type="dxa"/>
            <w:vAlign w:val="bottom"/>
            <w:tcBorders>
              <w:bottom w:val="single" w:sz="8" w:color="auto"/>
            </w:tcBorders>
          </w:tcPr>
          <w:p>
            <w:pPr>
              <w:jc w:val="right"/>
              <w:ind w:right="1220"/>
              <w:spacing w:after="0"/>
              <w:rPr>
                <w:sz w:val="20"/>
                <w:szCs w:val="20"/>
                <w:color w:val="auto"/>
              </w:rPr>
            </w:pPr>
            <w:r>
              <w:rPr>
                <w:rFonts w:ascii="Arial" w:cs="Arial" w:eastAsia="Arial" w:hAnsi="Arial"/>
                <w:sz w:val="16"/>
                <w:szCs w:val="16"/>
                <w:b w:val="1"/>
                <w:bCs w:val="1"/>
                <w:color w:val="auto"/>
              </w:rPr>
              <w:t>1-10686</w:t>
            </w:r>
          </w:p>
        </w:tc>
        <w:tc>
          <w:tcPr>
            <w:tcW w:w="3700" w:type="dxa"/>
            <w:vAlign w:val="bottom"/>
            <w:tcBorders>
              <w:bottom w:val="single" w:sz="8" w:color="auto"/>
            </w:tcBorders>
          </w:tcPr>
          <w:p>
            <w:pPr>
              <w:jc w:val="right"/>
              <w:ind w:right="1400"/>
              <w:spacing w:after="0"/>
              <w:rPr>
                <w:sz w:val="20"/>
                <w:szCs w:val="20"/>
                <w:color w:val="auto"/>
              </w:rPr>
            </w:pPr>
            <w:r>
              <w:rPr>
                <w:rFonts w:ascii="Arial" w:cs="Arial" w:eastAsia="Arial" w:hAnsi="Arial"/>
                <w:sz w:val="16"/>
                <w:szCs w:val="16"/>
                <w:b w:val="1"/>
                <w:bCs w:val="1"/>
                <w:color w:val="auto"/>
              </w:rPr>
              <w:t>39-1672779</w:t>
            </w:r>
          </w:p>
        </w:tc>
      </w:tr>
      <w:tr>
        <w:trPr>
          <w:trHeight w:val="209"/>
        </w:trPr>
        <w:tc>
          <w:tcPr>
            <w:tcW w:w="4820" w:type="dxa"/>
            <w:vAlign w:val="bottom"/>
          </w:tcPr>
          <w:p>
            <w:pPr>
              <w:jc w:val="center"/>
              <w:ind w:right="120"/>
              <w:spacing w:after="0"/>
              <w:rPr>
                <w:sz w:val="20"/>
                <w:szCs w:val="20"/>
                <w:color w:val="auto"/>
              </w:rPr>
            </w:pPr>
            <w:r>
              <w:rPr>
                <w:rFonts w:ascii="Arial" w:cs="Arial" w:eastAsia="Arial" w:hAnsi="Arial"/>
                <w:sz w:val="16"/>
                <w:szCs w:val="16"/>
                <w:b w:val="1"/>
                <w:bCs w:val="1"/>
                <w:color w:val="auto"/>
                <w:w w:val="90"/>
              </w:rPr>
              <w:t>(State or other jurisdiction of incorporation)</w:t>
            </w:r>
          </w:p>
        </w:tc>
        <w:tc>
          <w:tcPr>
            <w:tcW w:w="2920" w:type="dxa"/>
            <w:vAlign w:val="bottom"/>
          </w:tcPr>
          <w:p>
            <w:pPr>
              <w:jc w:val="center"/>
              <w:ind w:right="140"/>
              <w:spacing w:after="0"/>
              <w:rPr>
                <w:sz w:val="20"/>
                <w:szCs w:val="20"/>
                <w:color w:val="auto"/>
              </w:rPr>
            </w:pPr>
            <w:r>
              <w:rPr>
                <w:rFonts w:ascii="Arial" w:cs="Arial" w:eastAsia="Arial" w:hAnsi="Arial"/>
                <w:sz w:val="16"/>
                <w:szCs w:val="16"/>
                <w:b w:val="1"/>
                <w:bCs w:val="1"/>
                <w:color w:val="auto"/>
                <w:w w:val="91"/>
              </w:rPr>
              <w:t>(Commission File Number)</w:t>
            </w:r>
          </w:p>
        </w:tc>
        <w:tc>
          <w:tcPr>
            <w:tcW w:w="3700" w:type="dxa"/>
            <w:vAlign w:val="bottom"/>
          </w:tcPr>
          <w:p>
            <w:pPr>
              <w:ind w:left="660"/>
              <w:spacing w:after="0"/>
              <w:rPr>
                <w:sz w:val="20"/>
                <w:szCs w:val="20"/>
                <w:color w:val="auto"/>
              </w:rPr>
            </w:pPr>
            <w:r>
              <w:rPr>
                <w:rFonts w:ascii="Arial" w:cs="Arial" w:eastAsia="Arial" w:hAnsi="Arial"/>
                <w:sz w:val="16"/>
                <w:szCs w:val="16"/>
                <w:b w:val="1"/>
                <w:bCs w:val="1"/>
                <w:color w:val="auto"/>
              </w:rPr>
              <w:t>(IRS Employer Identification No.)</w:t>
            </w:r>
          </w:p>
        </w:tc>
      </w:tr>
      <w:tr>
        <w:trPr>
          <w:trHeight w:val="592"/>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91"/>
              </w:rPr>
              <w:t>100 Manpower Place</w:t>
            </w:r>
          </w:p>
        </w:tc>
        <w:tc>
          <w:tcPr>
            <w:tcW w:w="2920" w:type="dxa"/>
            <w:vAlign w:val="bottom"/>
          </w:tcPr>
          <w:p>
            <w:pPr>
              <w:spacing w:after="0"/>
              <w:rPr>
                <w:sz w:val="24"/>
                <w:szCs w:val="24"/>
                <w:color w:val="auto"/>
              </w:rPr>
            </w:pPr>
          </w:p>
        </w:tc>
        <w:tc>
          <w:tcPr>
            <w:tcW w:w="3700" w:type="dxa"/>
            <w:vAlign w:val="bottom"/>
          </w:tcPr>
          <w:p>
            <w:pPr>
              <w:spacing w:after="0"/>
              <w:rPr>
                <w:sz w:val="24"/>
                <w:szCs w:val="24"/>
                <w:color w:val="auto"/>
              </w:rPr>
            </w:pPr>
          </w:p>
        </w:tc>
      </w:tr>
      <w:tr>
        <w:trPr>
          <w:trHeight w:val="213"/>
        </w:trPr>
        <w:tc>
          <w:tcPr>
            <w:tcW w:w="4820" w:type="dxa"/>
            <w:vAlign w:val="bottom"/>
            <w:tcBorders>
              <w:bottom w:val="single" w:sz="8" w:color="auto"/>
            </w:tcBorders>
          </w:tcPr>
          <w:p>
            <w:pPr>
              <w:jc w:val="center"/>
              <w:ind w:left="1240"/>
              <w:spacing w:after="0"/>
              <w:rPr>
                <w:sz w:val="20"/>
                <w:szCs w:val="20"/>
                <w:color w:val="auto"/>
              </w:rPr>
            </w:pPr>
            <w:r>
              <w:rPr>
                <w:rFonts w:ascii="Arial" w:cs="Arial" w:eastAsia="Arial" w:hAnsi="Arial"/>
                <w:sz w:val="16"/>
                <w:szCs w:val="16"/>
                <w:b w:val="1"/>
                <w:bCs w:val="1"/>
                <w:color w:val="auto"/>
                <w:w w:val="91"/>
              </w:rPr>
              <w:t>Milwaukee, Wisconsin</w:t>
            </w:r>
          </w:p>
        </w:tc>
        <w:tc>
          <w:tcPr>
            <w:tcW w:w="292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jc w:val="right"/>
              <w:ind w:right="2380"/>
              <w:spacing w:after="0"/>
              <w:rPr>
                <w:sz w:val="20"/>
                <w:szCs w:val="20"/>
                <w:color w:val="auto"/>
              </w:rPr>
            </w:pPr>
            <w:r>
              <w:rPr>
                <w:rFonts w:ascii="Arial" w:cs="Arial" w:eastAsia="Arial" w:hAnsi="Arial"/>
                <w:sz w:val="16"/>
                <w:szCs w:val="16"/>
                <w:b w:val="1"/>
                <w:bCs w:val="1"/>
                <w:color w:val="auto"/>
              </w:rPr>
              <w:t>53212</w:t>
            </w:r>
          </w:p>
        </w:tc>
      </w:tr>
      <w:tr>
        <w:trPr>
          <w:trHeight w:val="209"/>
        </w:trPr>
        <w:tc>
          <w:tcPr>
            <w:tcW w:w="4820" w:type="dxa"/>
            <w:vAlign w:val="bottom"/>
          </w:tcPr>
          <w:p>
            <w:pPr>
              <w:jc w:val="center"/>
              <w:ind w:left="1220"/>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920" w:type="dxa"/>
            <w:vAlign w:val="bottom"/>
          </w:tcPr>
          <w:p>
            <w:pPr>
              <w:spacing w:after="0"/>
              <w:rPr>
                <w:sz w:val="18"/>
                <w:szCs w:val="18"/>
                <w:color w:val="auto"/>
              </w:rPr>
            </w:pPr>
          </w:p>
        </w:tc>
        <w:tc>
          <w:tcPr>
            <w:tcW w:w="3700" w:type="dxa"/>
            <w:vAlign w:val="bottom"/>
          </w:tcPr>
          <w:p>
            <w:pPr>
              <w:ind w:left="680"/>
              <w:spacing w:after="0"/>
              <w:rPr>
                <w:sz w:val="20"/>
                <w:szCs w:val="20"/>
                <w:color w:val="auto"/>
              </w:rPr>
            </w:pPr>
            <w:r>
              <w:rPr>
                <w:rFonts w:ascii="Arial" w:cs="Arial" w:eastAsia="Arial" w:hAnsi="Arial"/>
                <w:sz w:val="16"/>
                <w:szCs w:val="16"/>
                <w:b w:val="1"/>
                <w:bCs w:val="1"/>
                <w:color w:val="auto"/>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 (414) 961-1000</w:t>
      </w:r>
    </w:p>
    <w:p>
      <w:pPr>
        <w:spacing w:after="0" w:line="224"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420"/>
        <w:spacing w:after="0"/>
        <w:rPr>
          <w:sz w:val="20"/>
          <w:szCs w:val="20"/>
          <w:color w:val="auto"/>
        </w:rPr>
      </w:pPr>
      <w:r>
        <w:rPr>
          <w:rFonts w:ascii="Arial" w:cs="Arial" w:eastAsia="Arial" w:hAnsi="Arial"/>
          <w:sz w:val="16"/>
          <w:szCs w:val="16"/>
          <w:color w:val="auto"/>
        </w:rPr>
        <w:t>Written communications pursuant to Rule 425 under the Securities Act (17 CFR 230.425)</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Soliciting material pursuant to Rule 14a-12 under the Securities Act (17 CFR 240.14a-12)</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224" w:lineRule="exact"/>
        <w:rPr>
          <w:sz w:val="24"/>
          <w:szCs w:val="24"/>
          <w:color w:val="auto"/>
        </w:rPr>
      </w:pPr>
    </w:p>
    <w:p>
      <w:pPr>
        <w:ind w:left="420"/>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483870</wp:posOffset>
            </wp:positionV>
            <wp:extent cx="72669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415"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4" w:lineRule="exact"/>
        <w:rPr>
          <w:sz w:val="20"/>
          <w:szCs w:val="20"/>
          <w:color w:val="auto"/>
        </w:rPr>
      </w:pPr>
    </w:p>
    <w:p>
      <w:pPr>
        <w:ind w:right="280"/>
        <w:spacing w:after="0" w:line="289" w:lineRule="auto"/>
        <w:rPr>
          <w:sz w:val="20"/>
          <w:szCs w:val="20"/>
          <w:color w:val="auto"/>
        </w:rPr>
      </w:pPr>
      <w:r>
        <w:rPr>
          <w:rFonts w:ascii="Arial" w:cs="Arial" w:eastAsia="Arial" w:hAnsi="Arial"/>
          <w:sz w:val="15"/>
          <w:szCs w:val="15"/>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On October 21, 2014, we issued a press release announcing our results of operations for the three- and nine-month periods ended September 30, 2014. A copy of the press release is attached hereto as Exhibit 99.1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60" w:type="dxa"/>
            <w:vAlign w:val="bottom"/>
          </w:tcPr>
          <w:p>
            <w:pPr>
              <w:spacing w:after="0"/>
              <w:rPr>
                <w:sz w:val="20"/>
                <w:szCs w:val="20"/>
                <w:color w:val="auto"/>
              </w:rPr>
            </w:pPr>
            <w:r>
              <w:rPr>
                <w:rFonts w:ascii="Arial" w:cs="Arial" w:eastAsia="Arial" w:hAnsi="Arial"/>
                <w:sz w:val="16"/>
                <w:szCs w:val="16"/>
                <w:b w:val="1"/>
                <w:bCs w:val="1"/>
                <w:color w:val="auto"/>
              </w:rPr>
              <w:t>Item 9.01.</w:t>
            </w:r>
          </w:p>
        </w:tc>
        <w:tc>
          <w:tcPr>
            <w:tcW w:w="10280" w:type="dxa"/>
            <w:vAlign w:val="bottom"/>
          </w:tcPr>
          <w:p>
            <w:pPr>
              <w:ind w:left="400"/>
              <w:spacing w:after="0"/>
              <w:rPr>
                <w:sz w:val="20"/>
                <w:szCs w:val="20"/>
                <w:color w:val="auto"/>
              </w:rPr>
            </w:pPr>
            <w:r>
              <w:rPr>
                <w:rFonts w:ascii="Arial" w:cs="Arial" w:eastAsia="Arial" w:hAnsi="Arial"/>
                <w:sz w:val="16"/>
                <w:szCs w:val="16"/>
                <w:b w:val="1"/>
                <w:bCs w:val="1"/>
                <w:color w:val="auto"/>
              </w:rPr>
              <w:t>Exhibits</w:t>
            </w:r>
            <w:r>
              <w:rPr>
                <w:rFonts w:ascii="Arial" w:cs="Arial" w:eastAsia="Arial" w:hAnsi="Arial"/>
                <w:sz w:val="16"/>
                <w:szCs w:val="16"/>
                <w:color w:val="auto"/>
              </w:rPr>
              <w:t>.</w:t>
            </w:r>
          </w:p>
        </w:tc>
      </w:tr>
      <w:tr>
        <w:trPr>
          <w:trHeight w:val="412"/>
        </w:trPr>
        <w:tc>
          <w:tcPr>
            <w:tcW w:w="11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028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160" w:type="dxa"/>
            <w:vAlign w:val="bottom"/>
          </w:tcPr>
          <w:p>
            <w:pPr>
              <w:spacing w:after="0" w:line="180" w:lineRule="exact"/>
              <w:rPr>
                <w:sz w:val="20"/>
                <w:szCs w:val="20"/>
                <w:color w:val="auto"/>
              </w:rPr>
            </w:pPr>
            <w:r>
              <w:rPr>
                <w:rFonts w:ascii="Arial" w:cs="Arial" w:eastAsia="Arial" w:hAnsi="Arial"/>
                <w:sz w:val="16"/>
                <w:szCs w:val="16"/>
                <w:color w:val="auto"/>
              </w:rPr>
              <w:t>99.1</w:t>
            </w:r>
          </w:p>
        </w:tc>
        <w:tc>
          <w:tcPr>
            <w:tcW w:w="10280" w:type="dxa"/>
            <w:vAlign w:val="bottom"/>
          </w:tcPr>
          <w:p>
            <w:pPr>
              <w:ind w:left="1040"/>
              <w:spacing w:after="0" w:line="180" w:lineRule="exact"/>
              <w:rPr>
                <w:sz w:val="20"/>
                <w:szCs w:val="20"/>
                <w:color w:val="auto"/>
              </w:rPr>
            </w:pPr>
            <w:r>
              <w:rPr>
                <w:rFonts w:ascii="Arial" w:cs="Arial" w:eastAsia="Arial" w:hAnsi="Arial"/>
                <w:sz w:val="16"/>
                <w:szCs w:val="16"/>
                <w:color w:val="auto"/>
              </w:rPr>
              <w:t>Press Release dated October 21, 2014</w:t>
            </w:r>
          </w:p>
        </w:tc>
      </w:tr>
      <w:tr>
        <w:trPr>
          <w:trHeight w:val="205"/>
        </w:trPr>
        <w:tc>
          <w:tcPr>
            <w:tcW w:w="1160" w:type="dxa"/>
            <w:vAlign w:val="bottom"/>
          </w:tcPr>
          <w:p>
            <w:pPr>
              <w:spacing w:after="0"/>
              <w:rPr>
                <w:sz w:val="20"/>
                <w:szCs w:val="20"/>
                <w:color w:val="auto"/>
              </w:rPr>
            </w:pPr>
            <w:r>
              <w:rPr>
                <w:rFonts w:ascii="Arial" w:cs="Arial" w:eastAsia="Arial" w:hAnsi="Arial"/>
                <w:sz w:val="16"/>
                <w:szCs w:val="16"/>
                <w:color w:val="auto"/>
              </w:rPr>
              <w:t>99.2</w:t>
            </w:r>
          </w:p>
        </w:tc>
        <w:tc>
          <w:tcPr>
            <w:tcW w:w="10280" w:type="dxa"/>
            <w:vAlign w:val="bottom"/>
          </w:tcPr>
          <w:p>
            <w:pPr>
              <w:ind w:left="1040"/>
              <w:spacing w:after="0"/>
              <w:rPr>
                <w:sz w:val="20"/>
                <w:szCs w:val="20"/>
                <w:color w:val="auto"/>
              </w:rPr>
            </w:pPr>
            <w:r>
              <w:rPr>
                <w:rFonts w:ascii="Arial" w:cs="Arial" w:eastAsia="Arial" w:hAnsi="Arial"/>
                <w:sz w:val="16"/>
                <w:szCs w:val="16"/>
                <w:color w:val="auto"/>
              </w:rPr>
              <w:t>Presentation materials for October 21, 2014 conference call</w:t>
            </w:r>
          </w:p>
        </w:tc>
      </w:tr>
      <w:tr>
        <w:trPr>
          <w:trHeight w:val="537"/>
        </w:trPr>
        <w:tc>
          <w:tcPr>
            <w:tcW w:w="1160" w:type="dxa"/>
            <w:vAlign w:val="bottom"/>
            <w:tcBorders>
              <w:bottom w:val="single" w:sz="8" w:color="808080"/>
            </w:tcBorders>
          </w:tcPr>
          <w:p>
            <w:pPr>
              <w:spacing w:after="0"/>
              <w:rPr>
                <w:sz w:val="24"/>
                <w:szCs w:val="24"/>
                <w:color w:val="auto"/>
              </w:rPr>
            </w:pPr>
          </w:p>
        </w:tc>
        <w:tc>
          <w:tcPr>
            <w:tcW w:w="10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39" w:right="21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6"/>
          <w:szCs w:val="16"/>
          <w:b w:val="1"/>
          <w:bCs w:val="1"/>
          <w:color w:val="auto"/>
        </w:rPr>
        <w:t>SIGNATURES</w:t>
      </w:r>
    </w:p>
    <w:p>
      <w:pPr>
        <w:spacing w:after="0" w:line="228" w:lineRule="exact"/>
        <w:rPr>
          <w:sz w:val="20"/>
          <w:szCs w:val="20"/>
          <w:color w:val="auto"/>
        </w:rPr>
      </w:pPr>
    </w:p>
    <w:p>
      <w:pPr>
        <w:ind w:firstLine="577"/>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9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MANPOWERGROUP INC.</w:t>
      </w:r>
    </w:p>
    <w:p>
      <w:pPr>
        <w:spacing w:after="0" w:line="200" w:lineRule="exact"/>
        <w:rPr>
          <w:sz w:val="20"/>
          <w:szCs w:val="20"/>
          <w:color w:val="auto"/>
        </w:rPr>
      </w:pPr>
    </w:p>
    <w:p>
      <w:pPr>
        <w:spacing w:after="0"/>
        <w:tabs>
          <w:tab w:leader="none" w:pos="3440" w:val="left"/>
          <w:tab w:leader="none" w:pos="3860" w:val="left"/>
        </w:tabs>
        <w:rPr>
          <w:sz w:val="20"/>
          <w:szCs w:val="20"/>
          <w:color w:val="auto"/>
        </w:rPr>
      </w:pPr>
      <w:r>
        <w:rPr>
          <w:rFonts w:ascii="Arial" w:cs="Arial" w:eastAsia="Arial" w:hAnsi="Arial"/>
          <w:sz w:val="16"/>
          <w:szCs w:val="16"/>
          <w:color w:val="auto"/>
        </w:rPr>
        <w:t>Dated: October 21,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2461260</wp:posOffset>
            </wp:positionH>
            <wp:positionV relativeFrom="paragraph">
              <wp:posOffset>13335</wp:posOffset>
            </wp:positionV>
            <wp:extent cx="203644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36445" cy="15240"/>
                    </a:xfrm>
                    <a:prstGeom prst="rect">
                      <a:avLst/>
                    </a:prstGeom>
                    <a:noFill/>
                  </pic:spPr>
                </pic:pic>
              </a:graphicData>
            </a:graphic>
          </wp:anchor>
        </w:drawing>
      </w:r>
    </w:p>
    <w:p>
      <w:pPr>
        <w:spacing w:after="0" w:line="12"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Michael J. Van Handel</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Executive Vice President and</w:t>
      </w:r>
    </w:p>
    <w:p>
      <w:pPr>
        <w:spacing w:after="0" w:line="8"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475615</wp:posOffset>
            </wp:positionV>
            <wp:extent cx="726694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240"/>
          </w:cols>
          <w:pgMar w:left="240" w:top="555"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9"/>
        </w:trPr>
        <w:tc>
          <w:tcPr>
            <w:tcW w:w="1500" w:type="dxa"/>
            <w:vAlign w:val="bottom"/>
          </w:tcPr>
          <w:p>
            <w:pPr>
              <w:spacing w:after="0"/>
              <w:rPr>
                <w:sz w:val="18"/>
                <w:szCs w:val="18"/>
                <w:color w:val="auto"/>
              </w:rPr>
            </w:pPr>
          </w:p>
        </w:tc>
        <w:tc>
          <w:tcPr>
            <w:tcW w:w="9940" w:type="dxa"/>
            <w:vAlign w:val="bottom"/>
          </w:tcPr>
          <w:p>
            <w:pPr>
              <w:ind w:left="3600"/>
              <w:spacing w:after="0"/>
              <w:rPr>
                <w:sz w:val="20"/>
                <w:szCs w:val="20"/>
                <w:color w:val="auto"/>
              </w:rPr>
            </w:pPr>
            <w:r>
              <w:rPr>
                <w:rFonts w:ascii="Arial" w:cs="Arial" w:eastAsia="Arial" w:hAnsi="Arial"/>
                <w:sz w:val="16"/>
                <w:szCs w:val="16"/>
                <w:b w:val="1"/>
                <w:bCs w:val="1"/>
                <w:color w:val="auto"/>
              </w:rPr>
              <w:t>EXHIBIT INDEX</w:t>
            </w:r>
          </w:p>
        </w:tc>
      </w:tr>
      <w:tr>
        <w:trPr>
          <w:trHeight w:val="412"/>
        </w:trPr>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9940" w:type="dxa"/>
            <w:vAlign w:val="bottom"/>
            <w:tcBorders>
              <w:bottom w:val="single" w:sz="8" w:color="auto"/>
            </w:tcBorders>
          </w:tcPr>
          <w:p>
            <w:pPr>
              <w:ind w:left="700"/>
              <w:spacing w:after="0"/>
              <w:rPr>
                <w:sz w:val="20"/>
                <w:szCs w:val="20"/>
                <w:color w:val="auto"/>
              </w:rPr>
            </w:pPr>
            <w:r>
              <w:rPr>
                <w:rFonts w:ascii="Arial" w:cs="Arial" w:eastAsia="Arial" w:hAnsi="Arial"/>
                <w:sz w:val="16"/>
                <w:szCs w:val="16"/>
                <w:b w:val="1"/>
                <w:bCs w:val="1"/>
                <w:color w:val="auto"/>
              </w:rPr>
              <w:t>Description</w:t>
            </w:r>
          </w:p>
        </w:tc>
      </w:tr>
      <w:tr>
        <w:trPr>
          <w:trHeight w:val="180"/>
        </w:trPr>
        <w:tc>
          <w:tcPr>
            <w:tcW w:w="1500" w:type="dxa"/>
            <w:vAlign w:val="bottom"/>
          </w:tcPr>
          <w:p>
            <w:pPr>
              <w:spacing w:after="0" w:line="180" w:lineRule="exact"/>
              <w:rPr>
                <w:sz w:val="20"/>
                <w:szCs w:val="20"/>
                <w:color w:val="auto"/>
              </w:rPr>
            </w:pPr>
            <w:r>
              <w:rPr>
                <w:rFonts w:ascii="Arial" w:cs="Arial" w:eastAsia="Arial" w:hAnsi="Arial"/>
                <w:sz w:val="16"/>
                <w:szCs w:val="16"/>
                <w:color w:val="auto"/>
              </w:rPr>
              <w:t>99.1</w:t>
            </w:r>
          </w:p>
        </w:tc>
        <w:tc>
          <w:tcPr>
            <w:tcW w:w="9940" w:type="dxa"/>
            <w:vAlign w:val="bottom"/>
          </w:tcPr>
          <w:p>
            <w:pPr>
              <w:ind w:left="700"/>
              <w:spacing w:after="0" w:line="180" w:lineRule="exact"/>
              <w:rPr>
                <w:sz w:val="20"/>
                <w:szCs w:val="20"/>
                <w:color w:val="auto"/>
              </w:rPr>
            </w:pPr>
            <w:r>
              <w:rPr>
                <w:rFonts w:ascii="Arial" w:cs="Arial" w:eastAsia="Arial" w:hAnsi="Arial"/>
                <w:sz w:val="16"/>
                <w:szCs w:val="16"/>
                <w:color w:val="auto"/>
              </w:rPr>
              <w:t>Press Release dated October 21, 2014</w:t>
            </w:r>
          </w:p>
        </w:tc>
      </w:tr>
      <w:tr>
        <w:trPr>
          <w:trHeight w:val="205"/>
        </w:trPr>
        <w:tc>
          <w:tcPr>
            <w:tcW w:w="1500" w:type="dxa"/>
            <w:vAlign w:val="bottom"/>
          </w:tcPr>
          <w:p>
            <w:pPr>
              <w:spacing w:after="0"/>
              <w:rPr>
                <w:sz w:val="20"/>
                <w:szCs w:val="20"/>
                <w:color w:val="auto"/>
              </w:rPr>
            </w:pPr>
            <w:r>
              <w:rPr>
                <w:rFonts w:ascii="Arial" w:cs="Arial" w:eastAsia="Arial" w:hAnsi="Arial"/>
                <w:sz w:val="16"/>
                <w:szCs w:val="16"/>
                <w:color w:val="auto"/>
              </w:rPr>
              <w:t>99.2</w:t>
            </w:r>
          </w:p>
        </w:tc>
        <w:tc>
          <w:tcPr>
            <w:tcW w:w="9940" w:type="dxa"/>
            <w:vAlign w:val="bottom"/>
          </w:tcPr>
          <w:p>
            <w:pPr>
              <w:ind w:left="700"/>
              <w:spacing w:after="0"/>
              <w:rPr>
                <w:sz w:val="20"/>
                <w:szCs w:val="20"/>
                <w:color w:val="auto"/>
              </w:rPr>
            </w:pPr>
            <w:r>
              <w:rPr>
                <w:rFonts w:ascii="Arial" w:cs="Arial" w:eastAsia="Arial" w:hAnsi="Arial"/>
                <w:sz w:val="16"/>
                <w:szCs w:val="16"/>
                <w:color w:val="auto"/>
              </w:rPr>
              <w:t>Presentation materials for October 21, 2014 conference call</w:t>
            </w:r>
          </w:p>
        </w:tc>
      </w:tr>
    </w:tbl>
    <w:p>
      <w:pPr>
        <w:sectPr>
          <w:pgSz w:w="11900" w:h="16838" w:orient="portrait"/>
          <w:cols w:equalWidth="0" w:num="1">
            <w:col w:w="11440"/>
          </w:cols>
          <w:pgMar w:left="240" w:top="339"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165735</wp:posOffset>
            </wp:positionV>
            <wp:extent cx="793115" cy="434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3115" cy="434975"/>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Mike Van Handel</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+1.414.906.6305</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michael.vanhandel@manpowergroup.com</w:t>
      </w:r>
    </w:p>
    <w:p>
      <w:pPr>
        <w:spacing w:after="0" w:line="200" w:lineRule="exact"/>
        <w:rPr>
          <w:sz w:val="20"/>
          <w:szCs w:val="20"/>
          <w:color w:val="auto"/>
        </w:rPr>
      </w:pPr>
    </w:p>
    <w:p>
      <w:pPr>
        <w:sectPr>
          <w:pgSz w:w="11900" w:h="16838" w:orient="portrait"/>
          <w:cols w:equalWidth="0" w:num="2">
            <w:col w:w="5040" w:space="720"/>
            <w:col w:w="5680"/>
          </w:cols>
          <w:pgMar w:left="240" w:top="116"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ManpowerGroup Reports 3</w:t>
      </w:r>
      <w:r>
        <w:rPr>
          <w:rFonts w:ascii="Arial" w:cs="Arial" w:eastAsia="Arial" w:hAnsi="Arial"/>
          <w:sz w:val="22"/>
          <w:szCs w:val="22"/>
          <w:b w:val="1"/>
          <w:bCs w:val="1"/>
          <w:color w:val="auto"/>
          <w:vertAlign w:val="superscript"/>
        </w:rPr>
        <w:t>rd</w:t>
      </w:r>
      <w:r>
        <w:rPr>
          <w:rFonts w:ascii="Arial" w:cs="Arial" w:eastAsia="Arial" w:hAnsi="Arial"/>
          <w:sz w:val="16"/>
          <w:szCs w:val="16"/>
          <w:b w:val="1"/>
          <w:bCs w:val="1"/>
          <w:color w:val="auto"/>
        </w:rPr>
        <w:t xml:space="preserve"> Quarter 2014 Results</w:t>
      </w:r>
    </w:p>
    <w:p>
      <w:pPr>
        <w:spacing w:after="0" w:line="155" w:lineRule="exact"/>
        <w:rPr>
          <w:sz w:val="20"/>
          <w:szCs w:val="20"/>
          <w:color w:val="auto"/>
        </w:rPr>
      </w:pPr>
    </w:p>
    <w:p>
      <w:pPr>
        <w:ind w:right="500"/>
        <w:spacing w:after="0" w:line="257" w:lineRule="auto"/>
        <w:rPr>
          <w:sz w:val="20"/>
          <w:szCs w:val="20"/>
          <w:color w:val="auto"/>
        </w:rPr>
      </w:pPr>
      <w:r>
        <w:rPr>
          <w:rFonts w:ascii="Arial" w:cs="Arial" w:eastAsia="Arial" w:hAnsi="Arial"/>
          <w:sz w:val="16"/>
          <w:szCs w:val="16"/>
          <w:b w:val="1"/>
          <w:bCs w:val="1"/>
          <w:color w:val="auto"/>
        </w:rPr>
        <w:t xml:space="preserve">MILWAUKEE, October 21, 2014 -- </w:t>
      </w:r>
      <w:r>
        <w:rPr>
          <w:rFonts w:ascii="Arial" w:cs="Arial" w:eastAsia="Arial" w:hAnsi="Arial"/>
          <w:sz w:val="16"/>
          <w:szCs w:val="16"/>
          <w:color w:val="auto"/>
        </w:rPr>
        <w:t>ManpowerGroup (NYSE: MAN) today reported that earnings per diluted share for the three months ended September 30, 2014 were</w:t>
      </w:r>
      <w:r>
        <w:rPr>
          <w:rFonts w:ascii="Arial" w:cs="Arial" w:eastAsia="Arial" w:hAnsi="Arial"/>
          <w:sz w:val="16"/>
          <w:szCs w:val="16"/>
          <w:b w:val="1"/>
          <w:bCs w:val="1"/>
          <w:color w:val="auto"/>
        </w:rPr>
        <w:t xml:space="preserve"> </w:t>
      </w:r>
      <w:r>
        <w:rPr>
          <w:rFonts w:ascii="Arial" w:cs="Arial" w:eastAsia="Arial" w:hAnsi="Arial"/>
          <w:sz w:val="16"/>
          <w:szCs w:val="16"/>
          <w:color w:val="auto"/>
        </w:rPr>
        <w:t>$1.61 compared to $1.18 in the prior year period. Net earnings in the quarter were $130.5 million compared to $94.7 million a year earlier. Revenues for the third quarter were $5.4 billion, an increase of 4 percent from the year earlier period in U.S. dollars and 5 percent in constant currency.</w:t>
      </w:r>
    </w:p>
    <w:p>
      <w:pPr>
        <w:spacing w:after="0" w:line="2" w:lineRule="exact"/>
        <w:rPr>
          <w:sz w:val="20"/>
          <w:szCs w:val="20"/>
          <w:color w:val="auto"/>
        </w:rPr>
      </w:pPr>
    </w:p>
    <w:p>
      <w:pPr>
        <w:ind w:right="460"/>
        <w:spacing w:after="0" w:line="250" w:lineRule="auto"/>
        <w:rPr>
          <w:sz w:val="20"/>
          <w:szCs w:val="20"/>
          <w:color w:val="auto"/>
        </w:rPr>
      </w:pPr>
      <w:r>
        <w:rPr>
          <w:rFonts w:ascii="Arial" w:cs="Arial" w:eastAsia="Arial" w:hAnsi="Arial"/>
          <w:sz w:val="16"/>
          <w:szCs w:val="16"/>
          <w:color w:val="auto"/>
        </w:rPr>
        <w:t>Included in the prior year third quarter results is a restructuring charge, primarily related to office consolidations and severance costs, of $8.1 million ($6.2 million after tax or 8 cents per diluted share). There were no restructuring charges in the current year quarter. Net earnings in the third quarter were not materially impacted by changes in foreign currencies compared to the prior year period.</w:t>
      </w:r>
    </w:p>
    <w:p>
      <w:pPr>
        <w:spacing w:after="0" w:line="2" w:lineRule="exact"/>
        <w:rPr>
          <w:sz w:val="20"/>
          <w:szCs w:val="20"/>
          <w:color w:val="auto"/>
        </w:rPr>
      </w:pPr>
    </w:p>
    <w:p>
      <w:pPr>
        <w:ind w:right="440"/>
        <w:spacing w:after="0" w:line="250" w:lineRule="auto"/>
        <w:rPr>
          <w:sz w:val="20"/>
          <w:szCs w:val="20"/>
          <w:color w:val="auto"/>
        </w:rPr>
      </w:pPr>
      <w:r>
        <w:rPr>
          <w:rFonts w:ascii="Arial" w:cs="Arial" w:eastAsia="Arial" w:hAnsi="Arial"/>
          <w:sz w:val="16"/>
          <w:szCs w:val="16"/>
          <w:color w:val="auto"/>
        </w:rPr>
        <w:t>Jonas Prising, ManpowerGroup CEO, said, “Our third quarter results were strong, with solid revenue and profit growth in the majority of our operations and brands. While the economic recovery has recently become more choppy in some markets, we are still seeing growth opportunities and I am confident we are well positioned to deliver unique value to our clients in these uncertain times.</w:t>
      </w:r>
    </w:p>
    <w:p>
      <w:pPr>
        <w:spacing w:after="0" w:line="2" w:lineRule="exact"/>
        <w:rPr>
          <w:sz w:val="20"/>
          <w:szCs w:val="20"/>
          <w:color w:val="auto"/>
        </w:rPr>
      </w:pPr>
    </w:p>
    <w:p>
      <w:pPr>
        <w:ind w:right="580" w:firstLine="577"/>
        <w:spacing w:after="0" w:line="250" w:lineRule="auto"/>
        <w:rPr>
          <w:sz w:val="20"/>
          <w:szCs w:val="20"/>
          <w:color w:val="auto"/>
        </w:rPr>
      </w:pPr>
      <w:r>
        <w:rPr>
          <w:rFonts w:ascii="Arial" w:cs="Arial" w:eastAsia="Arial" w:hAnsi="Arial"/>
          <w:sz w:val="16"/>
          <w:szCs w:val="16"/>
          <w:color w:val="auto"/>
        </w:rPr>
        <w:t>“We are anticipating the fourth quarter of 2014 diluted earnings per share to be in the range of $1.39 to $1.47, which includes an estimated unfavorable currency impact of 8 cents,” Prising stated.</w:t>
      </w:r>
    </w:p>
    <w:p>
      <w:pPr>
        <w:spacing w:after="0" w:line="1" w:lineRule="exact"/>
        <w:rPr>
          <w:sz w:val="20"/>
          <w:szCs w:val="20"/>
          <w:color w:val="auto"/>
        </w:rPr>
      </w:pPr>
    </w:p>
    <w:p>
      <w:pPr>
        <w:ind w:right="580"/>
        <w:spacing w:after="0" w:line="250" w:lineRule="auto"/>
        <w:rPr>
          <w:sz w:val="20"/>
          <w:szCs w:val="20"/>
          <w:color w:val="auto"/>
        </w:rPr>
      </w:pPr>
      <w:r>
        <w:rPr>
          <w:rFonts w:ascii="Arial" w:cs="Arial" w:eastAsia="Arial" w:hAnsi="Arial"/>
          <w:sz w:val="16"/>
          <w:szCs w:val="16"/>
          <w:color w:val="auto"/>
        </w:rPr>
        <w:t>Earnings per diluted share for the nine months ended September 30, 2014 were $3.82 compared to $2.36 per diluted share in 2013. Net earnings were $310.4 million compared to $186.8 million in the prior year. Revenues for the nine-month period were $15.6 billion, an increase of 4 percent from the prior year in reported U.S. dollars and in constant currency. Included in the prior year results for the nine month period are restructuring costs of 58 cents per diluted share. Foreign currency exchange rates had a favorable impact of 3 cents per share for the nine month period in 2014.</w:t>
      </w:r>
    </w:p>
    <w:p>
      <w:pPr>
        <w:spacing w:after="0" w:line="2" w:lineRule="exact"/>
        <w:rPr>
          <w:sz w:val="20"/>
          <w:szCs w:val="20"/>
          <w:color w:val="auto"/>
        </w:rPr>
      </w:pPr>
    </w:p>
    <w:p>
      <w:pPr>
        <w:ind w:right="500"/>
        <w:spacing w:after="0" w:line="294" w:lineRule="auto"/>
        <w:rPr>
          <w:sz w:val="20"/>
          <w:szCs w:val="20"/>
          <w:color w:val="auto"/>
        </w:rPr>
      </w:pPr>
      <w:r>
        <w:rPr>
          <w:rFonts w:ascii="Arial" w:cs="Arial" w:eastAsia="Arial" w:hAnsi="Arial"/>
          <w:sz w:val="15"/>
          <w:szCs w:val="15"/>
          <w:color w:val="auto"/>
        </w:rPr>
        <w:t xml:space="preserve">In conjunction with its third quarter earnings release, ManpowerGroup will broadcast its conference call live over the Internet on October 21, 2014 at 7:30 a.m. CDT (8:30 a.m. EDT). Interested parties are invited to listen to the webcast and view the presentation by logging on to </w:t>
      </w:r>
      <w:r>
        <w:rPr>
          <w:rFonts w:ascii="Arial" w:cs="Arial" w:eastAsia="Arial" w:hAnsi="Arial"/>
          <w:sz w:val="15"/>
          <w:szCs w:val="15"/>
          <w:u w:val="single" w:color="auto"/>
          <w:color w:val="auto"/>
        </w:rPr>
        <w:t>http://www.manpowergroup.com/investors</w:t>
      </w:r>
      <w:r>
        <w:rPr>
          <w:rFonts w:ascii="Arial" w:cs="Arial" w:eastAsia="Arial" w:hAnsi="Arial"/>
          <w:sz w:val="15"/>
          <w:szCs w:val="15"/>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Supplemental financial information referenced in the conference call can be found at </w:t>
      </w:r>
      <w:r>
        <w:rPr>
          <w:rFonts w:ascii="Arial" w:cs="Arial" w:eastAsia="Arial" w:hAnsi="Arial"/>
          <w:sz w:val="16"/>
          <w:szCs w:val="16"/>
          <w:u w:val="single" w:color="auto"/>
          <w:color w:val="auto"/>
        </w:rPr>
        <w:t>http://www.manpowergroup.com/investors</w:t>
      </w:r>
      <w:r>
        <w:rPr>
          <w:rFonts w:ascii="Arial" w:cs="Arial" w:eastAsia="Arial" w:hAnsi="Arial"/>
          <w:sz w:val="16"/>
          <w:szCs w:val="16"/>
          <w:color w:val="auto"/>
        </w:rPr>
        <w:t xml:space="preserve"> .</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r>
        <w:rPr>
          <w:rFonts w:ascii="Arial" w:cs="Arial" w:eastAsia="Arial" w:hAnsi="Arial"/>
          <w:sz w:val="16"/>
          <w:szCs w:val="16"/>
          <w:color w:val="auto"/>
        </w:rPr>
        <w:t>™</w:t>
      </w:r>
    </w:p>
    <w:p>
      <w:pPr>
        <w:spacing w:after="0" w:line="25" w:lineRule="exact"/>
        <w:rPr>
          <w:sz w:val="20"/>
          <w:szCs w:val="20"/>
          <w:color w:val="auto"/>
        </w:rPr>
      </w:pPr>
    </w:p>
    <w:p>
      <w:pPr>
        <w:ind w:right="500"/>
        <w:spacing w:after="0" w:line="302" w:lineRule="auto"/>
        <w:rPr>
          <w:sz w:val="20"/>
          <w:szCs w:val="20"/>
          <w:color w:val="auto"/>
        </w:rPr>
      </w:pPr>
      <w:r>
        <w:rPr>
          <w:rFonts w:ascii="Arial" w:cs="Arial" w:eastAsia="Arial" w:hAnsi="Arial"/>
          <w:sz w:val="14"/>
          <w:szCs w:val="14"/>
          <w:color w:val="auto"/>
        </w:rPr>
        <w:t xml:space="preserve">ManpowerGroup™ (NYSE: MAN) has been the world’s workforce expert for more than 65 years. We source, assess, develop and manage talent across a wide range of skills and industries. Our ManpowerGroup family of brands - Experis™, Manpower®, ManpowerGroup™ Solutions, and Right Management ® - helps 400,000 clients in 80 countries and territories improve workforce performance, while connecting more than 600,000 individuals to meaningful work. ManpowerGroup was named one of the World’s Most Ethical Companies for the fourth consecutive year in 2014, confirming our position as the most trusted brand in the industry. </w:t>
      </w:r>
      <w:r>
        <w:rPr>
          <w:rFonts w:ascii="Arial" w:cs="Arial" w:eastAsia="Arial" w:hAnsi="Arial"/>
          <w:sz w:val="14"/>
          <w:szCs w:val="14"/>
          <w:u w:val="single" w:color="auto"/>
          <w:color w:val="auto"/>
        </w:rPr>
        <w:t>www.manpowergroup.com</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5" w:lineRule="exact"/>
        <w:rPr>
          <w:sz w:val="20"/>
          <w:szCs w:val="20"/>
          <w:color w:val="auto"/>
        </w:rPr>
      </w:pPr>
    </w:p>
    <w:p>
      <w:pPr>
        <w:ind w:right="40"/>
        <w:spacing w:after="0" w:line="267" w:lineRule="auto"/>
        <w:rPr>
          <w:sz w:val="20"/>
          <w:szCs w:val="20"/>
          <w:color w:val="auto"/>
        </w:rPr>
      </w:pPr>
      <w:r>
        <w:rPr>
          <w:rFonts w:ascii="Arial" w:cs="Arial" w:eastAsia="Arial" w:hAnsi="Arial"/>
          <w:sz w:val="15"/>
          <w:szCs w:val="15"/>
          <w:color w:val="auto"/>
        </w:rPr>
        <w:t>This news release contains statements, including earnings projections, that are forward-looking in nature. These statements are based on management’s current expectations or beliefs, and are subject to known and unknown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statements can be found in the Company's reports filed with the SEC, including the information under the heading 'Risk Factors' in its Annual Report on Form 10-K for the year ended December 31, 2013, which information is incorporated herein by reference. Any forward-looking statement in this release speaks only as of the date on which it is made. The company assumes no obligation to update or revise any forward-looking statements.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368935</wp:posOffset>
            </wp:positionV>
            <wp:extent cx="726694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0"/>
          </w:cols>
          <w:pgMar w:left="240" w:top="116" w:right="219" w:bottom="1440" w:gutter="0" w:footer="0" w:header="0"/>
          <w:type w:val="continuous"/>
        </w:sectPr>
      </w:pPr>
    </w:p>
    <w:bookmarkStart w:id="5" w:name="page6"/>
    <w:bookmarkEnd w:id="5"/>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6"/>
                <w:szCs w:val="16"/>
                <w:b w:val="1"/>
                <w:bCs w:val="1"/>
                <w:color w:val="auto"/>
                <w:w w:val="91"/>
              </w:rPr>
              <w:t>Three Months Ended September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5,416.0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5,188.8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4,510.4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4,335.2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853.6</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693.3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691.2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0.3%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81.9%</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28.9%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62.3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15.4%</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37.8%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1.64</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1.21</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35.5%</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1.61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1.18</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36.4%</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79.7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78.4</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1.6%</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81.1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80.0</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1.5%</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760" w:hanging="4"/>
        <w:spacing w:after="0" w:line="264" w:lineRule="auto"/>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$6.9 million and $6.6 million for the three months ended September 30, 2014 and 2013, respectively. These fees are primarily based on revenues generated by the franchise offices, which were $302.0 million and $285.4 million for the three months ended September 30, 2014 and 2013,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489585</wp:posOffset>
            </wp:positionV>
            <wp:extent cx="726694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901" w:right="219" w:bottom="1440" w:gutter="0" w:footer="0" w:header="0"/>
        </w:sectPr>
      </w:pPr>
    </w:p>
    <w:bookmarkStart w:id="6" w:name="page7"/>
    <w:bookmarkEnd w:id="6"/>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6"/>
                <w:szCs w:val="16"/>
                <w:b w:val="1"/>
                <w:bCs w:val="1"/>
                <w:color w:val="auto"/>
                <w:w w:val="91"/>
              </w:rPr>
              <w:t>Three Months Ended September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800.5</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761.8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388.5</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382.0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9.5%</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1,143.8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r>
      <w:tr>
        <w:trPr>
          <w:trHeight w:val="192"/>
        </w:trPr>
        <w:tc>
          <w:tcPr>
            <w:tcW w:w="60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1,454.3</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1,420.7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294.1</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269.7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9.0%</w:t>
            </w: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227.9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13.8%</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2,008.3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1,918.3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4.7%</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1,448.1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592.5</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601.4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-0.7%</w:t>
            </w: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-8.0%</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5,416.0</w:t>
            </w:r>
          </w:p>
        </w:tc>
        <w:tc>
          <w:tcPr>
            <w:tcW w:w="22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5,188.8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4.6%</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6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41.9</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21.9%</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29.3%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34.8%</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25.1%</w:t>
            </w:r>
          </w:p>
        </w:tc>
      </w:tr>
      <w:tr>
        <w:trPr>
          <w:trHeight w:val="192"/>
        </w:trPr>
        <w:tc>
          <w:tcPr>
            <w:tcW w:w="60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84.2</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44.2%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43.7%</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14.7</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10.7</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37.4%</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37.3%</w:t>
            </w: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50.6%</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105.0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73.1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43.6%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43.1%</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50.3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17.3%</w:t>
            </w: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21.6</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12.5%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13.7%</w:t>
            </w: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38.3%</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249.0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192.8</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(28.3)</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(21.9)</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(8.5)</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162.4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30.6%</w:t>
            </w: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(9.9)</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(5.4)</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157.0</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ind w:left="4" w:right="220" w:hanging="4"/>
        <w:spacing w:after="0" w:line="264" w:lineRule="auto"/>
        <w:tabs>
          <w:tab w:leader="none" w:pos="222" w:val="left"/>
        </w:tabs>
        <w:numPr>
          <w:ilvl w:val="0"/>
          <w:numId w:val="2"/>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$4.4 million and $4.2 million for the three months ended September 30, 2014 and 2013, respectively. These fees are primarily based on revenues generated by the franchise offices, which were $196.3 million and $181.6 million for the three months ended September 30, 2014 and 2013,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2013</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7.9</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(0.9)</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loss (gain)</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0.7</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20"/>
              <w:spacing w:after="0"/>
              <w:rPr>
                <w:sz w:val="20"/>
                <w:szCs w:val="20"/>
                <w:color w:val="auto"/>
              </w:rPr>
            </w:pPr>
            <w:r>
              <w:rPr>
                <w:rFonts w:ascii="Arial" w:cs="Arial" w:eastAsia="Arial" w:hAnsi="Arial"/>
                <w:sz w:val="16"/>
                <w:szCs w:val="16"/>
                <w:color w:val="auto"/>
              </w:rPr>
              <w:t>(0.3)</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 (income), net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(1.3)</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5.4</w:t>
            </w:r>
          </w:p>
        </w:tc>
      </w:tr>
      <w:tr>
        <w:trPr>
          <w:trHeight w:val="573"/>
        </w:trPr>
        <w:tc>
          <w:tcPr>
            <w:tcW w:w="60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469" w:right="219" w:bottom="1440" w:gutter="0" w:footer="0" w:header="0"/>
        </w:sectPr>
      </w:pPr>
    </w:p>
    <w:bookmarkStart w:id="7" w:name="page8"/>
    <w:bookmarkEnd w:id="7"/>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Results of Operations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 except per share data)</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w w:val="92"/>
              </w:rPr>
              <w:t>Nine Months Ended September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15,641.7</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14,998.4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Cost of services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13,022.3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12,518.3</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2,619.4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2,480.1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Selling and administrative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2,092.8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2,135.2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344.9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Interest and other expenses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27.2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-0.9%</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317.7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189.2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130.9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44.6%</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Pr>
          <w:p>
            <w:pPr>
              <w:spacing w:after="0"/>
              <w:rPr>
                <w:sz w:val="18"/>
                <w:szCs w:val="18"/>
                <w:color w:val="auto"/>
              </w:rPr>
            </w:pPr>
          </w:p>
        </w:tc>
        <w:tc>
          <w:tcPr>
            <w:tcW w:w="606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earnings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186.8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Net earnings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3.89</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2.41</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61.4%</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Net earnings per share -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3.82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2.36</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61.9%</w:t>
            </w:r>
          </w:p>
        </w:tc>
        <w:tc>
          <w:tcPr>
            <w:tcW w:w="1280" w:type="dxa"/>
            <w:vAlign w:val="bottom"/>
            <w:gridSpan w:val="2"/>
            <w:shd w:val="clear" w:color="auto" w:fill="CCEEFF"/>
          </w:tcPr>
          <w:p>
            <w:pPr>
              <w:jc w:val="right"/>
              <w:ind w:right="20"/>
              <w:spacing w:after="0" w:line="181" w:lineRule="exact"/>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6060" w:type="dxa"/>
            <w:vAlign w:val="bottom"/>
          </w:tcPr>
          <w:p>
            <w:pPr>
              <w:spacing w:after="0" w:line="181" w:lineRule="exact"/>
              <w:rPr>
                <w:sz w:val="20"/>
                <w:szCs w:val="20"/>
                <w:color w:val="auto"/>
              </w:rPr>
            </w:pPr>
            <w:r>
              <w:rPr>
                <w:rFonts w:ascii="Arial" w:cs="Arial" w:eastAsia="Arial" w:hAnsi="Arial"/>
                <w:sz w:val="16"/>
                <w:szCs w:val="16"/>
                <w:color w:val="auto"/>
              </w:rPr>
              <w:t>Weighted average shares - basic</w:t>
            </w:r>
          </w:p>
        </w:tc>
        <w:tc>
          <w:tcPr>
            <w:tcW w:w="240" w:type="dxa"/>
            <w:vAlign w:val="bottom"/>
          </w:tcPr>
          <w:p>
            <w:pPr>
              <w:spacing w:after="0"/>
              <w:rPr>
                <w:sz w:val="15"/>
                <w:szCs w:val="15"/>
                <w:color w:val="auto"/>
              </w:rPr>
            </w:pPr>
          </w:p>
        </w:tc>
        <w:tc>
          <w:tcPr>
            <w:tcW w:w="900" w:type="dxa"/>
            <w:vAlign w:val="bottom"/>
          </w:tcPr>
          <w:p>
            <w:pPr>
              <w:jc w:val="right"/>
              <w:spacing w:after="0" w:line="181" w:lineRule="exact"/>
              <w:rPr>
                <w:sz w:val="20"/>
                <w:szCs w:val="20"/>
                <w:color w:val="auto"/>
              </w:rPr>
            </w:pPr>
            <w:r>
              <w:rPr>
                <w:rFonts w:ascii="Arial" w:cs="Arial" w:eastAsia="Arial" w:hAnsi="Arial"/>
                <w:sz w:val="16"/>
                <w:szCs w:val="16"/>
                <w:color w:val="auto"/>
              </w:rPr>
              <w:t>79.8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2"/>
          </w:tcPr>
          <w:p>
            <w:pPr>
              <w:jc w:val="right"/>
              <w:ind w:right="220"/>
              <w:spacing w:after="0" w:line="181" w:lineRule="exact"/>
              <w:rPr>
                <w:sz w:val="20"/>
                <w:szCs w:val="20"/>
                <w:color w:val="auto"/>
              </w:rPr>
            </w:pPr>
            <w:r>
              <w:rPr>
                <w:rFonts w:ascii="Arial" w:cs="Arial" w:eastAsia="Arial" w:hAnsi="Arial"/>
                <w:sz w:val="16"/>
                <w:szCs w:val="16"/>
                <w:color w:val="auto"/>
              </w:rPr>
              <w:t>77.6</w:t>
            </w:r>
          </w:p>
        </w:tc>
        <w:tc>
          <w:tcPr>
            <w:tcW w:w="1380" w:type="dxa"/>
            <w:vAlign w:val="bottom"/>
            <w:gridSpan w:val="2"/>
          </w:tcPr>
          <w:p>
            <w:pPr>
              <w:jc w:val="right"/>
              <w:ind w:right="120"/>
              <w:spacing w:after="0" w:line="181" w:lineRule="exact"/>
              <w:rPr>
                <w:sz w:val="20"/>
                <w:szCs w:val="20"/>
                <w:color w:val="auto"/>
              </w:rPr>
            </w:pPr>
            <w:r>
              <w:rPr>
                <w:rFonts w:ascii="Arial" w:cs="Arial" w:eastAsia="Arial" w:hAnsi="Arial"/>
                <w:sz w:val="16"/>
                <w:szCs w:val="16"/>
                <w:color w:val="auto"/>
              </w:rPr>
              <w:t>2.8%</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0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Weighted average shares - diluted</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81" w:lineRule="exact"/>
              <w:rPr>
                <w:sz w:val="20"/>
                <w:szCs w:val="20"/>
                <w:color w:val="auto"/>
              </w:rPr>
            </w:pPr>
            <w:r>
              <w:rPr>
                <w:rFonts w:ascii="Arial" w:cs="Arial" w:eastAsia="Arial" w:hAnsi="Arial"/>
                <w:sz w:val="16"/>
                <w:szCs w:val="16"/>
                <w:color w:val="auto"/>
              </w:rPr>
              <w:t>81.3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6"/>
                <w:szCs w:val="16"/>
                <w:color w:val="auto"/>
              </w:rPr>
              <w:t>79.2</w:t>
            </w:r>
          </w:p>
        </w:tc>
        <w:tc>
          <w:tcPr>
            <w:tcW w:w="1380" w:type="dxa"/>
            <w:vAlign w:val="bottom"/>
            <w:gridSpan w:val="2"/>
            <w:shd w:val="clear" w:color="auto" w:fill="CCEEFF"/>
          </w:tcPr>
          <w:p>
            <w:pPr>
              <w:jc w:val="right"/>
              <w:ind w:right="120"/>
              <w:spacing w:after="0" w:line="181" w:lineRule="exact"/>
              <w:rPr>
                <w:sz w:val="20"/>
                <w:szCs w:val="20"/>
                <w:color w:val="auto"/>
              </w:rPr>
            </w:pPr>
            <w:r>
              <w:rPr>
                <w:rFonts w:ascii="Arial" w:cs="Arial" w:eastAsia="Arial" w:hAnsi="Arial"/>
                <w:sz w:val="16"/>
                <w:szCs w:val="16"/>
                <w:color w:val="auto"/>
              </w:rPr>
              <w:t>2.7%</w:t>
            </w: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 w:right="640" w:hanging="4"/>
        <w:spacing w:after="0" w:line="264" w:lineRule="auto"/>
        <w:tabs>
          <w:tab w:leader="none" w:pos="222"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from services include fees received from our franchise offices of $18.8 million and $18.0 million for the nine months ended September 30, 2014 and 2013, respectively. These fees are primarily based on revenues generated by the franchise offices, which were $845.2 million and $792.4 million for the nine months ended September 30, 2014 and 2013,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352425</wp:posOffset>
            </wp:positionV>
            <wp:extent cx="72669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940" cy="20320"/>
                    </a:xfrm>
                    <a:prstGeom prst="rect">
                      <a:avLst/>
                    </a:prstGeom>
                    <a:noFill/>
                  </pic:spPr>
                </pic:pic>
              </a:graphicData>
            </a:graphic>
          </wp:anchor>
        </w:drawing>
      </w:r>
    </w:p>
    <w:p>
      <w:pPr>
        <w:sectPr>
          <w:pgSz w:w="11900" w:h="16838" w:orient="portrait"/>
          <w:cols w:equalWidth="0" w:num="1">
            <w:col w:w="11444"/>
          </w:cols>
          <w:pgMar w:left="236" w:top="469" w:right="219" w:bottom="1440" w:gutter="0" w:footer="0" w:header="0"/>
        </w:sectPr>
      </w:pPr>
    </w:p>
    <w:bookmarkStart w:id="8" w:name="page9"/>
    <w:bookmarkEnd w:id="8"/>
    <w:p>
      <w:pPr>
        <w:jc w:val="center"/>
        <w:ind w:right="156"/>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Operating Unit Results</w:t>
      </w:r>
    </w:p>
    <w:p>
      <w:pPr>
        <w:spacing w:after="0" w:line="7" w:lineRule="exact"/>
        <w:rPr>
          <w:sz w:val="20"/>
          <w:szCs w:val="20"/>
          <w:color w:val="auto"/>
        </w:rPr>
      </w:pPr>
    </w:p>
    <w:p>
      <w:pPr>
        <w:jc w:val="center"/>
        <w:ind w:right="156"/>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6"/>
                <w:szCs w:val="16"/>
                <w:b w:val="1"/>
                <w:bCs w:val="1"/>
                <w:color w:val="auto"/>
                <w:w w:val="92"/>
              </w:rPr>
              <w:t>Nine Months Ended September 30</w:t>
            </w:r>
          </w:p>
        </w:tc>
        <w:tc>
          <w:tcPr>
            <w:tcW w:w="11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6"/>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auto"/>
            </w:tcBorders>
            <w:gridSpan w:val="3"/>
          </w:tcPr>
          <w:p>
            <w:pPr>
              <w:ind w:left="840"/>
              <w:spacing w:after="0"/>
              <w:rPr>
                <w:sz w:val="20"/>
                <w:szCs w:val="20"/>
                <w:color w:val="auto"/>
              </w:rPr>
            </w:pPr>
            <w:r>
              <w:rPr>
                <w:rFonts w:ascii="Arial" w:cs="Arial" w:eastAsia="Arial" w:hAnsi="Arial"/>
                <w:sz w:val="16"/>
                <w:szCs w:val="16"/>
                <w:b w:val="1"/>
                <w:bCs w:val="1"/>
                <w:color w:val="auto"/>
              </w:rPr>
              <w:t>% Variance</w:t>
            </w:r>
          </w:p>
        </w:tc>
        <w:tc>
          <w:tcPr>
            <w:tcW w:w="160" w:type="dxa"/>
            <w:vAlign w:val="bottom"/>
          </w:tcPr>
          <w:p>
            <w:pPr>
              <w:spacing w:after="0"/>
              <w:rPr>
                <w:sz w:val="17"/>
                <w:szCs w:val="17"/>
                <w:color w:val="auto"/>
              </w:rPr>
            </w:pPr>
          </w:p>
        </w:tc>
      </w:tr>
      <w:tr>
        <w:trPr>
          <w:trHeight w:val="176"/>
        </w:trPr>
        <w:tc>
          <w:tcPr>
            <w:tcW w:w="6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540"/>
              <w:spacing w:after="0" w:line="176" w:lineRule="exact"/>
              <w:rPr>
                <w:sz w:val="20"/>
                <w:szCs w:val="20"/>
                <w:color w:val="auto"/>
              </w:rPr>
            </w:pPr>
            <w:r>
              <w:rPr>
                <w:rFonts w:ascii="Arial" w:cs="Arial" w:eastAsia="Arial" w:hAnsi="Arial"/>
                <w:sz w:val="16"/>
                <w:szCs w:val="16"/>
                <w:b w:val="1"/>
                <w:bCs w:val="1"/>
                <w:color w:val="auto"/>
              </w:rPr>
              <w:t>Amount</w:t>
            </w:r>
          </w:p>
        </w:tc>
        <w:tc>
          <w:tcPr>
            <w:tcW w:w="1120" w:type="dxa"/>
            <w:vAlign w:val="bottom"/>
          </w:tcPr>
          <w:p>
            <w:pPr>
              <w:ind w:left="260"/>
              <w:spacing w:after="0" w:line="176" w:lineRule="exact"/>
              <w:rPr>
                <w:sz w:val="20"/>
                <w:szCs w:val="20"/>
                <w:color w:val="auto"/>
              </w:rPr>
            </w:pPr>
            <w:r>
              <w:rPr>
                <w:rFonts w:ascii="Arial" w:cs="Arial" w:eastAsia="Arial" w:hAnsi="Arial"/>
                <w:sz w:val="16"/>
                <w:szCs w:val="16"/>
                <w:b w:val="1"/>
                <w:bCs w:val="1"/>
                <w:color w:val="auto"/>
              </w:rPr>
              <w:t>Constant</w:t>
            </w:r>
          </w:p>
        </w:tc>
        <w:tc>
          <w:tcPr>
            <w:tcW w:w="160" w:type="dxa"/>
            <w:vAlign w:val="bottom"/>
          </w:tcPr>
          <w:p>
            <w:pPr>
              <w:spacing w:after="0"/>
              <w:rPr>
                <w:sz w:val="15"/>
                <w:szCs w:val="15"/>
                <w:color w:val="auto"/>
              </w:rPr>
            </w:pPr>
          </w:p>
        </w:tc>
      </w:tr>
      <w:tr>
        <w:trPr>
          <w:trHeight w:val="213"/>
        </w:trPr>
        <w:tc>
          <w:tcPr>
            <w:tcW w:w="6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Reported</w:t>
            </w:r>
          </w:p>
        </w:tc>
        <w:tc>
          <w:tcPr>
            <w:tcW w:w="260" w:type="dxa"/>
            <w:vAlign w:val="bottom"/>
          </w:tcPr>
          <w:p>
            <w:pPr>
              <w:spacing w:after="0"/>
              <w:rPr>
                <w:sz w:val="18"/>
                <w:szCs w:val="18"/>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Currency</w:t>
            </w:r>
          </w:p>
        </w:tc>
        <w:tc>
          <w:tcPr>
            <w:tcW w:w="160" w:type="dxa"/>
            <w:vAlign w:val="bottom"/>
          </w:tcPr>
          <w:p>
            <w:pPr>
              <w:spacing w:after="0"/>
              <w:rPr>
                <w:sz w:val="18"/>
                <w:szCs w:val="18"/>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4"/>
          </w:tcPr>
          <w:p>
            <w:pPr>
              <w:jc w:val="right"/>
              <w:ind w:right="1100"/>
              <w:spacing w:after="0"/>
              <w:rPr>
                <w:sz w:val="20"/>
                <w:szCs w:val="20"/>
                <w:color w:val="auto"/>
              </w:rPr>
            </w:pPr>
            <w:r>
              <w:rPr>
                <w:rFonts w:ascii="Arial" w:cs="Arial" w:eastAsia="Arial" w:hAnsi="Arial"/>
                <w:sz w:val="16"/>
                <w:szCs w:val="16"/>
                <w:color w:val="auto"/>
              </w:rPr>
              <w:t>(Unaudited)</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Revenues from Services: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 (a)</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2,296.9</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2,216.4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1,114.3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1,156.1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6.9%</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3,411.2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3,372.5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r>
      <w:tr>
        <w:trPr>
          <w:trHeight w:val="192"/>
        </w:trPr>
        <w:tc>
          <w:tcPr>
            <w:tcW w:w="60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4,083.7</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3,886.5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882.7</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806.0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9.5%</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6.4%</w:t>
            </w: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624.3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5,699.3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5,316.8</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4.2%</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4,546.3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4,217.2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7.8%</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1,760.2</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1,857.2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234.7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15,641.7</w:t>
            </w:r>
          </w:p>
        </w:tc>
        <w:tc>
          <w:tcPr>
            <w:tcW w:w="220" w:type="dxa"/>
            <w:vAlign w:val="bottom"/>
          </w:tcPr>
          <w:p>
            <w:pPr>
              <w:spacing w:after="0"/>
              <w:rPr>
                <w:sz w:val="16"/>
                <w:szCs w:val="16"/>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14,998.4</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4.3%</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3.8%</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0"/>
        </w:trPr>
        <w:tc>
          <w:tcPr>
            <w:tcW w:w="608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Operating Unit Profit:</w:t>
            </w: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Americas: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85.0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17.5%</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Other Americas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32.0</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29.2%</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40.9%</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6"/>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21.1%</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24.7%</w:t>
            </w:r>
          </w:p>
        </w:tc>
      </w:tr>
      <w:tr>
        <w:trPr>
          <w:trHeight w:val="192"/>
        </w:trPr>
        <w:tc>
          <w:tcPr>
            <w:tcW w:w="6080" w:type="dxa"/>
            <w:vAlign w:val="bottom"/>
            <w:tcBorders>
              <w:top w:val="single" w:sz="8" w:color="CCEEFF"/>
            </w:tcBorders>
          </w:tcPr>
          <w:p>
            <w:pPr>
              <w:ind w:left="80"/>
              <w:spacing w:after="0"/>
              <w:rPr>
                <w:sz w:val="20"/>
                <w:szCs w:val="20"/>
                <w:color w:val="auto"/>
              </w:rPr>
            </w:pPr>
            <w:r>
              <w:rPr>
                <w:rFonts w:ascii="Arial" w:cs="Arial" w:eastAsia="Arial" w:hAnsi="Arial"/>
                <w:sz w:val="16"/>
                <w:szCs w:val="16"/>
                <w:color w:val="auto"/>
              </w:rPr>
              <w:t>Southern Europe: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France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207.3</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129.0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60.7%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56.3%</w:t>
            </w:r>
          </w:p>
        </w:tc>
      </w:tr>
      <w:tr>
        <w:trPr>
          <w:trHeight w:val="192"/>
        </w:trPr>
        <w:tc>
          <w:tcPr>
            <w:tcW w:w="6080" w:type="dxa"/>
            <w:vAlign w:val="bottom"/>
          </w:tcPr>
          <w:p>
            <w:pPr>
              <w:ind w:left="240"/>
              <w:spacing w:after="0"/>
              <w:rPr>
                <w:sz w:val="20"/>
                <w:szCs w:val="20"/>
                <w:color w:val="auto"/>
              </w:rPr>
            </w:pPr>
            <w:r>
              <w:rPr>
                <w:rFonts w:ascii="Arial" w:cs="Arial" w:eastAsia="Arial" w:hAnsi="Arial"/>
                <w:sz w:val="16"/>
                <w:szCs w:val="16"/>
                <w:color w:val="auto"/>
              </w:rPr>
              <w:t>Italy</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45.6</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37.1</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23.1%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19.4%</w:t>
            </w:r>
          </w:p>
        </w:tc>
      </w:tr>
      <w:tr>
        <w:trPr>
          <w:trHeight w:val="192"/>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Southern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117.9%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112.4%</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173.6</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55.1%</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50.8%</w:t>
            </w: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Northern Europe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144.2</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94.1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50.4%</w:t>
            </w:r>
          </w:p>
        </w:tc>
      </w:tr>
      <w:tr>
        <w:trPr>
          <w:trHeight w:val="192"/>
        </w:trPr>
        <w:tc>
          <w:tcPr>
            <w:tcW w:w="6080" w:type="dxa"/>
            <w:vAlign w:val="bottom"/>
          </w:tcPr>
          <w:p>
            <w:pPr>
              <w:ind w:left="60"/>
              <w:spacing w:after="0"/>
              <w:rPr>
                <w:sz w:val="20"/>
                <w:szCs w:val="20"/>
                <w:color w:val="auto"/>
              </w:rPr>
            </w:pPr>
            <w:r>
              <w:rPr>
                <w:rFonts w:ascii="Arial" w:cs="Arial" w:eastAsia="Arial" w:hAnsi="Arial"/>
                <w:sz w:val="16"/>
                <w:szCs w:val="16"/>
                <w:color w:val="auto"/>
              </w:rPr>
              <w:t>APME</w:t>
            </w:r>
          </w:p>
        </w:tc>
        <w:tc>
          <w:tcPr>
            <w:tcW w:w="2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62.8</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54.2</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15.8%</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21.3%</w:t>
            </w:r>
          </w:p>
        </w:tc>
      </w:tr>
      <w:tr>
        <w:trPr>
          <w:trHeight w:val="192"/>
        </w:trPr>
        <w:tc>
          <w:tcPr>
            <w:tcW w:w="60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Right Management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96.2%</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95.4%</w:t>
            </w:r>
          </w:p>
        </w:tc>
      </w:tr>
      <w:tr>
        <w:trPr>
          <w:trHeight w:val="24"/>
        </w:trPr>
        <w:tc>
          <w:tcPr>
            <w:tcW w:w="60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192"/>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629.8</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440.1</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2"/>
        </w:trPr>
        <w:tc>
          <w:tcPr>
            <w:tcW w:w="6080" w:type="dxa"/>
            <w:vAlign w:val="bottom"/>
            <w:shd w:val="clear" w:color="auto" w:fill="CCEEFF"/>
          </w:tcPr>
          <w:p>
            <w:pPr>
              <w:spacing w:after="0"/>
              <w:rPr>
                <w:sz w:val="20"/>
                <w:szCs w:val="20"/>
                <w:color w:val="auto"/>
              </w:rPr>
            </w:pPr>
            <w:r>
              <w:rPr>
                <w:rFonts w:ascii="Arial" w:cs="Arial" w:eastAsia="Arial" w:hAnsi="Arial"/>
                <w:sz w:val="16"/>
                <w:szCs w:val="16"/>
                <w:color w:val="auto"/>
              </w:rPr>
              <w:t>Corporate expenses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(78.2)</w:t>
            </w: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(69.9)</w:t>
            </w: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Intangible asset amortization expense</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(25.0)</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(25.3)</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92"/>
        </w:trPr>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profit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526.6</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344.9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52.7%</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51.7%</w:t>
            </w:r>
          </w:p>
        </w:tc>
      </w:tr>
      <w:tr>
        <w:trPr>
          <w:trHeight w:val="192"/>
        </w:trPr>
        <w:tc>
          <w:tcPr>
            <w:tcW w:w="6080" w:type="dxa"/>
            <w:vAlign w:val="bottom"/>
          </w:tcPr>
          <w:p>
            <w:pPr>
              <w:spacing w:after="0"/>
              <w:rPr>
                <w:sz w:val="20"/>
                <w:szCs w:val="20"/>
                <w:color w:val="auto"/>
              </w:rPr>
            </w:pPr>
            <w:r>
              <w:rPr>
                <w:rFonts w:ascii="Arial" w:cs="Arial" w:eastAsia="Arial" w:hAnsi="Arial"/>
                <w:sz w:val="16"/>
                <w:szCs w:val="16"/>
                <w:color w:val="auto"/>
              </w:rPr>
              <w:t>Interest and other expenses (b)</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(27.0)</w:t>
            </w: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(27.2)</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4"/>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2"/>
        </w:trPr>
        <w:tc>
          <w:tcPr>
            <w:tcW w:w="6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Earnings before income taxes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317.7</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
        </w:trPr>
        <w:tc>
          <w:tcPr>
            <w:tcW w:w="60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ind w:left="4" w:right="260" w:hanging="4"/>
        <w:spacing w:after="0" w:line="264" w:lineRule="auto"/>
        <w:tabs>
          <w:tab w:leader="none" w:pos="22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United States, revenues from services include fees received from our franchise offices of $11.7 million and $11.2 million for the nine months ended September 30, 2014 and 2013, respectively. These fees are primarily based on revenues generated by the franchise offices, which were $555.7 million and $512.0 million for the nine months ended September 30, 2014 and 2013, respectively.</w:t>
      </w:r>
    </w:p>
    <w:p>
      <w:pPr>
        <w:spacing w:after="0" w:line="161" w:lineRule="exact"/>
        <w:rPr>
          <w:rFonts w:ascii="Arial" w:cs="Arial" w:eastAsia="Arial" w:hAnsi="Arial"/>
          <w:sz w:val="16"/>
          <w:szCs w:val="16"/>
          <w:color w:val="auto"/>
        </w:rPr>
      </w:pPr>
    </w:p>
    <w:p>
      <w:pPr>
        <w:ind w:left="224" w:hanging="224"/>
        <w:spacing w:after="0"/>
        <w:tabs>
          <w:tab w:leader="none" w:pos="224"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components of interest and other expenses were:</w:t>
      </w:r>
    </w:p>
    <w:p>
      <w:pPr>
        <w:spacing w:after="0" w:line="21" w:lineRule="exact"/>
        <w:rPr>
          <w:sz w:val="20"/>
          <w:szCs w:val="20"/>
          <w:color w:val="auto"/>
        </w:rPr>
      </w:pPr>
    </w:p>
    <w:tbl>
      <w:tblPr>
        <w:tblLayout w:type="fixed"/>
        <w:tblInd w:w="4"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80"/>
              <w:spacing w:after="0"/>
              <w:rPr>
                <w:sz w:val="20"/>
                <w:szCs w:val="20"/>
                <w:color w:val="auto"/>
              </w:rPr>
            </w:pPr>
            <w:r>
              <w:rPr>
                <w:rFonts w:ascii="Arial" w:cs="Arial" w:eastAsia="Arial" w:hAnsi="Arial"/>
                <w:sz w:val="16"/>
                <w:szCs w:val="16"/>
                <w:b w:val="1"/>
                <w:bCs w:val="1"/>
                <w:color w:val="auto"/>
              </w:rPr>
              <w:t>2013</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Interest expense</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28.9</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Interest income</w:t>
            </w:r>
          </w:p>
        </w:tc>
        <w:tc>
          <w:tcPr>
            <w:tcW w:w="44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(3.4)</w:t>
            </w: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(2.7)</w:t>
            </w:r>
          </w:p>
        </w:tc>
      </w:tr>
      <w:tr>
        <w:trPr>
          <w:trHeight w:val="192"/>
        </w:trPr>
        <w:tc>
          <w:tcPr>
            <w:tcW w:w="6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exchange (gain) loss</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w:t>
            </w:r>
          </w:p>
        </w:tc>
        <w:tc>
          <w:tcPr>
            <w:tcW w:w="44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1.5</w:t>
            </w:r>
          </w:p>
        </w:tc>
      </w:tr>
      <w:tr>
        <w:trPr>
          <w:trHeight w:val="192"/>
        </w:trPr>
        <w:tc>
          <w:tcPr>
            <w:tcW w:w="6080" w:type="dxa"/>
            <w:vAlign w:val="bottom"/>
          </w:tcPr>
          <w:p>
            <w:pPr>
              <w:ind w:left="320"/>
              <w:spacing w:after="0"/>
              <w:rPr>
                <w:sz w:val="20"/>
                <w:szCs w:val="20"/>
                <w:color w:val="auto"/>
              </w:rPr>
            </w:pPr>
            <w:r>
              <w:rPr>
                <w:rFonts w:ascii="Arial" w:cs="Arial" w:eastAsia="Arial" w:hAnsi="Arial"/>
                <w:sz w:val="16"/>
                <w:szCs w:val="16"/>
                <w:color w:val="auto"/>
              </w:rPr>
              <w:t>Miscellaneous expense (income), net</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gridSpan w:val="2"/>
          </w:tcPr>
          <w:p>
            <w:pPr>
              <w:jc w:val="right"/>
              <w:ind w:right="2820"/>
              <w:spacing w:after="0"/>
              <w:rPr>
                <w:sz w:val="20"/>
                <w:szCs w:val="20"/>
                <w:color w:val="auto"/>
              </w:rPr>
            </w:pPr>
            <w:r>
              <w:rPr>
                <w:rFonts w:ascii="Arial" w:cs="Arial" w:eastAsia="Arial" w:hAnsi="Arial"/>
                <w:sz w:val="16"/>
                <w:szCs w:val="16"/>
                <w:color w:val="auto"/>
              </w:rPr>
              <w:t>(0.5)</w:t>
            </w:r>
          </w:p>
        </w:tc>
      </w:tr>
      <w:tr>
        <w:trPr>
          <w:trHeight w:val="24"/>
        </w:trPr>
        <w:tc>
          <w:tcPr>
            <w:tcW w:w="60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80" w:type="dxa"/>
            <w:vAlign w:val="bottom"/>
          </w:tcPr>
          <w:p>
            <w:pPr>
              <w:spacing w:after="0"/>
              <w:rPr>
                <w:sz w:val="2"/>
                <w:szCs w:val="2"/>
                <w:color w:val="auto"/>
              </w:rPr>
            </w:pPr>
          </w:p>
        </w:tc>
      </w:tr>
      <w:tr>
        <w:trPr>
          <w:trHeight w:val="232"/>
        </w:trPr>
        <w:tc>
          <w:tcPr>
            <w:tcW w:w="608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2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3560" w:type="dxa"/>
            <w:vAlign w:val="bottom"/>
            <w:gridSpan w:val="2"/>
            <w:shd w:val="clear" w:color="auto" w:fill="CCEEFF"/>
          </w:tcPr>
          <w:p>
            <w:pPr>
              <w:jc w:val="right"/>
              <w:ind w:right="2880"/>
              <w:spacing w:after="0"/>
              <w:rPr>
                <w:sz w:val="20"/>
                <w:szCs w:val="20"/>
                <w:color w:val="auto"/>
              </w:rPr>
            </w:pPr>
            <w:r>
              <w:rPr>
                <w:rFonts w:ascii="Arial" w:cs="Arial" w:eastAsia="Arial" w:hAnsi="Arial"/>
                <w:sz w:val="16"/>
                <w:szCs w:val="16"/>
                <w:color w:val="auto"/>
              </w:rPr>
              <w:t>27.2</w:t>
            </w:r>
          </w:p>
        </w:tc>
      </w:tr>
      <w:tr>
        <w:trPr>
          <w:trHeight w:val="573"/>
        </w:trPr>
        <w:tc>
          <w:tcPr>
            <w:tcW w:w="608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70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440" w:type="dxa"/>
            <w:vAlign w:val="bottom"/>
            <w:tcBorders>
              <w:top w:val="single" w:sz="8" w:color="auto"/>
              <w:bottom w:val="single" w:sz="8" w:color="808080"/>
            </w:tcBorders>
          </w:tcPr>
          <w:p>
            <w:pPr>
              <w:spacing w:after="0"/>
              <w:rPr>
                <w:sz w:val="24"/>
                <w:szCs w:val="24"/>
                <w:color w:val="auto"/>
              </w:rPr>
            </w:pPr>
          </w:p>
        </w:tc>
        <w:tc>
          <w:tcPr>
            <w:tcW w:w="680" w:type="dxa"/>
            <w:vAlign w:val="bottom"/>
            <w:tcBorders>
              <w:top w:val="single" w:sz="8" w:color="auto"/>
              <w:bottom w:val="single" w:sz="8" w:color="808080"/>
            </w:tcBorders>
          </w:tcPr>
          <w:p>
            <w:pPr>
              <w:spacing w:after="0"/>
              <w:rPr>
                <w:sz w:val="24"/>
                <w:szCs w:val="24"/>
                <w:color w:val="auto"/>
              </w:rPr>
            </w:pPr>
          </w:p>
        </w:tc>
        <w:tc>
          <w:tcPr>
            <w:tcW w:w="2880" w:type="dxa"/>
            <w:vAlign w:val="bottom"/>
            <w:tcBorders>
              <w:top w:val="single" w:sz="8" w:color="CCEEFF"/>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4"/>
          </w:cols>
          <w:pgMar w:left="236" w:top="469" w:right="219" w:bottom="1440" w:gutter="0" w:footer="0" w:header="0"/>
        </w:sectPr>
      </w:pPr>
    </w:p>
    <w:bookmarkStart w:id="9" w:name="page10"/>
    <w:bookmarkEnd w:id="9"/>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Balance Sheets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Sep. 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5"/>
              </w:rPr>
              <w:t>Dec. 31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6"/>
                <w:szCs w:val="16"/>
                <w:color w:val="auto"/>
              </w:rPr>
              <w:t>(Unaudited)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660.7</w:t>
            </w:r>
          </w:p>
        </w:tc>
        <w:tc>
          <w:tcPr>
            <w:tcW w:w="14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737.6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4,381.4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4,277.9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161.3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Future income tax benefits</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50.7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66.2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5,213.7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5,243.0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Other assets: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Goodwill and other intangible assets, net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1,400.0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627.4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479.3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other assets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1,879.3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Property and equipment:</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Land, buildings, leasehold improvements and equipment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706.2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523.6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540.2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property and equipment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300"/>
              <w:spacing w:after="0"/>
              <w:rPr>
                <w:sz w:val="20"/>
                <w:szCs w:val="20"/>
                <w:color w:val="auto"/>
              </w:rPr>
            </w:pPr>
            <w:r>
              <w:rPr>
                <w:rFonts w:ascii="Arial" w:cs="Arial" w:eastAsia="Arial" w:hAnsi="Arial"/>
                <w:sz w:val="16"/>
                <w:szCs w:val="16"/>
                <w:color w:val="auto"/>
              </w:rPr>
              <w:t>Total assets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7,380.7</w:t>
            </w:r>
          </w:p>
        </w:tc>
        <w:tc>
          <w:tcPr>
            <w:tcW w:w="1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7,288.3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8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1,601.9</w:t>
            </w:r>
          </w:p>
        </w:tc>
        <w:tc>
          <w:tcPr>
            <w:tcW w:w="1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1,523.9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Employee compensation payable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230.4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499.9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536.1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payroll taxes and insurance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597.7</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680.7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Value added taxes payable</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502.5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Short-term borrowings and current maturities of long-term debt</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3,475.2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3,509.6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Other liabilities: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Long-term debt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443.8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481.9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Other long-term liabilities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382.6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Total other liabilities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865.6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864.5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Shareholders' equity:</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Common stock</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in excess of par value</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3,076.8</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3,014.0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1,588.9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1,317.5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82.2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Treasury stock, at cost</w:t>
            </w:r>
          </w:p>
        </w:tc>
        <w:tc>
          <w:tcPr>
            <w:tcW w:w="20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(1,582.1)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(1,500.6)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shareholders' equity</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2,914.2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300"/>
              <w:spacing w:after="0"/>
              <w:rPr>
                <w:sz w:val="20"/>
                <w:szCs w:val="20"/>
                <w:color w:val="auto"/>
              </w:rPr>
            </w:pPr>
            <w:r>
              <w:rPr>
                <w:rFonts w:ascii="Arial" w:cs="Arial" w:eastAsia="Arial" w:hAnsi="Arial"/>
                <w:sz w:val="16"/>
                <w:szCs w:val="16"/>
                <w:color w:val="auto"/>
              </w:rPr>
              <w:t>Total liabilities and shareholders' equity</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7,380.7</w:t>
            </w:r>
          </w:p>
        </w:tc>
        <w:tc>
          <w:tcPr>
            <w:tcW w:w="140" w:type="dxa"/>
            <w:vAlign w:val="bottom"/>
          </w:tcPr>
          <w:p>
            <w:pPr>
              <w:spacing w:after="0"/>
              <w:rPr>
                <w:sz w:val="16"/>
                <w:szCs w:val="16"/>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7,288.3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20" w:type="dxa"/>
            <w:vAlign w:val="bottom"/>
          </w:tcPr>
          <w:p>
            <w:pPr>
              <w:spacing w:after="0"/>
              <w:rPr>
                <w:sz w:val="24"/>
                <w:szCs w:val="24"/>
                <w:color w:val="auto"/>
              </w:rPr>
            </w:pPr>
          </w:p>
        </w:tc>
        <w:tc>
          <w:tcPr>
            <w:tcW w:w="88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69" w:right="219" w:bottom="1440" w:gutter="0" w:footer="0" w:header="0"/>
        </w:sectPr>
      </w:pPr>
    </w:p>
    <w:bookmarkStart w:id="10" w:name="page11"/>
    <w:bookmarkEnd w:id="10"/>
    <w:p>
      <w:pPr>
        <w:jc w:val="center"/>
        <w:ind w:right="120"/>
        <w:spacing w:after="0"/>
        <w:rPr>
          <w:sz w:val="20"/>
          <w:szCs w:val="20"/>
          <w:color w:val="auto"/>
        </w:rPr>
      </w:pPr>
      <w:r>
        <w:rPr>
          <w:rFonts w:ascii="Arial" w:cs="Arial" w:eastAsia="Arial" w:hAnsi="Arial"/>
          <w:sz w:val="19"/>
          <w:szCs w:val="19"/>
          <w:color w:val="auto"/>
        </w:rPr>
        <w:t>ManpowerGroup</w:t>
      </w:r>
    </w:p>
    <w:p>
      <w:pPr>
        <w:spacing w:after="0" w:line="18"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Consolidated Statements of Cash Flows</w:t>
      </w:r>
    </w:p>
    <w:p>
      <w:pPr>
        <w:spacing w:after="0" w:line="7"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(In millions)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2620" w:type="dxa"/>
            <w:vAlign w:val="bottom"/>
            <w:gridSpan w:val="7"/>
          </w:tcPr>
          <w:p>
            <w:pPr>
              <w:jc w:val="center"/>
              <w:ind w:right="120"/>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4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0" w:type="dxa"/>
            <w:vAlign w:val="bottom"/>
            <w:gridSpan w:val="4"/>
          </w:tcPr>
          <w:p>
            <w:pPr>
              <w:jc w:val="center"/>
              <w:spacing w:after="0"/>
              <w:rPr>
                <w:sz w:val="20"/>
                <w:szCs w:val="20"/>
                <w:color w:val="auto"/>
              </w:rPr>
            </w:pPr>
            <w:r>
              <w:rPr>
                <w:rFonts w:ascii="Arial" w:cs="Arial" w:eastAsia="Arial" w:hAnsi="Arial"/>
                <w:sz w:val="16"/>
                <w:szCs w:val="16"/>
                <w:color w:val="auto"/>
                <w:w w:val="93"/>
              </w:rPr>
              <w:t>(Unaudited)</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740" w:type="dxa"/>
            <w:vAlign w:val="bottom"/>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310.4</w:t>
            </w:r>
          </w:p>
        </w:tc>
        <w:tc>
          <w:tcPr>
            <w:tcW w:w="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186.8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34.3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Excess tax benefit on exercise of share-based awards</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Changes in operating assets and liabilities, excluding the impact of acquisitions:</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w w:val="86"/>
              </w:rPr>
              <w:t>(355.4)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(128.8)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6"/>
              </w:rPr>
              <w:t>(136.7)</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220"/>
              <w:spacing w:after="0"/>
              <w:rPr>
                <w:sz w:val="20"/>
                <w:szCs w:val="20"/>
                <w:color w:val="auto"/>
              </w:rPr>
            </w:pPr>
            <w:r>
              <w:rPr>
                <w:rFonts w:ascii="Arial" w:cs="Arial" w:eastAsia="Arial" w:hAnsi="Arial"/>
                <w:sz w:val="16"/>
                <w:szCs w:val="16"/>
                <w:color w:val="auto"/>
              </w:rPr>
              <w:t>Other liabilities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169.5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46.6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provided by operating activities</w:t>
            </w:r>
          </w:p>
        </w:tc>
        <w:tc>
          <w:tcPr>
            <w:tcW w:w="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104.9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Borders>
              <w:top w:val="single" w:sz="8" w:color="CCEEFF"/>
            </w:tcBorders>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7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Capital expenditures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(32.8)</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40"/>
              <w:spacing w:after="0"/>
              <w:rPr>
                <w:sz w:val="20"/>
                <w:szCs w:val="20"/>
                <w:color w:val="auto"/>
              </w:rPr>
            </w:pPr>
            <w:r>
              <w:rPr>
                <w:rFonts w:ascii="Arial" w:cs="Arial" w:eastAsia="Arial" w:hAnsi="Arial"/>
                <w:sz w:val="16"/>
                <w:szCs w:val="16"/>
                <w:color w:val="auto"/>
              </w:rPr>
              <w:t>Acquisitions of businesses, net of cash acquired</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sales of property and equipment</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0" w:type="dxa"/>
            <w:vAlign w:val="bottom"/>
          </w:tcPr>
          <w:p>
            <w:pPr>
              <w:ind w:left="460"/>
              <w:spacing w:after="0"/>
              <w:rPr>
                <w:sz w:val="20"/>
                <w:szCs w:val="20"/>
                <w:color w:val="auto"/>
              </w:rPr>
            </w:pPr>
            <w:r>
              <w:rPr>
                <w:rFonts w:ascii="Arial" w:cs="Arial" w:eastAsia="Arial" w:hAnsi="Arial"/>
                <w:sz w:val="16"/>
                <w:szCs w:val="16"/>
                <w:color w:val="auto"/>
              </w:rPr>
              <w:t>Cash used in investing activities</w:t>
            </w:r>
          </w:p>
        </w:tc>
        <w:tc>
          <w:tcPr>
            <w:tcW w:w="74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7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Net change in short-term borrowings</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long-term debt</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Repayments of long-term debt</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(268.7)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Proceeds from share-based awards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Other share-based award transactions, net</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Repurchases of common stock</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ind w:left="60"/>
              <w:spacing w:after="0"/>
              <w:rPr>
                <w:sz w:val="20"/>
                <w:szCs w:val="20"/>
                <w:color w:val="auto"/>
              </w:rPr>
            </w:pPr>
            <w:r>
              <w:rPr>
                <w:rFonts w:ascii="Arial" w:cs="Arial" w:eastAsia="Arial" w:hAnsi="Arial"/>
                <w:sz w:val="16"/>
                <w:szCs w:val="16"/>
                <w:color w:val="auto"/>
              </w:rPr>
              <w:t>Dividends paid</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 used in financing activities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(223.9)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740" w:type="dxa"/>
            <w:vAlign w:val="bottom"/>
          </w:tcPr>
          <w:p>
            <w:pPr>
              <w:spacing w:after="0"/>
              <w:rPr>
                <w:sz w:val="16"/>
                <w:szCs w:val="16"/>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6"/>
                <w:szCs w:val="16"/>
                <w:color w:val="auto"/>
              </w:rPr>
              <w:t>(41.0)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continue"/>
          </w:tcPr>
          <w:p>
            <w:pPr>
              <w:spacing w:after="0"/>
              <w:rPr>
                <w:sz w:val="16"/>
                <w:szCs w:val="16"/>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Change in cash and cash equivalents</w:t>
            </w:r>
          </w:p>
        </w:tc>
        <w:tc>
          <w:tcPr>
            <w:tcW w:w="7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(159.4)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8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740" w:type="dxa"/>
            <w:vAlign w:val="bottom"/>
          </w:tcPr>
          <w:p>
            <w:pPr>
              <w:spacing w:after="0"/>
              <w:rPr>
                <w:sz w:val="16"/>
                <w:szCs w:val="16"/>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6"/>
                <w:szCs w:val="16"/>
                <w:color w:val="auto"/>
                <w:w w:val="94"/>
              </w:rPr>
              <w:t>737.6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648.1</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740" w:type="dxa"/>
            <w:vAlign w:val="bottom"/>
            <w:shd w:val="clear" w:color="auto" w:fill="CCEEFF"/>
          </w:tcPr>
          <w:p>
            <w:pPr>
              <w:jc w:val="right"/>
              <w:ind w:right="582"/>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4"/>
              </w:rPr>
              <w:t>660.7</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469" w:right="219" w:bottom="1440" w:gutter="0" w:footer="0" w:header="0"/>
        </w:sectPr>
      </w:pPr>
    </w:p>
    <w:bookmarkStart w:id="11" w:name="page12"/>
    <w:bookmarkEnd w:id="11"/>
    <w:p>
      <w:pPr>
        <w:ind w:left="932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33020</wp:posOffset>
            </wp:positionV>
            <wp:extent cx="7320280" cy="5883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0" w:num="1">
            <w:col w:w="10240"/>
          </w:cols>
          <w:pgMar w:left="1440" w:top="120" w:right="21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172720</wp:posOffset>
            </wp:positionV>
            <wp:extent cx="7320280" cy="5883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5883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2019-12-06T04:17:02Z</dcterms:created>
  <dcterms:modified xsi:type="dcterms:W3CDTF">2019-12-06T04:17:02Z</dcterms:modified>
</cp:coreProperties>
</file>