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436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3637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RIDGWAY ROZANNE L</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2695 MARCEY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12/30/2005</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60" w:firstLine="7"/>
        <w:spacing w:after="0" w:line="237"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3"/>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3"/>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7" w:lineRule="exact"/>
        <w:rPr>
          <w:sz w:val="24"/>
          <w:szCs w:val="24"/>
          <w:color w:val="auto"/>
        </w:rPr>
      </w:pPr>
    </w:p>
    <w:p>
      <w:pPr>
        <w:sectPr>
          <w:pgSz w:w="11900" w:h="16838" w:orient="portrait"/>
          <w:cols w:equalWidth="0" w:num="3">
            <w:col w:w="3340" w:space="720"/>
            <w:col w:w="3267" w:space="720"/>
            <w:col w:w="3473"/>
          </w:cols>
          <w:pgMar w:left="240" w:top="221" w:right="139" w:bottom="1440" w:gutter="0" w:footer="0" w:header="0"/>
          <w:type w:val="continuous"/>
        </w:sectPr>
      </w:pP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60" w:type="dxa"/>
            <w:vAlign w:val="bottom"/>
            <w:gridSpan w:val="7"/>
          </w:tcPr>
          <w:p>
            <w:pPr>
              <w:jc w:val="center"/>
              <w:ind w:right="100"/>
              <w:spacing w:after="0"/>
              <w:rPr>
                <w:sz w:val="20"/>
                <w:szCs w:val="20"/>
                <w:color w:val="auto"/>
              </w:rPr>
            </w:pPr>
            <w:r>
              <w:rPr>
                <w:rFonts w:ascii="Arial" w:cs="Arial" w:eastAsia="Arial" w:hAnsi="Arial"/>
                <w:sz w:val="13"/>
                <w:szCs w:val="13"/>
                <w:color w:val="auto"/>
                <w:w w:val="99"/>
              </w:rPr>
              <w:t>4. If Amendment, Date of Original Filed (Month/Day/Year)</w:t>
            </w:r>
          </w:p>
        </w:tc>
        <w:tc>
          <w:tcPr>
            <w:tcW w:w="3860" w:type="dxa"/>
            <w:vAlign w:val="bottom"/>
            <w:gridSpan w:val="9"/>
          </w:tcPr>
          <w:p>
            <w:pPr>
              <w:ind w:left="3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ARLINGTON</w:t>
            </w:r>
          </w:p>
        </w:tc>
        <w:tc>
          <w:tcPr>
            <w:tcW w:w="1160" w:type="dxa"/>
            <w:vAlign w:val="bottom"/>
            <w:gridSpan w:val="2"/>
          </w:tcPr>
          <w:p>
            <w:pPr>
              <w:ind w:left="40"/>
              <w:spacing w:after="0"/>
              <w:rPr>
                <w:sz w:val="20"/>
                <w:szCs w:val="20"/>
                <w:color w:val="auto"/>
              </w:rPr>
            </w:pPr>
            <w:r>
              <w:rPr>
                <w:rFonts w:ascii="Arial" w:cs="Arial" w:eastAsia="Arial" w:hAnsi="Arial"/>
                <w:sz w:val="17"/>
                <w:szCs w:val="17"/>
                <w:color w:val="0000FF"/>
              </w:rPr>
              <w:t>VA</w:t>
            </w:r>
          </w:p>
        </w:tc>
        <w:tc>
          <w:tcPr>
            <w:tcW w:w="1140" w:type="dxa"/>
            <w:vAlign w:val="bottom"/>
          </w:tcPr>
          <w:p>
            <w:pPr>
              <w:ind w:left="160"/>
              <w:spacing w:after="0"/>
              <w:rPr>
                <w:sz w:val="20"/>
                <w:szCs w:val="20"/>
                <w:color w:val="auto"/>
              </w:rPr>
            </w:pPr>
            <w:r>
              <w:rPr>
                <w:rFonts w:ascii="Arial" w:cs="Arial" w:eastAsia="Arial" w:hAnsi="Arial"/>
                <w:sz w:val="17"/>
                <w:szCs w:val="17"/>
                <w:color w:val="0000FF"/>
              </w:rPr>
              <w:t>22207</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20" w:type="dxa"/>
            <w:vAlign w:val="bottom"/>
            <w:gridSpan w:val="6"/>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7"/>
          </w:tcPr>
          <w:p>
            <w:pPr>
              <w:ind w:left="160"/>
              <w:spacing w:after="0" w:line="124"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1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0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3"/>
          </w:tcPr>
          <w:p>
            <w:pPr>
              <w:ind w:left="10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gridSpan w:val="3"/>
          </w:tcPr>
          <w:p>
            <w:pPr>
              <w:ind w:left="1000"/>
              <w:spacing w:after="0" w:line="126"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3"/>
          </w:tcPr>
          <w:p>
            <w:pPr>
              <w:ind w:left="1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3"/>
          </w:tcPr>
          <w:p>
            <w:pPr>
              <w:ind w:left="10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29"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gridSpan w:val="6"/>
          </w:tcPr>
          <w:p>
            <w:pPr>
              <w:spacing w:after="0"/>
              <w:rPr>
                <w:sz w:val="7"/>
                <w:szCs w:val="7"/>
                <w:color w:val="auto"/>
              </w:rPr>
            </w:pPr>
          </w:p>
        </w:tc>
        <w:tc>
          <w:tcPr>
            <w:tcW w:w="282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2"/>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40" w:type="dxa"/>
            <w:vAlign w:val="bottom"/>
            <w:gridSpan w:val="10"/>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3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 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4 and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3"/>
              <w:spacing w:after="0" w:line="129"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12/30/2005</w:t>
            </w:r>
          </w:p>
        </w:tc>
        <w:tc>
          <w:tcPr>
            <w:tcW w:w="1140" w:type="dxa"/>
            <w:vAlign w:val="bottom"/>
          </w:tcPr>
          <w:p>
            <w:pPr>
              <w:spacing w:after="0"/>
              <w:rPr>
                <w:sz w:val="21"/>
                <w:szCs w:val="21"/>
                <w:color w:val="auto"/>
              </w:rPr>
            </w:pPr>
          </w:p>
        </w:tc>
        <w:tc>
          <w:tcPr>
            <w:tcW w:w="840" w:type="dxa"/>
            <w:vAlign w:val="bottom"/>
            <w:gridSpan w:val="2"/>
          </w:tcPr>
          <w:p>
            <w:pPr>
              <w:ind w:left="100"/>
              <w:spacing w:after="0" w:line="245"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(2)</w:t>
            </w:r>
          </w:p>
        </w:tc>
        <w:tc>
          <w:tcPr>
            <w:tcW w:w="740" w:type="dxa"/>
            <w:vAlign w:val="bottom"/>
          </w:tcPr>
          <w:p>
            <w:pPr>
              <w:ind w:left="20"/>
              <w:spacing w:after="0"/>
              <w:rPr>
                <w:sz w:val="20"/>
                <w:szCs w:val="20"/>
                <w:color w:val="auto"/>
              </w:rPr>
            </w:pPr>
            <w:r>
              <w:rPr>
                <w:rFonts w:ascii="Arial" w:cs="Arial" w:eastAsia="Arial" w:hAnsi="Arial"/>
                <w:sz w:val="13"/>
                <w:szCs w:val="13"/>
                <w:color w:val="0000FF"/>
                <w:w w:val="98"/>
              </w:rPr>
              <w:t>116.4437</w:t>
            </w:r>
            <w:r>
              <w:rPr>
                <w:rFonts w:ascii="Arial" w:cs="Arial" w:eastAsia="Arial" w:hAnsi="Arial"/>
                <w:sz w:val="21"/>
                <w:szCs w:val="21"/>
                <w:color w:val="008000"/>
                <w:w w:val="98"/>
                <w:vertAlign w:val="superscript"/>
              </w:rPr>
              <w:t>(3)</w:t>
            </w:r>
          </w:p>
        </w:tc>
        <w:tc>
          <w:tcPr>
            <w:tcW w:w="320" w:type="dxa"/>
            <w:vAlign w:val="bottom"/>
          </w:tcPr>
          <w:p>
            <w:pPr>
              <w:spacing w:after="0"/>
              <w:rPr>
                <w:sz w:val="21"/>
                <w:szCs w:val="2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tcPr>
          <w:p>
            <w:pPr>
              <w:jc w:val="right"/>
              <w:spacing w:after="0"/>
              <w:rPr>
                <w:sz w:val="20"/>
                <w:szCs w:val="20"/>
                <w:color w:val="auto"/>
              </w:rPr>
            </w:pPr>
            <w:r>
              <w:rPr>
                <w:rFonts w:ascii="Arial" w:cs="Arial" w:eastAsia="Arial" w:hAnsi="Arial"/>
                <w:sz w:val="17"/>
                <w:szCs w:val="17"/>
                <w:color w:val="0000FF"/>
                <w:w w:val="87"/>
              </w:rPr>
              <w:t>116.4437</w:t>
            </w:r>
          </w:p>
        </w:tc>
        <w:tc>
          <w:tcPr>
            <w:tcW w:w="760" w:type="dxa"/>
            <w:vAlign w:val="bottom"/>
            <w:gridSpan w:val="2"/>
          </w:tcPr>
          <w:p>
            <w:pPr>
              <w:jc w:val="center"/>
              <w:ind w:right="1"/>
              <w:spacing w:after="0"/>
              <w:rPr>
                <w:sz w:val="20"/>
                <w:szCs w:val="20"/>
                <w:color w:val="auto"/>
              </w:rPr>
            </w:pPr>
            <w:r>
              <w:rPr>
                <w:rFonts w:ascii="Arial" w:cs="Arial" w:eastAsia="Arial" w:hAnsi="Arial"/>
                <w:sz w:val="12"/>
                <w:szCs w:val="12"/>
                <w:color w:val="auto"/>
                <w:w w:val="98"/>
              </w:rPr>
              <w:t>$</w:t>
            </w:r>
            <w:r>
              <w:rPr>
                <w:rFonts w:ascii="Arial" w:cs="Arial" w:eastAsia="Arial" w:hAnsi="Arial"/>
                <w:sz w:val="12"/>
                <w:szCs w:val="12"/>
                <w:color w:val="0000FF"/>
                <w:w w:val="98"/>
              </w:rPr>
              <w:t>43.5475</w:t>
            </w:r>
            <w:r>
              <w:rPr>
                <w:rFonts w:ascii="Arial" w:cs="Arial" w:eastAsia="Arial" w:hAnsi="Arial"/>
                <w:sz w:val="21"/>
                <w:szCs w:val="21"/>
                <w:color w:val="008000"/>
                <w:w w:val="98"/>
                <w:vertAlign w:val="superscript"/>
              </w:rPr>
              <w:t>(4)</w:t>
            </w:r>
          </w:p>
        </w:tc>
        <w:tc>
          <w:tcPr>
            <w:tcW w:w="920" w:type="dxa"/>
            <w:vAlign w:val="bottom"/>
            <w:gridSpan w:val="2"/>
          </w:tcPr>
          <w:p>
            <w:pPr>
              <w:jc w:val="right"/>
              <w:ind w:right="162"/>
              <w:spacing w:after="0"/>
              <w:rPr>
                <w:sz w:val="20"/>
                <w:szCs w:val="20"/>
                <w:color w:val="auto"/>
              </w:rPr>
            </w:pPr>
            <w:r>
              <w:rPr>
                <w:rFonts w:ascii="Arial" w:cs="Arial" w:eastAsia="Arial" w:hAnsi="Arial"/>
                <w:sz w:val="13"/>
                <w:szCs w:val="13"/>
                <w:color w:val="0000FF"/>
              </w:rPr>
              <w:t>267.1431</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2" w:lineRule="exact"/>
              <w:rPr>
                <w:sz w:val="20"/>
                <w:szCs w:val="20"/>
                <w:color w:val="auto"/>
              </w:rPr>
            </w:pPr>
            <w:r>
              <w:rPr>
                <w:rFonts w:ascii="Arial" w:cs="Arial" w:eastAsia="Arial" w:hAnsi="Arial"/>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20" w:type="dxa"/>
            <w:vAlign w:val="bottom"/>
          </w:tcPr>
          <w:p>
            <w:pPr>
              <w:spacing w:after="0"/>
              <w:rPr>
                <w:sz w:val="16"/>
                <w:szCs w:val="16"/>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01/01/2006</w:t>
            </w:r>
          </w:p>
        </w:tc>
        <w:tc>
          <w:tcPr>
            <w:tcW w:w="114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(6)</w:t>
            </w: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2,516</w:t>
            </w:r>
          </w:p>
        </w:tc>
        <w:tc>
          <w:tcPr>
            <w:tcW w:w="32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right"/>
              <w:ind w:right="112"/>
              <w:spacing w:after="0"/>
              <w:rPr>
                <w:sz w:val="20"/>
                <w:szCs w:val="20"/>
                <w:color w:val="auto"/>
              </w:rPr>
            </w:pPr>
            <w:r>
              <w:rPr>
                <w:rFonts w:ascii="Arial" w:cs="Arial" w:eastAsia="Arial" w:hAnsi="Arial"/>
                <w:sz w:val="17"/>
                <w:szCs w:val="17"/>
                <w:color w:val="0000FF"/>
              </w:rPr>
              <w:t>2,516</w:t>
            </w:r>
          </w:p>
        </w:tc>
        <w:tc>
          <w:tcPr>
            <w:tcW w:w="760" w:type="dxa"/>
            <w:vAlign w:val="bottom"/>
            <w:gridSpan w:val="2"/>
            <w:vMerge w:val="restart"/>
          </w:tcPr>
          <w:p>
            <w:pPr>
              <w:jc w:val="center"/>
              <w:ind w:right="8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46.5</w:t>
            </w:r>
            <w:r>
              <w:rPr>
                <w:rFonts w:ascii="Arial" w:cs="Arial" w:eastAsia="Arial" w:hAnsi="Arial"/>
                <w:sz w:val="21"/>
                <w:szCs w:val="21"/>
                <w:color w:val="008000"/>
                <w:vertAlign w:val="superscript"/>
              </w:rPr>
              <w:t>(7)</w:t>
            </w:r>
          </w:p>
        </w:tc>
        <w:tc>
          <w:tcPr>
            <w:tcW w:w="920" w:type="dxa"/>
            <w:vAlign w:val="bottom"/>
            <w:gridSpan w:val="2"/>
            <w:vMerge w:val="restart"/>
          </w:tcPr>
          <w:p>
            <w:pPr>
              <w:jc w:val="right"/>
              <w:ind w:right="262"/>
              <w:spacing w:after="0"/>
              <w:rPr>
                <w:sz w:val="20"/>
                <w:szCs w:val="20"/>
                <w:color w:val="auto"/>
              </w:rPr>
            </w:pPr>
            <w:r>
              <w:rPr>
                <w:rFonts w:ascii="Arial" w:cs="Arial" w:eastAsia="Arial" w:hAnsi="Arial"/>
                <w:sz w:val="13"/>
                <w:szCs w:val="13"/>
                <w:color w:val="0000FF"/>
              </w:rPr>
              <w:t>2,516</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5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24"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Receipt of deferred stock under the 2003 Equity Incentive Plan of Manpower Inc. (the "Plan") and the Terms and Conditions Regarding the Grant of Awards to Non-Employee Directors under the Plan (the "Terms and Conditions") in lieu of 100% of the Retainer (as defined in the Terms and Conditions) and dividends.</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114.8172 shares of deferred stock in lieu of 50% of the Retainer plus 1.6265 shares of deferred stock in lieu of dividends.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Average Trading Price (as defined in the Terms and Conditions).</w:t>
      </w:r>
    </w:p>
    <w:p>
      <w:pPr>
        <w:spacing w:after="0" w:line="43" w:lineRule="exact"/>
        <w:rPr>
          <w:rFonts w:ascii="Arial" w:cs="Arial" w:eastAsia="Arial" w:hAnsi="Arial"/>
          <w:sz w:val="13"/>
          <w:szCs w:val="13"/>
          <w:color w:val="008000"/>
        </w:rPr>
      </w:pPr>
    </w:p>
    <w:p>
      <w:pPr>
        <w:ind w:left="40" w:right="240" w:firstLine="2"/>
        <w:spacing w:after="0" w:line="28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of deferred stock will vest in quarterly installments on the last day of each calendar quarter during 2006 and will be settled in shares of Manpower common stock on a 1 for 1 basis on the earlier of January 1, 2009 or within 30 days after the reporting person's termination of service as a director, except as otherwise provided in the Terms and Conditions (Amended and Restated Effective January 1, 2006).</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grant of deferred stock under the Plan and the Terms and Conditions (Amended and Restated Effective January 1, 2006).</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Market Price (as defined in the Plan) on the last trading day of 2005.</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Michael J. VanHandel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370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to Power of Attorney previously  01/04/2006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-15875</wp:posOffset>
            </wp:positionV>
            <wp:extent cx="1941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18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-15875</wp:posOffset>
            </wp:positionV>
            <wp:extent cx="230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06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2019-12-16T07:19:30Z</dcterms:created>
  <dcterms:modified xsi:type="dcterms:W3CDTF">2019-12-16T07:19:30Z</dcterms:modified>
</cp:coreProperties>
</file>