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22"/>
          <w:szCs w:val="22"/>
          <w:color w:val="auto"/>
        </w:rPr>
        <w:t>United States</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153" w:lineRule="exact"/>
        <w:rPr>
          <w:rFonts w:ascii="MS PGothic" w:cs="MS PGothic" w:eastAsia="MS PGothic" w:hAnsi="MS PGothic"/>
          <w:sz w:val="18"/>
          <w:szCs w:val="18"/>
          <w:color w:val="auto"/>
        </w:rPr>
      </w:pPr>
    </w:p>
    <w:p>
      <w:pPr>
        <w:ind w:left="5540" w:right="4920" w:hanging="721"/>
        <w:spacing w:after="0" w:line="398" w:lineRule="auto"/>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September 30, 2020 </w:t>
      </w:r>
      <w:r>
        <w:rPr>
          <w:rFonts w:ascii="Arial" w:cs="Arial" w:eastAsia="Arial" w:hAnsi="Arial"/>
          <w:sz w:val="18"/>
          <w:szCs w:val="18"/>
          <w:color w:val="auto"/>
        </w:rPr>
        <w:t>or</w:t>
      </w:r>
    </w:p>
    <w:p>
      <w:pPr>
        <w:spacing w:after="0" w:line="33"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80" w:lineRule="exact"/>
        <w:rPr>
          <w:rFonts w:ascii="MS PGothic" w:cs="MS PGothic" w:eastAsia="MS PGothic" w:hAnsi="MS PGothic"/>
          <w:sz w:val="16"/>
          <w:szCs w:val="16"/>
          <w:color w:val="auto"/>
        </w:rPr>
      </w:pPr>
    </w:p>
    <w:p>
      <w:pPr>
        <w:ind w:left="43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-338455</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02" w:right="339" w:bottom="1440" w:gutter="0" w:footer="0" w:header="0"/>
        </w:sectPr>
      </w:pPr>
    </w:p>
    <w:p>
      <w:pPr>
        <w:spacing w:after="0" w:line="138"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104"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spacing w:after="0" w:line="179"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240"/>
          </w:cols>
          <w:pgMar w:left="320" w:top="402" w:right="339" w:bottom="1440" w:gutter="0" w:footer="0" w:header="0"/>
          <w:type w:val="continuous"/>
        </w:sectPr>
      </w:pPr>
    </w:p>
    <w:p>
      <w:pPr>
        <w:spacing w:after="0" w:line="100"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53212</w:t>
      </w:r>
    </w:p>
    <w:p>
      <w:pPr>
        <w:spacing w:after="0" w:line="115"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20"/>
        <w:spacing w:after="0"/>
        <w:rPr>
          <w:sz w:val="20"/>
          <w:szCs w:val="20"/>
          <w:color w:val="auto"/>
        </w:rPr>
      </w:pPr>
      <w:r>
        <w:rPr>
          <w:rFonts w:ascii="Arial" w:cs="Arial" w:eastAsia="Arial" w:hAnsi="Arial"/>
          <w:sz w:val="16"/>
          <w:szCs w:val="16"/>
          <w:color w:val="auto"/>
        </w:rPr>
        <w:t>(Zip Code)</w:t>
      </w:r>
    </w:p>
    <w:p>
      <w:pPr>
        <w:spacing w:after="0" w:line="190"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w:t>
      </w:r>
      <w:r>
        <w:rPr>
          <w:rFonts w:ascii="Arial" w:cs="Arial" w:eastAsia="Arial" w:hAnsi="Arial"/>
          <w:sz w:val="18"/>
          <w:szCs w:val="18"/>
          <w:color w:val="auto"/>
        </w:rPr>
        <w:t xml:space="preserve"> 961-1000</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97"/>
        </w:trPr>
        <w:tc>
          <w:tcPr>
            <w:tcW w:w="1300" w:type="dxa"/>
            <w:vAlign w:val="bottom"/>
          </w:tcPr>
          <w:p>
            <w:pPr>
              <w:spacing w:after="0"/>
              <w:rPr>
                <w:sz w:val="24"/>
                <w:szCs w:val="24"/>
                <w:color w:val="auto"/>
              </w:rPr>
            </w:pPr>
          </w:p>
        </w:tc>
        <w:tc>
          <w:tcPr>
            <w:tcW w:w="3400" w:type="dxa"/>
            <w:vAlign w:val="bottom"/>
            <w:gridSpan w:val="2"/>
          </w:tcPr>
          <w:p>
            <w:pPr>
              <w:jc w:val="center"/>
              <w:ind w:right="2080"/>
              <w:spacing w:after="0"/>
              <w:rPr>
                <w:sz w:val="20"/>
                <w:szCs w:val="20"/>
                <w:color w:val="auto"/>
              </w:rPr>
            </w:pPr>
            <w:r>
              <w:rPr>
                <w:rFonts w:ascii="Arial" w:cs="Arial" w:eastAsia="Arial" w:hAnsi="Arial"/>
                <w:sz w:val="18"/>
                <w:szCs w:val="18"/>
                <w:color w:val="auto"/>
                <w:w w:val="88"/>
              </w:rPr>
              <w:t>Title of each class</w:t>
            </w:r>
          </w:p>
        </w:tc>
        <w:tc>
          <w:tcPr>
            <w:tcW w:w="266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18"/>
        </w:trPr>
        <w:tc>
          <w:tcPr>
            <w:tcW w:w="470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$.01 par value</w:t>
            </w:r>
          </w:p>
        </w:tc>
        <w:tc>
          <w:tcPr>
            <w:tcW w:w="2660" w:type="dxa"/>
            <w:vAlign w:val="bottom"/>
            <w:gridSpan w:val="2"/>
          </w:tcPr>
          <w:p>
            <w:pPr>
              <w:jc w:val="center"/>
              <w:ind w:right="1280"/>
              <w:spacing w:after="0"/>
              <w:rPr>
                <w:sz w:val="20"/>
                <w:szCs w:val="20"/>
                <w:color w:val="auto"/>
              </w:rPr>
            </w:pPr>
            <w:r>
              <w:rPr>
                <w:rFonts w:ascii="Arial" w:cs="Arial" w:eastAsia="Arial" w:hAnsi="Arial"/>
                <w:sz w:val="18"/>
                <w:szCs w:val="18"/>
                <w:color w:val="auto"/>
              </w:rPr>
              <w:t>MAN</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8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98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at November 4, 2020</w:t>
            </w:r>
          </w:p>
        </w:tc>
      </w:tr>
      <w:tr>
        <w:trPr>
          <w:trHeight w:val="224"/>
        </w:trPr>
        <w:tc>
          <w:tcPr>
            <w:tcW w:w="6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$.01 par value</w:t>
            </w:r>
          </w:p>
        </w:tc>
        <w:tc>
          <w:tcPr>
            <w:tcW w:w="16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57,533,218</w:t>
            </w:r>
          </w:p>
        </w:tc>
      </w:tr>
      <w:tr>
        <w:trPr>
          <w:trHeight w:val="1032"/>
        </w:trPr>
        <w:tc>
          <w:tcPr>
            <w:tcW w:w="6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540" w:type="dxa"/>
            <w:vAlign w:val="bottom"/>
            <w:gridSpan w:val="2"/>
          </w:tcPr>
          <w:p>
            <w:pPr>
              <w:jc w:val="center"/>
              <w:ind w:right="386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780" w:type="dxa"/>
            <w:vAlign w:val="bottom"/>
            <w:vMerge w:val="restart"/>
          </w:tcPr>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PART I</w:t>
              </w:r>
            </w:hyperlink>
          </w:p>
        </w:tc>
        <w:tc>
          <w:tcPr>
            <w:tcW w:w="8540" w:type="dxa"/>
            <w:vAlign w:val="bottom"/>
            <w:gridSpan w:val="3"/>
            <w:vMerge w:val="restart"/>
          </w:tcPr>
          <w:p>
            <w:pPr>
              <w:ind w:left="480"/>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FINANCIAL INFORMATION</w:t>
              </w:r>
            </w:hyperlink>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6"/>
        </w:trPr>
        <w:tc>
          <w:tcPr>
            <w:tcW w:w="1780" w:type="dxa"/>
            <w:vAlign w:val="bottom"/>
            <w:vMerge w:val="continue"/>
          </w:tcPr>
          <w:p>
            <w:pPr>
              <w:spacing w:after="0"/>
              <w:rPr>
                <w:sz w:val="17"/>
                <w:szCs w:val="17"/>
                <w:color w:val="auto"/>
              </w:rPr>
            </w:pPr>
          </w:p>
        </w:tc>
        <w:tc>
          <w:tcPr>
            <w:tcW w:w="8540" w:type="dxa"/>
            <w:vAlign w:val="bottom"/>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Item 1</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Financial Statements (unaudited)</w:t>
              </w:r>
            </w:hyperlink>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Consolidated Balance Sheets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Comprehensive Income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Consolidated Statements of Cash Flows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7">
              <w:r>
                <w:rPr>
                  <w:rFonts w:ascii="Arial" w:cs="Arial" w:eastAsia="Arial" w:hAnsi="Arial"/>
                  <w:sz w:val="20"/>
                  <w:szCs w:val="20"/>
                  <w:u w:val="single" w:color="auto"/>
                  <w:color w:val="0000EE"/>
                </w:rPr>
                <w:t>Consolidated Statements of Shareholders' Equity</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9">
              <w:r>
                <w:rPr>
                  <w:rFonts w:ascii="Arial" w:cs="Arial" w:eastAsia="Arial" w:hAnsi="Arial"/>
                  <w:sz w:val="20"/>
                  <w:szCs w:val="20"/>
                  <w:u w:val="single" w:color="auto"/>
                  <w:color w:val="0000EE"/>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25">
              <w:r>
                <w:rPr>
                  <w:rFonts w:ascii="Arial" w:cs="Arial" w:eastAsia="Arial" w:hAnsi="Arial"/>
                  <w:sz w:val="20"/>
                  <w:szCs w:val="20"/>
                  <w:u w:val="single" w:color="auto"/>
                  <w:color w:val="0000EE"/>
                </w:rPr>
                <w:t>Item 2</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25">
              <w:r>
                <w:rPr>
                  <w:rFonts w:ascii="Arial" w:cs="Arial" w:eastAsia="Arial" w:hAnsi="Arial"/>
                  <w:sz w:val="20"/>
                  <w:szCs w:val="20"/>
                  <w:u w:val="single" w:color="auto"/>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Item 3</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1780" w:type="dxa"/>
            <w:vAlign w:val="bottom"/>
          </w:tcPr>
          <w:p>
            <w:pPr>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Item 4</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25"/>
        </w:trPr>
        <w:tc>
          <w:tcPr>
            <w:tcW w:w="1780" w:type="dxa"/>
            <w:vAlign w:val="bottom"/>
          </w:tcPr>
          <w:p>
            <w:pPr>
              <w:spacing w:after="0"/>
              <w:rPr>
                <w:rFonts w:ascii="Arial" w:cs="Arial" w:eastAsia="Arial" w:hAnsi="Arial"/>
                <w:sz w:val="20"/>
                <w:szCs w:val="20"/>
                <w:b w:val="1"/>
                <w:bCs w:val="1"/>
                <w:u w:val="single" w:color="auto"/>
                <w:color w:val="0000EE"/>
              </w:rPr>
            </w:pPr>
            <w:hyperlink w:anchor="page43">
              <w:r>
                <w:rPr>
                  <w:rFonts w:ascii="Arial" w:cs="Arial" w:eastAsia="Arial" w:hAnsi="Arial"/>
                  <w:sz w:val="20"/>
                  <w:szCs w:val="20"/>
                  <w:b w:val="1"/>
                  <w:bCs w:val="1"/>
                  <w:u w:val="single" w:color="auto"/>
                  <w:color w:val="0000EE"/>
                </w:rPr>
                <w:t>PART II</w:t>
              </w:r>
            </w:hyperlink>
          </w:p>
        </w:tc>
        <w:tc>
          <w:tcPr>
            <w:tcW w:w="8540" w:type="dxa"/>
            <w:vAlign w:val="bottom"/>
            <w:gridSpan w:val="3"/>
          </w:tcPr>
          <w:p>
            <w:pPr>
              <w:ind w:left="480"/>
              <w:spacing w:after="0"/>
              <w:rPr>
                <w:rFonts w:ascii="Arial" w:cs="Arial" w:eastAsia="Arial" w:hAnsi="Arial"/>
                <w:sz w:val="20"/>
                <w:szCs w:val="20"/>
                <w:b w:val="1"/>
                <w:bCs w:val="1"/>
                <w:u w:val="single" w:color="auto"/>
                <w:color w:val="0000EE"/>
              </w:rPr>
            </w:pPr>
            <w:hyperlink w:anchor="page43">
              <w:r>
                <w:rPr>
                  <w:rFonts w:ascii="Arial" w:cs="Arial" w:eastAsia="Arial" w:hAnsi="Arial"/>
                  <w:sz w:val="20"/>
                  <w:szCs w:val="20"/>
                  <w:b w:val="1"/>
                  <w:bCs w:val="1"/>
                  <w:u w:val="single" w:color="auto"/>
                  <w:color w:val="0000EE"/>
                </w:rPr>
                <w:t>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43">
              <w:r>
                <w:rPr>
                  <w:rFonts w:ascii="Arial" w:cs="Arial" w:eastAsia="Arial" w:hAnsi="Arial"/>
                  <w:sz w:val="20"/>
                  <w:szCs w:val="20"/>
                  <w:u w:val="single" w:color="auto"/>
                  <w:color w:val="0000EE"/>
                </w:rPr>
                <w:t>Item 1A</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3">
              <w:r>
                <w:rPr>
                  <w:rFonts w:ascii="Arial" w:cs="Arial" w:eastAsia="Arial" w:hAnsi="Arial"/>
                  <w:sz w:val="20"/>
                  <w:szCs w:val="20"/>
                  <w:u w:val="single" w:color="auto"/>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44">
              <w:r>
                <w:rPr>
                  <w:rFonts w:ascii="Arial" w:cs="Arial" w:eastAsia="Arial" w:hAnsi="Arial"/>
                  <w:sz w:val="20"/>
                  <w:szCs w:val="20"/>
                  <w:u w:val="single" w:color="auto"/>
                  <w:color w:val="0000EE"/>
                </w:rPr>
                <w:t>Item 2</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4">
              <w:r>
                <w:rPr>
                  <w:rFonts w:ascii="Arial" w:cs="Arial" w:eastAsia="Arial" w:hAnsi="Arial"/>
                  <w:sz w:val="20"/>
                  <w:szCs w:val="20"/>
                  <w:u w:val="single" w:color="auto"/>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44">
              <w:r>
                <w:rPr>
                  <w:rFonts w:ascii="Arial" w:cs="Arial" w:eastAsia="Arial" w:hAnsi="Arial"/>
                  <w:sz w:val="20"/>
                  <w:szCs w:val="20"/>
                  <w:u w:val="single" w:color="auto"/>
                  <w:color w:val="0000EE"/>
                </w:rPr>
                <w:t>Item 5</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4">
              <w:r>
                <w:rPr>
                  <w:rFonts w:ascii="Arial" w:cs="Arial" w:eastAsia="Arial" w:hAnsi="Arial"/>
                  <w:sz w:val="20"/>
                  <w:szCs w:val="20"/>
                  <w:u w:val="single" w:color="auto"/>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1780" w:type="dxa"/>
            <w:vAlign w:val="bottom"/>
          </w:tcPr>
          <w:p>
            <w:pPr>
              <w:spacing w:after="0"/>
              <w:rPr>
                <w:rFonts w:ascii="Arial" w:cs="Arial" w:eastAsia="Arial" w:hAnsi="Arial"/>
                <w:sz w:val="20"/>
                <w:szCs w:val="20"/>
                <w:u w:val="single" w:color="auto"/>
                <w:color w:val="0000EE"/>
              </w:rPr>
            </w:pPr>
            <w:hyperlink w:anchor="page45">
              <w:r>
                <w:rPr>
                  <w:rFonts w:ascii="Arial" w:cs="Arial" w:eastAsia="Arial" w:hAnsi="Arial"/>
                  <w:sz w:val="20"/>
                  <w:szCs w:val="20"/>
                  <w:u w:val="single" w:color="auto"/>
                  <w:color w:val="0000EE"/>
                </w:rPr>
                <w:t>Item 6</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5">
              <w:r>
                <w:rPr>
                  <w:rFonts w:ascii="Arial" w:cs="Arial" w:eastAsia="Arial" w:hAnsi="Arial"/>
                  <w:sz w:val="20"/>
                  <w:szCs w:val="20"/>
                  <w:u w:val="single" w:color="auto"/>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45"/>
        </w:trPr>
        <w:tc>
          <w:tcPr>
            <w:tcW w:w="1780" w:type="dxa"/>
            <w:vAlign w:val="bottom"/>
          </w:tcPr>
          <w:p>
            <w:pPr>
              <w:spacing w:after="0"/>
              <w:rPr>
                <w:rFonts w:ascii="Arial" w:cs="Arial" w:eastAsia="Arial" w:hAnsi="Arial"/>
                <w:sz w:val="20"/>
                <w:szCs w:val="20"/>
                <w:b w:val="1"/>
                <w:bCs w:val="1"/>
                <w:u w:val="single" w:color="auto"/>
                <w:color w:val="0000EE"/>
              </w:rPr>
            </w:pPr>
            <w:hyperlink w:anchor="page46">
              <w:r>
                <w:rPr>
                  <w:rFonts w:ascii="Arial" w:cs="Arial" w:eastAsia="Arial" w:hAnsi="Arial"/>
                  <w:sz w:val="20"/>
                  <w:szCs w:val="20"/>
                  <w:b w:val="1"/>
                  <w:bCs w:val="1"/>
                  <w:u w:val="single" w:color="auto"/>
                  <w:color w:val="0000EE"/>
                </w:rPr>
                <w:t>SIGNATURES</w:t>
              </w:r>
            </w:hyperlink>
          </w:p>
        </w:tc>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44"/>
        </w:trPr>
        <w:tc>
          <w:tcPr>
            <w:tcW w:w="1780" w:type="dxa"/>
            <w:vAlign w:val="bottom"/>
          </w:tcPr>
          <w:p>
            <w:pPr>
              <w:spacing w:after="0"/>
              <w:rPr>
                <w:sz w:val="24"/>
                <w:szCs w:val="24"/>
                <w:color w:val="auto"/>
              </w:rPr>
            </w:pPr>
          </w:p>
        </w:tc>
        <w:tc>
          <w:tcPr>
            <w:tcW w:w="4680" w:type="dxa"/>
            <w:vAlign w:val="bottom"/>
            <w:gridSpan w:val="2"/>
          </w:tcPr>
          <w:p>
            <w:pPr>
              <w:jc w:val="center"/>
              <w:ind w:left="2902"/>
              <w:spacing w:after="0"/>
              <w:rPr>
                <w:sz w:val="20"/>
                <w:szCs w:val="20"/>
                <w:color w:val="auto"/>
              </w:rPr>
            </w:pPr>
            <w:r>
              <w:rPr>
                <w:rFonts w:ascii="Arial" w:cs="Arial" w:eastAsia="Arial" w:hAnsi="Arial"/>
                <w:sz w:val="18"/>
                <w:szCs w:val="18"/>
                <w:color w:val="auto"/>
                <w:w w:val="79"/>
              </w:rPr>
              <w:t>2</w:t>
            </w: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19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1,587.7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1,025.8</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 of</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$125.3 and $113.5, respectively</w:t>
            </w: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4,535.7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5,273.1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185.6</w:t>
            </w: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6,348.1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6,484.5</w:t>
            </w:r>
          </w:p>
        </w:tc>
      </w:tr>
      <w:tr>
        <w:trPr>
          <w:trHeight w:val="229"/>
        </w:trPr>
        <w:tc>
          <w:tcPr>
            <w:tcW w:w="7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1,198.6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1,260.1</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Intangible assets, less accumulated amortization of</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$412.8 and $389.4, respectively</w:t>
            </w: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268.6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407.9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448.5</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610.7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618.8</w:t>
            </w:r>
          </w:p>
        </w:tc>
      </w:tr>
      <w:tr>
        <w:trPr>
          <w:trHeight w:val="22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assets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2,468.7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2,596.0</w:t>
            </w:r>
          </w:p>
        </w:tc>
      </w:tr>
      <w:tr>
        <w:trPr>
          <w:trHeight w:val="229"/>
        </w:trPr>
        <w:tc>
          <w:tcPr>
            <w:tcW w:w="7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599.6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605.5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467.1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462.2</w:t>
            </w: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143.3</w:t>
            </w:r>
          </w:p>
        </w:tc>
      </w:tr>
      <w:tr>
        <w:trPr>
          <w:trHeight w:val="223"/>
        </w:trPr>
        <w:tc>
          <w:tcPr>
            <w:tcW w:w="772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8,949.3</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2,359.9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2,474.9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213.0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206.4</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555.6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545.4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622.3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649.7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495.5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504.0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4,275.5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4,441.4</w:t>
            </w:r>
          </w:p>
        </w:tc>
      </w:tr>
      <w:tr>
        <w:trPr>
          <w:trHeight w:val="230"/>
        </w:trPr>
        <w:tc>
          <w:tcPr>
            <w:tcW w:w="7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1,058.5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1,012.4</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318.8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336.7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691.1</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671.8</w:t>
            </w: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other liabilities</w:t>
            </w: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2,068.4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2,020.9</w:t>
            </w:r>
          </w:p>
        </w:tc>
      </w:tr>
      <w:tr>
        <w:trPr>
          <w:trHeight w:val="229"/>
        </w:trPr>
        <w:tc>
          <w:tcPr>
            <w:tcW w:w="7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ManpowerGroup shareholders' equity</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$.01 par value, authorized 125,000,000 shares, issued</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117,543,804 and 117,190,883 shares, respectively</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3,395.1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3,370.6</w:t>
            </w: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3,378.5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3,494.1</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(441.0)</w:t>
            </w: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Treasury stock at cost, 59,460,085 and 58,517,128 shares, respectively</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(3,681.9)</w:t>
            </w: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2,588.7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2,743.0</w:t>
            </w:r>
          </w:p>
        </w:tc>
      </w:tr>
      <w:tr>
        <w:trPr>
          <w:trHeight w:val="22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2,605.4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2,761.5</w:t>
            </w:r>
          </w:p>
        </w:tc>
      </w:tr>
      <w:tr>
        <w:trPr>
          <w:trHeight w:val="223"/>
        </w:trPr>
        <w:tc>
          <w:tcPr>
            <w:tcW w:w="772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8,949.3</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60" w:type="dxa"/>
            <w:vAlign w:val="bottom"/>
            <w:gridSpan w:val="3"/>
          </w:tcPr>
          <w:p>
            <w:pPr>
              <w:jc w:val="center"/>
              <w:ind w:left="4090"/>
              <w:spacing w:after="0"/>
              <w:rPr>
                <w:sz w:val="20"/>
                <w:szCs w:val="20"/>
                <w:color w:val="auto"/>
              </w:rPr>
            </w:pPr>
            <w:r>
              <w:rPr>
                <w:rFonts w:ascii="Arial" w:cs="Arial" w:eastAsia="Arial" w:hAnsi="Arial"/>
                <w:sz w:val="18"/>
                <w:szCs w:val="18"/>
                <w:b w:val="1"/>
                <w:bCs w:val="1"/>
                <w:color w:val="auto"/>
                <w:w w:val="93"/>
              </w:rPr>
              <w:t>ManpowerGroup Inc.</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680" w:type="dxa"/>
            <w:vAlign w:val="bottom"/>
            <w:gridSpan w:val="7"/>
          </w:tcPr>
          <w:p>
            <w:pPr>
              <w:jc w:val="center"/>
              <w:ind w:left="249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gridSpan w:val="3"/>
          </w:tcPr>
          <w:p>
            <w:pPr>
              <w:jc w:val="center"/>
              <w:ind w:left="4110"/>
              <w:spacing w:after="0"/>
              <w:rPr>
                <w:sz w:val="20"/>
                <w:szCs w:val="20"/>
                <w:color w:val="auto"/>
              </w:rPr>
            </w:pPr>
            <w:r>
              <w:rPr>
                <w:rFonts w:ascii="Arial" w:cs="Arial" w:eastAsia="Arial" w:hAnsi="Arial"/>
                <w:sz w:val="18"/>
                <w:szCs w:val="18"/>
                <w:b w:val="1"/>
                <w:bCs w:val="1"/>
                <w:color w:val="auto"/>
                <w:w w:val="89"/>
              </w:rPr>
              <w:t>(in millions, except per share data)</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3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4,584.8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5,248.9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12,946.1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15,666.9</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3,859.7</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4,408.6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10,920.3</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13,151.4</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2,025.8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2,515.5</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w w:val="96"/>
              </w:rPr>
              <w:t>Selling and administrative expenses, excluding goodwill impairment charges</w:t>
            </w:r>
          </w:p>
        </w:tc>
        <w:tc>
          <w:tcPr>
            <w:tcW w:w="2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1,909.7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1,998.2</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 charges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663.5</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1,976.5</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2,062.2</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(income),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69.4</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earnings (loss)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earnings (loss) per share – basic</w:t>
            </w: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c>
          <w:tcPr>
            <w:tcW w:w="2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(loss) per share – 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59.9</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58.4</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3"/>
          </w:tcPr>
          <w:p>
            <w:pPr>
              <w:jc w:val="center"/>
              <w:ind w:left="4270"/>
              <w:spacing w:after="0"/>
              <w:rPr>
                <w:sz w:val="20"/>
                <w:szCs w:val="20"/>
                <w:color w:val="auto"/>
              </w:rPr>
            </w:pPr>
            <w:r>
              <w:rPr>
                <w:rFonts w:ascii="Arial" w:cs="Arial" w:eastAsia="Arial" w:hAnsi="Arial"/>
                <w:sz w:val="18"/>
                <w:szCs w:val="18"/>
                <w:b w:val="1"/>
                <w:bCs w:val="1"/>
                <w:color w:val="auto"/>
                <w:w w:val="93"/>
              </w:rPr>
              <w:t>ManpowerGroup Inc.</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87"/>
        </w:trPr>
        <w:tc>
          <w:tcPr>
            <w:tcW w:w="8440" w:type="dxa"/>
            <w:vAlign w:val="bottom"/>
            <w:gridSpan w:val="7"/>
          </w:tcPr>
          <w:p>
            <w:pPr>
              <w:jc w:val="center"/>
              <w:ind w:left="2710"/>
              <w:spacing w:after="0"/>
              <w:rPr>
                <w:sz w:val="20"/>
                <w:szCs w:val="20"/>
                <w:color w:val="auto"/>
              </w:rPr>
            </w:pPr>
            <w:r>
              <w:rPr>
                <w:rFonts w:ascii="Arial" w:cs="Arial" w:eastAsia="Arial" w:hAnsi="Arial"/>
                <w:sz w:val="18"/>
                <w:szCs w:val="18"/>
                <w:b w:val="1"/>
                <w:bCs w:val="1"/>
                <w:color w:val="auto"/>
                <w:w w:val="89"/>
              </w:rPr>
              <w:t>Consolidated Statements of Comprehensive (Loss) Income (Unaudited)</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6880" w:type="dxa"/>
            <w:vAlign w:val="bottom"/>
            <w:gridSpan w:val="3"/>
          </w:tcPr>
          <w:p>
            <w:pPr>
              <w:jc w:val="center"/>
              <w:ind w:left="4270"/>
              <w:spacing w:after="0"/>
              <w:rPr>
                <w:sz w:val="20"/>
                <w:szCs w:val="20"/>
                <w:color w:val="auto"/>
              </w:rPr>
            </w:pPr>
            <w:r>
              <w:rPr>
                <w:rFonts w:ascii="Arial" w:cs="Arial" w:eastAsia="Arial" w:hAnsi="Arial"/>
                <w:sz w:val="18"/>
                <w:szCs w:val="18"/>
                <w:b w:val="1"/>
                <w:bCs w:val="1"/>
                <w:color w:val="auto"/>
                <w:w w:val="91"/>
              </w:rPr>
              <w:t>(in millions)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46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326.9</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r>
      <w:tr>
        <w:trPr>
          <w:trHeight w:val="215"/>
        </w:trPr>
        <w:tc>
          <w:tcPr>
            <w:tcW w:w="5600" w:type="dxa"/>
            <w:vAlign w:val="bottom"/>
          </w:tcPr>
          <w:p>
            <w:pPr>
              <w:ind w:left="260"/>
              <w:spacing w:after="0"/>
              <w:rPr>
                <w:sz w:val="20"/>
                <w:szCs w:val="20"/>
                <w:color w:val="auto"/>
              </w:rPr>
            </w:pPr>
            <w:r>
              <w:rPr>
                <w:rFonts w:ascii="Arial" w:cs="Arial" w:eastAsia="Arial" w:hAnsi="Arial"/>
                <w:sz w:val="18"/>
                <w:szCs w:val="18"/>
                <w:color w:val="auto"/>
                <w:w w:val="94"/>
              </w:rPr>
              <w:t>Reclassification of currency translation adjustment to income related to</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disposition of partially held equity interest</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15"/>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adjustments on derivative instruments, net of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(benefit) taxes of $(12.6), $9.6, $(12.5) and $11.6, respectively</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43.2</w:t>
            </w: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Translation adjustments of long-term intercompany loans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15"/>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Defined benefit pension plans and retiree health care plan, net of</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of $0.3, $0.1, $7.9 and $0.2, respectively</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w w:val="94"/>
              </w:rPr>
              <w:t>Pension settlement related to a U.S. plan, net of income taxes of $(3.9)</w:t>
            </w: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46.3</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274.2</w:t>
            </w: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vMerge w:val="restart"/>
          </w:tcPr>
          <w:p>
            <w:pPr>
              <w:jc w:val="right"/>
              <w:ind w:right="7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Net (loss) earnings</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9"/>
                <w:szCs w:val="19"/>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gain on disposition of previously held equity interest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Non-cash gain on disposition of previously held controlling interest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goodwill and other impairment charges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Non-cash operating lease right-of-use assets impairment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785.8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790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ind w:left="78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715.7</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9"/>
        </w:trPr>
        <w:tc>
          <w:tcPr>
            <w:tcW w:w="7900" w:type="dxa"/>
            <w:vAlign w:val="bottom"/>
          </w:tcPr>
          <w:p>
            <w:pPr>
              <w:ind w:left="80"/>
              <w:spacing w:after="0"/>
              <w:rPr>
                <w:sz w:val="20"/>
                <w:szCs w:val="20"/>
                <w:color w:val="auto"/>
              </w:rPr>
            </w:pPr>
            <w:r>
              <w:rPr>
                <w:rFonts w:ascii="Arial" w:cs="Arial" w:eastAsia="Arial" w:hAnsi="Arial"/>
                <w:sz w:val="18"/>
                <w:szCs w:val="18"/>
                <w:color w:val="auto"/>
              </w:rPr>
              <w:t>Acquisition of businesses, net of cash acquired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Impact to cash resulting from deconsolidation of subsidiaries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Proceeds from the sale of subsidiaries, investments, property and equipment</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00"/>
              <w:spacing w:after="0"/>
              <w:rPr>
                <w:sz w:val="20"/>
                <w:szCs w:val="20"/>
                <w:color w:val="auto"/>
              </w:rPr>
            </w:pPr>
            <w:r>
              <w:rPr>
                <w:rFonts w:ascii="Arial" w:cs="Arial" w:eastAsia="Arial" w:hAnsi="Arial"/>
                <w:sz w:val="18"/>
                <w:szCs w:val="18"/>
                <w:color w:val="auto"/>
              </w:rPr>
              <w:t>Net change in short-term borrowings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Proceeds from long-term debt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Repayments of long-term debt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Payments of contingent consideration for acquisitions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7900" w:type="dxa"/>
            <w:vAlign w:val="bottom"/>
          </w:tcPr>
          <w:p>
            <w:pPr>
              <w:ind w:left="100"/>
              <w:spacing w:after="0"/>
              <w:rPr>
                <w:sz w:val="20"/>
                <w:szCs w:val="20"/>
                <w:color w:val="auto"/>
              </w:rPr>
            </w:pPr>
            <w:r>
              <w:rPr>
                <w:rFonts w:ascii="Arial" w:cs="Arial" w:eastAsia="Arial" w:hAnsi="Arial"/>
                <w:sz w:val="18"/>
                <w:szCs w:val="18"/>
                <w:color w:val="auto"/>
              </w:rPr>
              <w:t>Proceeds from share-based awards and sale of subsidiaries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Payments to noncontrolling interest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Other share-based award transactions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used in financing activities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1,025.8</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1,587.7</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807.1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Interest Paid</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23"/>
                <w:szCs w:val="23"/>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7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paid, net</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Non-cash operating activity:</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20"/>
                <w:szCs w:val="20"/>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ManpowerGroup Shareholders</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2840" w:type="dxa"/>
            <w:vAlign w:val="bottom"/>
          </w:tcPr>
          <w:p>
            <w:pPr>
              <w:spacing w:after="0"/>
              <w:rPr>
                <w:sz w:val="17"/>
                <w:szCs w:val="17"/>
                <w:color w:val="auto"/>
              </w:rPr>
            </w:pPr>
          </w:p>
        </w:tc>
        <w:tc>
          <w:tcPr>
            <w:tcW w:w="16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Common Stock</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2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Capital in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06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99"/>
              <w:spacing w:after="0"/>
              <w:rPr>
                <w:sz w:val="20"/>
                <w:szCs w:val="20"/>
                <w:color w:val="auto"/>
              </w:rPr>
            </w:pPr>
            <w:r>
              <w:rPr>
                <w:rFonts w:ascii="Arial" w:cs="Arial" w:eastAsia="Arial" w:hAnsi="Arial"/>
                <w:sz w:val="16"/>
                <w:szCs w:val="16"/>
                <w:b w:val="1"/>
                <w:bCs w:val="1"/>
                <w:color w:val="auto"/>
                <w:w w:val="82"/>
              </w:rPr>
              <w:t>Excess of</w:t>
            </w:r>
          </w:p>
        </w:tc>
        <w:tc>
          <w:tcPr>
            <w:tcW w:w="18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Retained</w:t>
            </w: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w w:val="98"/>
              </w:rPr>
              <w:t>Comprehensive</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Treasury</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3"/>
        </w:trPr>
        <w:tc>
          <w:tcPr>
            <w:tcW w:w="2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Issued</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Par Value</w:t>
            </w:r>
          </w:p>
        </w:tc>
        <w:tc>
          <w:tcPr>
            <w:tcW w:w="10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6"/>
              </w:rPr>
              <w:t>Stock</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13"/>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117,190,883</w:t>
            </w:r>
          </w:p>
        </w:tc>
        <w:tc>
          <w:tcPr>
            <w:tcW w:w="5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3,370.6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3,494.1</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(441.0)</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(3,681.9)</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18.5</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2,761.5</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1.7</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060" w:type="dxa"/>
            <w:vAlign w:val="bottom"/>
          </w:tcPr>
          <w:p>
            <w:pPr>
              <w:jc w:val="right"/>
              <w:spacing w:after="0"/>
              <w:rPr>
                <w:sz w:val="20"/>
                <w:szCs w:val="20"/>
                <w:color w:val="auto"/>
              </w:rPr>
            </w:pPr>
            <w:r>
              <w:rPr>
                <w:rFonts w:ascii="Arial" w:cs="Arial" w:eastAsia="Arial" w:hAnsi="Arial"/>
                <w:sz w:val="16"/>
                <w:szCs w:val="16"/>
                <w:color w:val="auto"/>
              </w:rPr>
              <w:t>293,298</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Share-based compensation expense</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16"/>
        </w:trPr>
        <w:tc>
          <w:tcPr>
            <w:tcW w:w="28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0.3</w:t>
            </w: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0.3</w:t>
            </w:r>
          </w:p>
        </w:tc>
      </w:tr>
      <w:tr>
        <w:trPr>
          <w:trHeight w:val="209"/>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March 31,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117,484,181</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3,495.8</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(3,752.1)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2,639.0</w:t>
            </w:r>
          </w:p>
        </w:tc>
      </w:tr>
      <w:tr>
        <w:trPr>
          <w:trHeight w:val="213"/>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(64.4)</w:t>
            </w: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26.7</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Issuances under equity plans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14,898</w:t>
            </w: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w w:val="98"/>
              </w:rPr>
              <w:t>Share-based compensation expense</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6.9</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(63.2)</w:t>
            </w: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w:t>
            </w:r>
          </w:p>
        </w:tc>
      </w:tr>
      <w:tr>
        <w:trPr>
          <w:trHeight w:val="213"/>
        </w:trPr>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2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Balance, June 30, 2020</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117,499,079</w:t>
            </w:r>
          </w:p>
        </w:tc>
        <w:tc>
          <w:tcPr>
            <w:tcW w:w="56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3,388.0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3,368.2</w:t>
            </w: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(3,752.3)</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2,542.8</w:t>
            </w:r>
          </w:p>
        </w:tc>
      </w:tr>
      <w:tr>
        <w:trPr>
          <w:trHeight w:val="210"/>
        </w:trPr>
        <w:tc>
          <w:tcPr>
            <w:tcW w:w="28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10.3</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46.3</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46.3</w:t>
            </w: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060" w:type="dxa"/>
            <w:vAlign w:val="bottom"/>
          </w:tcPr>
          <w:p>
            <w:pPr>
              <w:jc w:val="right"/>
              <w:spacing w:after="0"/>
              <w:rPr>
                <w:sz w:val="20"/>
                <w:szCs w:val="20"/>
                <w:color w:val="auto"/>
              </w:rPr>
            </w:pPr>
            <w:r>
              <w:rPr>
                <w:rFonts w:ascii="Arial" w:cs="Arial" w:eastAsia="Arial" w:hAnsi="Arial"/>
                <w:sz w:val="16"/>
                <w:szCs w:val="16"/>
                <w:color w:val="auto"/>
              </w:rPr>
              <w:t>44,725</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Share-based compensation expense</w:t>
            </w: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w:t>
            </w:r>
          </w:p>
        </w:tc>
      </w:tr>
      <w:tr>
        <w:trPr>
          <w:trHeight w:val="213"/>
        </w:trPr>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Noncontrolling interest transactions</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Balance, September 30, 2020</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117,543,804</w:t>
            </w:r>
          </w:p>
        </w:tc>
        <w:tc>
          <w:tcPr>
            <w:tcW w:w="56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3,395.1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3,378.5</w:t>
            </w: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(3,753.3)</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2,605.4</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3"/>
        </w:trPr>
        <w:tc>
          <w:tcPr>
            <w:tcW w:w="23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ManpowerGroup Shareholders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2340" w:type="dxa"/>
            <w:vAlign w:val="bottom"/>
          </w:tcPr>
          <w:p>
            <w:pPr>
              <w:spacing w:after="0"/>
              <w:rPr>
                <w:sz w:val="17"/>
                <w:szCs w:val="17"/>
                <w:color w:val="auto"/>
              </w:rPr>
            </w:pPr>
          </w:p>
        </w:tc>
        <w:tc>
          <w:tcPr>
            <w:tcW w:w="19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2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Capital in</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ind w:right="359"/>
              <w:spacing w:after="0"/>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Non-</w:t>
            </w:r>
          </w:p>
        </w:tc>
        <w:tc>
          <w:tcPr>
            <w:tcW w:w="7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660" w:type="dxa"/>
            <w:vAlign w:val="bottom"/>
          </w:tcPr>
          <w:p>
            <w:pPr>
              <w:jc w:val="right"/>
              <w:ind w:right="239"/>
              <w:spacing w:after="0"/>
              <w:rPr>
                <w:sz w:val="20"/>
                <w:szCs w:val="20"/>
                <w:color w:val="auto"/>
              </w:rPr>
            </w:pPr>
            <w:r>
              <w:rPr>
                <w:rFonts w:ascii="Arial" w:cs="Arial" w:eastAsia="Arial" w:hAnsi="Arial"/>
                <w:sz w:val="16"/>
                <w:szCs w:val="16"/>
                <w:b w:val="1"/>
                <w:bCs w:val="1"/>
                <w:color w:val="auto"/>
              </w:rPr>
              <w:t>Par</w:t>
            </w:r>
          </w:p>
        </w:tc>
        <w:tc>
          <w:tcPr>
            <w:tcW w:w="380" w:type="dxa"/>
            <w:vAlign w:val="bottom"/>
          </w:tcPr>
          <w:p>
            <w:pPr>
              <w:spacing w:after="0"/>
              <w:rPr>
                <w:sz w:val="17"/>
                <w:szCs w:val="17"/>
                <w:color w:val="auto"/>
              </w:rPr>
            </w:pPr>
          </w:p>
        </w:tc>
        <w:tc>
          <w:tcPr>
            <w:tcW w:w="980" w:type="dxa"/>
            <w:vAlign w:val="bottom"/>
          </w:tcPr>
          <w:p>
            <w:pPr>
              <w:jc w:val="center"/>
              <w:ind w:right="259"/>
              <w:spacing w:after="0"/>
              <w:rPr>
                <w:sz w:val="20"/>
                <w:szCs w:val="20"/>
                <w:color w:val="auto"/>
              </w:rPr>
            </w:pPr>
            <w:r>
              <w:rPr>
                <w:rFonts w:ascii="Arial" w:cs="Arial" w:eastAsia="Arial" w:hAnsi="Arial"/>
                <w:sz w:val="16"/>
                <w:szCs w:val="16"/>
                <w:b w:val="1"/>
                <w:bCs w:val="1"/>
                <w:color w:val="auto"/>
                <w:w w:val="85"/>
              </w:rPr>
              <w:t>Excess of</w:t>
            </w:r>
          </w:p>
        </w:tc>
        <w:tc>
          <w:tcPr>
            <w:tcW w:w="12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Retained</w:t>
            </w: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Comprehensive</w:t>
            </w:r>
          </w:p>
        </w:tc>
        <w:tc>
          <w:tcPr>
            <w:tcW w:w="10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Treasury</w:t>
            </w: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Controlling</w:t>
            </w:r>
          </w:p>
        </w:tc>
        <w:tc>
          <w:tcPr>
            <w:tcW w:w="740" w:type="dxa"/>
            <w:vAlign w:val="bottom"/>
          </w:tcPr>
          <w:p>
            <w:pPr>
              <w:spacing w:after="0"/>
              <w:rPr>
                <w:sz w:val="17"/>
                <w:szCs w:val="17"/>
                <w:color w:val="auto"/>
              </w:rPr>
            </w:pPr>
          </w:p>
        </w:tc>
      </w:tr>
      <w:tr>
        <w:trPr>
          <w:trHeight w:val="213"/>
        </w:trPr>
        <w:tc>
          <w:tcPr>
            <w:tcW w:w="2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Issued</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Value</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Par Value</w:t>
            </w:r>
          </w:p>
        </w:tc>
        <w:tc>
          <w:tcPr>
            <w:tcW w:w="12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Earnings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w w:val="85"/>
              </w:rPr>
              <w:t>Loss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1"/>
              </w:rPr>
              <w:t>Stock</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Interests</w:t>
            </w: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w:t>
            </w:r>
          </w:p>
        </w:tc>
      </w:tr>
      <w:tr>
        <w:trPr>
          <w:trHeight w:val="213"/>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116,795,899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3,337.5</w:t>
            </w:r>
          </w:p>
        </w:tc>
        <w:tc>
          <w:tcPr>
            <w:tcW w:w="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3,157.7</w:t>
            </w:r>
          </w:p>
        </w:tc>
        <w:tc>
          <w:tcPr>
            <w:tcW w:w="26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(399.8)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(3,471.7)</w:t>
            </w:r>
          </w:p>
        </w:tc>
        <w:tc>
          <w:tcPr>
            <w:tcW w:w="360" w:type="dxa"/>
            <w:vAlign w:val="bottom"/>
            <w:shd w:val="clear" w:color="auto" w:fill="CFF0FC"/>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73.6</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$2,698.5</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53.5</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w w:val="99"/>
              </w:rPr>
              <w:t>Issuances under equity plans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247,325</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0.4</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0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2"/>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expense</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4.6</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r>
      <w:tr>
        <w:trPr>
          <w:trHeight w:val="206"/>
        </w:trPr>
        <w:tc>
          <w:tcPr>
            <w:tcW w:w="2340" w:type="dxa"/>
            <w:vAlign w:val="bottom"/>
          </w:tcPr>
          <w:p>
            <w:pPr>
              <w:ind w:left="260"/>
              <w:spacing w:after="0"/>
              <w:rPr>
                <w:sz w:val="20"/>
                <w:szCs w:val="20"/>
                <w:color w:val="auto"/>
              </w:rPr>
            </w:pPr>
            <w:r>
              <w:rPr>
                <w:rFonts w:ascii="Arial" w:cs="Arial" w:eastAsia="Arial" w:hAnsi="Arial"/>
                <w:sz w:val="16"/>
                <w:szCs w:val="16"/>
                <w:color w:val="auto"/>
              </w:rPr>
              <w:t>Repurchases of common</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2340" w:type="dxa"/>
            <w:vAlign w:val="bottom"/>
          </w:tcPr>
          <w:p>
            <w:pPr>
              <w:ind w:left="260"/>
              <w:spacing w:after="0"/>
              <w:rPr>
                <w:sz w:val="20"/>
                <w:szCs w:val="20"/>
                <w:color w:val="auto"/>
              </w:rPr>
            </w:pPr>
            <w:r>
              <w:rPr>
                <w:rFonts w:ascii="Arial" w:cs="Arial" w:eastAsia="Arial" w:hAnsi="Arial"/>
                <w:sz w:val="16"/>
                <w:szCs w:val="16"/>
                <w:color w:val="auto"/>
              </w:rPr>
              <w:t>stock</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(101.0)</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0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09"/>
        </w:trPr>
        <w:tc>
          <w:tcPr>
            <w:tcW w:w="2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transactions</w:t>
            </w:r>
          </w:p>
        </w:tc>
        <w:tc>
          <w:tcPr>
            <w:tcW w:w="10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0.7</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March 31, 2019</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117,043,224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3,343.0</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3,211.2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(401.8)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(3,578.0)</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$2,649.9</w:t>
            </w:r>
          </w:p>
        </w:tc>
      </w:tr>
      <w:tr>
        <w:trPr>
          <w:trHeight w:val="213"/>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earnings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127.3</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(14.7)</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Issuances under equity plans</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120,244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3.9</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234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2340" w:type="dxa"/>
            <w:vAlign w:val="bottom"/>
          </w:tcPr>
          <w:p>
            <w:pPr>
              <w:ind w:left="260"/>
              <w:spacing w:after="0"/>
              <w:rPr>
                <w:sz w:val="20"/>
                <w:szCs w:val="20"/>
                <w:color w:val="auto"/>
              </w:rPr>
            </w:pPr>
            <w:r>
              <w:rPr>
                <w:rFonts w:ascii="Arial" w:cs="Arial" w:eastAsia="Arial" w:hAnsi="Arial"/>
                <w:sz w:val="16"/>
                <w:szCs w:val="16"/>
                <w:color w:val="auto"/>
              </w:rPr>
              <w:t>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8.3</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(65.2)</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w:t>
            </w:r>
          </w:p>
        </w:tc>
      </w:tr>
      <w:tr>
        <w:trPr>
          <w:trHeight w:val="206"/>
        </w:trPr>
        <w:tc>
          <w:tcPr>
            <w:tcW w:w="2340" w:type="dxa"/>
            <w:vAlign w:val="bottom"/>
          </w:tcPr>
          <w:p>
            <w:pPr>
              <w:ind w:left="260"/>
              <w:spacing w:after="0"/>
              <w:rPr>
                <w:sz w:val="20"/>
                <w:szCs w:val="20"/>
                <w:color w:val="auto"/>
              </w:rPr>
            </w:pPr>
            <w:r>
              <w:rPr>
                <w:rFonts w:ascii="Arial" w:cs="Arial" w:eastAsia="Arial" w:hAnsi="Arial"/>
                <w:sz w:val="16"/>
                <w:szCs w:val="16"/>
                <w:color w:val="auto"/>
              </w:rPr>
              <w:t>Noncontrolling interest</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23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transactions</w:t>
            </w: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09"/>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Balance, June 30, 2019</w:t>
            </w: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117,163,468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3,354.4</w:t>
            </w: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3,273.3</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(416.5)</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(3,579.9)</w:t>
            </w:r>
          </w:p>
        </w:tc>
        <w:tc>
          <w:tcPr>
            <w:tcW w:w="36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62.0</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$2,694.5</w:t>
            </w:r>
          </w:p>
        </w:tc>
      </w:tr>
      <w:tr>
        <w:trPr>
          <w:trHeight w:val="210"/>
        </w:trPr>
        <w:tc>
          <w:tcPr>
            <w:tcW w:w="23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146.1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146.1</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(36.0)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w w:val="99"/>
              </w:rPr>
              <w:t>Issuances under equity plans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13,881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0.7</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2"/>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expense</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5.9</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r>
      <w:tr>
        <w:trPr>
          <w:trHeight w:val="206"/>
        </w:trPr>
        <w:tc>
          <w:tcPr>
            <w:tcW w:w="2340" w:type="dxa"/>
            <w:vAlign w:val="bottom"/>
          </w:tcPr>
          <w:p>
            <w:pPr>
              <w:ind w:left="260"/>
              <w:spacing w:after="0"/>
              <w:rPr>
                <w:sz w:val="20"/>
                <w:szCs w:val="20"/>
                <w:color w:val="auto"/>
              </w:rPr>
            </w:pPr>
            <w:r>
              <w:rPr>
                <w:rFonts w:ascii="Arial" w:cs="Arial" w:eastAsia="Arial" w:hAnsi="Arial"/>
                <w:sz w:val="16"/>
                <w:szCs w:val="16"/>
                <w:color w:val="auto"/>
              </w:rPr>
              <w:t>Repurchases of common</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2340" w:type="dxa"/>
            <w:vAlign w:val="bottom"/>
          </w:tcPr>
          <w:p>
            <w:pPr>
              <w:ind w:left="260"/>
              <w:spacing w:after="0"/>
              <w:rPr>
                <w:sz w:val="20"/>
                <w:szCs w:val="20"/>
                <w:color w:val="auto"/>
              </w:rPr>
            </w:pPr>
            <w:r>
              <w:rPr>
                <w:rFonts w:ascii="Arial" w:cs="Arial" w:eastAsia="Arial" w:hAnsi="Arial"/>
                <w:sz w:val="16"/>
                <w:szCs w:val="16"/>
                <w:color w:val="auto"/>
              </w:rPr>
              <w:t>stock</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(51.0)</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0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09"/>
        </w:trPr>
        <w:tc>
          <w:tcPr>
            <w:tcW w:w="2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transactions</w:t>
            </w:r>
          </w:p>
        </w:tc>
        <w:tc>
          <w:tcPr>
            <w:tcW w:w="10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(44.0)</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w:t>
            </w:r>
          </w:p>
        </w:tc>
      </w:tr>
      <w:tr>
        <w:trPr>
          <w:trHeight w:val="209"/>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September 30, 2019</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117,177,349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3,361.0</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3,419.4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(452.5)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(3,631.0)</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2019 Annual Report on Form 10-K.</w:t>
      </w:r>
    </w:p>
    <w:p>
      <w:pPr>
        <w:spacing w:after="0" w:line="13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global spread of COVID-19, which was declared a global pandemic by the World Health Organization in March 2020, has created significant volatility, uncertainty and global macroeconomic disruption. Our business, operations and consolidated financial statements for the three and nine months ended September 30, 2020 were significantly negatively impacted by the COVID-19 crisis. By the end of March, significant lockdown measures had been implemented in our main markets in Europe and North America, as well as in certain other countries. At the beginning of the third quarter, it appeared the impact of the COVID-19 crisis was stabilizing in many parts of the world, and economies slowly reopened. However, as the third quarter came to a close, a number of countries started to see increased cases of COVID-19 that are leading to the implementation of new restrictions in an effort to mitigate the spread. Unlike the lockdowns and restrictions experienced earlier in the year, we do not anticipate the same country-wide lockdowns, but more targeted and localized restrictions. Continued uncertainty remains as to the future impact of the pandemic on global and local economies.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continuing to monitor and assess the impacts of the COVID-19 pandemic and we expect that our financial condition, liquidity and future results of operations will continue to be adversely affected. However, we cannot predict with certainty what the impact will be on future periods. For further information on the impacts of COVID-19 on our business, operations and financial results, see Part I, Item 2: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allowance for doubtful accounts is shown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tcPr>
          <w:p>
            <w:pPr>
              <w:jc w:val="right"/>
              <w:ind w:right="328"/>
              <w:spacing w:after="0"/>
              <w:rPr>
                <w:sz w:val="20"/>
                <w:szCs w:val="20"/>
                <w:color w:val="auto"/>
              </w:rPr>
            </w:pPr>
            <w:r>
              <w:rPr>
                <w:rFonts w:ascii="Arial" w:cs="Arial" w:eastAsia="Arial" w:hAnsi="Arial"/>
                <w:sz w:val="14"/>
                <w:szCs w:val="14"/>
                <w:b w:val="1"/>
                <w:bCs w:val="1"/>
                <w:color w:val="auto"/>
                <w:w w:val="95"/>
              </w:rPr>
              <w:t>Nine Months Ended September 30, 2020</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2019</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2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113.5</w:t>
            </w: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Provisions charged to earnings</w:t>
            </w:r>
          </w:p>
        </w:tc>
        <w:tc>
          <w:tcPr>
            <w:tcW w:w="180" w:type="dxa"/>
            <w:vAlign w:val="bottom"/>
          </w:tcPr>
          <w:p>
            <w:pPr>
              <w:spacing w:after="0"/>
              <w:rPr>
                <w:sz w:val="14"/>
                <w:szCs w:val="14"/>
                <w:color w:val="auto"/>
              </w:rPr>
            </w:pPr>
          </w:p>
        </w:tc>
        <w:tc>
          <w:tcPr>
            <w:tcW w:w="2960" w:type="dxa"/>
            <w:vAlign w:val="bottom"/>
          </w:tcPr>
          <w:p>
            <w:pPr>
              <w:jc w:val="right"/>
              <w:ind w:right="68"/>
              <w:spacing w:after="0"/>
              <w:rPr>
                <w:sz w:val="20"/>
                <w:szCs w:val="20"/>
                <w:color w:val="auto"/>
              </w:rPr>
            </w:pPr>
            <w:r>
              <w:rPr>
                <w:rFonts w:ascii="Arial" w:cs="Arial" w:eastAsia="Arial" w:hAnsi="Arial"/>
                <w:sz w:val="14"/>
                <w:szCs w:val="14"/>
                <w:color w:val="auto"/>
              </w:rPr>
              <w:t>17.8</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Write-offs</w:t>
            </w:r>
          </w:p>
        </w:tc>
        <w:tc>
          <w:tcPr>
            <w:tcW w:w="180" w:type="dxa"/>
            <w:vAlign w:val="bottom"/>
            <w:shd w:val="clear" w:color="auto" w:fill="CFF0FC"/>
          </w:tcPr>
          <w:p>
            <w:pPr>
              <w:spacing w:after="0"/>
              <w:rPr>
                <w:sz w:val="14"/>
                <w:szCs w:val="14"/>
                <w:color w:val="auto"/>
              </w:rPr>
            </w:pPr>
          </w:p>
        </w:tc>
        <w:tc>
          <w:tcPr>
            <w:tcW w:w="2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(12.7)</w:t>
            </w: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Translation adjustments</w:t>
            </w:r>
          </w:p>
        </w:tc>
        <w:tc>
          <w:tcPr>
            <w:tcW w:w="180" w:type="dxa"/>
            <w:vAlign w:val="bottom"/>
          </w:tcPr>
          <w:p>
            <w:pPr>
              <w:spacing w:after="0"/>
              <w:rPr>
                <w:sz w:val="14"/>
                <w:szCs w:val="14"/>
                <w:color w:val="auto"/>
              </w:rPr>
            </w:pPr>
          </w:p>
        </w:tc>
        <w:tc>
          <w:tcPr>
            <w:tcW w:w="2960" w:type="dxa"/>
            <w:vAlign w:val="bottom"/>
          </w:tcPr>
          <w:p>
            <w:pPr>
              <w:jc w:val="right"/>
              <w:ind w:right="68"/>
              <w:spacing w:after="0"/>
              <w:rPr>
                <w:sz w:val="20"/>
                <w:szCs w:val="20"/>
                <w:color w:val="auto"/>
              </w:rPr>
            </w:pPr>
            <w:r>
              <w:rPr>
                <w:rFonts w:ascii="Arial" w:cs="Arial" w:eastAsia="Arial" w:hAnsi="Arial"/>
                <w:sz w:val="14"/>
                <w:szCs w:val="14"/>
                <w:color w:val="auto"/>
              </w:rPr>
              <w:t>3.5</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Reclassifications and other</w:t>
            </w:r>
          </w:p>
        </w:tc>
        <w:tc>
          <w:tcPr>
            <w:tcW w:w="180" w:type="dxa"/>
            <w:vAlign w:val="bottom"/>
            <w:tcBorders>
              <w:bottom w:val="single" w:sz="8" w:color="auto"/>
            </w:tcBorders>
            <w:shd w:val="clear" w:color="auto" w:fill="CFF0FC"/>
          </w:tcPr>
          <w:p>
            <w:pPr>
              <w:spacing w:after="0"/>
              <w:rPr>
                <w:sz w:val="14"/>
                <w:szCs w:val="14"/>
                <w:color w:val="auto"/>
              </w:rPr>
            </w:pPr>
          </w:p>
        </w:tc>
        <w:tc>
          <w:tcPr>
            <w:tcW w:w="2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3.2</w:t>
            </w:r>
          </w:p>
        </w:tc>
      </w:tr>
      <w:tr>
        <w:trPr>
          <w:trHeight w:val="156"/>
        </w:trPr>
        <w:tc>
          <w:tcPr>
            <w:tcW w:w="8100" w:type="dxa"/>
            <w:vAlign w:val="bottom"/>
          </w:tcPr>
          <w:p>
            <w:pPr>
              <w:spacing w:after="0" w:line="155" w:lineRule="exact"/>
              <w:rPr>
                <w:sz w:val="20"/>
                <w:szCs w:val="20"/>
                <w:color w:val="auto"/>
              </w:rPr>
            </w:pPr>
            <w:r>
              <w:rPr>
                <w:rFonts w:ascii="Arial" w:cs="Arial" w:eastAsia="Arial" w:hAnsi="Arial"/>
                <w:sz w:val="14"/>
                <w:szCs w:val="14"/>
                <w:color w:val="auto"/>
              </w:rPr>
              <w:t>Balance, September 30, 2020</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29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125.3</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60"/>
        <w:spacing w:after="0" w:line="254"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2019, we sold a portion of our French payroll tax credits earned in 2018 for net proceeds of $103.5 (€92.0). We derecognized these receivables and the additional interest upon the sale date as the terms of the agreement are such that the transaction qualifies for sale treatment in accordance with the accounting guidance on the transfer and servicing of assets. The discount on the sale of these receivables was recorded in cost of services as a reduction of the payroll tax credits.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4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the second quarter of 2020, in connection with the preparation of our quarterly financial statements, we assessed the changes in circumstances that occurred during the quarter to determine if it was more likely than not that the fair value of any reporting unit was below its carrying amount. We identified several factors related to our Germany reporting unit that led us to conclude that it was more likely than not that the fair value of the reporting unit was below its carrying amount. These factors included sustained operating losses resulted from the ongoing decline and increased uncertainty in the outlook of the manufacturing sector, particularly the automotive sector in Germany, coupled with the significant implications of COVID-19.</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determined that it was more likely than not that the fair value of the Germany reporting unit was below its carrying amount, we performed an interim impairment test on this reporting unit as of June 30, 2020. As a result of our interim test, we recognized a non-cash impairment loss of $66.8, which resulted in full impairment of the remaining goodwill in the Germany reporting unit. The Germany reporting unit is included in the Northern Europe segment. The goodwill impairment charge resulted from reductions in the estimated fair value for our Germany reporting unit based on lower expectations for future revenue, profitability and cash flows as compared to the expectations of the 2019 annual goodwill impairment test and our quarterly assessments in the intervening periods due to the factors discussed above.</w:t>
      </w:r>
    </w:p>
    <w:p>
      <w:pPr>
        <w:spacing w:after="0" w:line="1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2020 and determined that there was no impairment of our goodwill or indefinite-lived intangible assets.</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second quarter of 2019, we determined that it was more likely than not that the fair value of the Germany reporting unit was below its carrying amount and performed an interim goodwill impairment test. As a result of the interim test, we wrote down the carrying value of the Germany reporting unit to its estimated fair value and recognized a non-cash impairment charge loss of $60.2 during the second quarter of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ind w:right="700"/>
        <w:spacing w:after="0" w:line="291" w:lineRule="auto"/>
        <w:rPr>
          <w:sz w:val="20"/>
          <w:szCs w:val="20"/>
          <w:color w:val="auto"/>
        </w:rPr>
      </w:pPr>
      <w:r>
        <w:rPr>
          <w:rFonts w:ascii="Arial" w:cs="Arial" w:eastAsia="Arial" w:hAnsi="Arial"/>
          <w:sz w:val="16"/>
          <w:szCs w:val="16"/>
          <w:color w:val="auto"/>
        </w:rPr>
        <w:t>The table below provides our reporting units’ estimated fair values and carrying values, determined as part of our annual goodwill impairment test performed in the third quarter, representing approximately 80% of our consolidated goodwill balance as of September 30, 2020.</w:t>
      </w:r>
    </w:p>
    <w:tbl>
      <w:tblPr>
        <w:tblLayout w:type="fixed"/>
        <w:tblInd w:w="0" w:type="dxa"/>
        <w:tblCellMar>
          <w:top w:w="0" w:type="dxa"/>
          <w:left w:w="0" w:type="dxa"/>
          <w:bottom w:w="0" w:type="dxa"/>
          <w:right w:w="0" w:type="dxa"/>
        </w:tblCellMar>
      </w:tblPr>
      <w:tr>
        <w:trPr>
          <w:trHeight w:val="211"/>
        </w:trPr>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Right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France</w:t>
            </w:r>
          </w:p>
        </w:tc>
        <w:tc>
          <w:tcPr>
            <w:tcW w:w="10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United States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Management</w:t>
            </w:r>
          </w:p>
        </w:tc>
        <w:tc>
          <w:tcPr>
            <w:tcW w:w="160" w:type="dxa"/>
            <w:vAlign w:val="bottom"/>
          </w:tcPr>
          <w:p>
            <w:pPr>
              <w:spacing w:after="0"/>
              <w:rPr>
                <w:sz w:val="20"/>
                <w:szCs w:val="20"/>
                <w:color w:val="auto"/>
              </w:rPr>
            </w:pPr>
          </w:p>
        </w:tc>
        <w:tc>
          <w:tcPr>
            <w:tcW w:w="15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United Kingdom</w:t>
            </w:r>
          </w:p>
        </w:tc>
        <w:tc>
          <w:tcPr>
            <w:tcW w:w="2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Canada</w:t>
            </w: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Netherlands</w:t>
            </w: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Estimated fair values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2,367.8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1,194.0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383.3</w:t>
            </w: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360.9</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153.2</w:t>
            </w:r>
          </w:p>
        </w:tc>
        <w:tc>
          <w:tcPr>
            <w:tcW w:w="46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84.5</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Carrying values</w:t>
            </w:r>
          </w:p>
        </w:tc>
        <w:tc>
          <w:tcPr>
            <w:tcW w:w="2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1,320.7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321.5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84.9</w:t>
            </w:r>
          </w:p>
        </w:tc>
        <w:tc>
          <w:tcPr>
            <w:tcW w:w="4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81.8</w:t>
            </w:r>
          </w:p>
        </w:tc>
      </w:tr>
    </w:tbl>
    <w:p>
      <w:pPr>
        <w:spacing w:after="0" w:line="17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fair value of each reporting unit was at least 20% in excess of the respective reporting unit’s carrying value with the exception of the United Kingdom and Netherlands reporting units. The United Kingdom reporting unit had a fair value exceeding carrying value of approximately 12%. Key assumptions included in the United Kingdom (Northern Europe Segment) discounted cash flow valuation performed during the third quarter of 2020 were a discount rate of 11.5%, a terminal value revenue growth rate of 1.0%, and a terminal value OUP margin of 3.1%. The Netherlands reporting unit fair value exceeded its carrying value by less than 10%, approximating 3.3%. The Netherlands is part of the Northern Europe Segment. Key assumptions included in the Netherlands discounted cash flow valuation performed during the third quarter of 2020 included a discount rate of 10.9%, a terminal value revenue growth rate of 2.0%, and a terminal value OUP margin of 3.5%. Should the operations of the business incur significant declines in profitability and cash flow due to significant and long-term deterioration in macroeconomic, industry and market conditions, some or all of the recorded goodwill for the Netherlands reporting unit, which was $114.5 million as of September 30, 2020, could be subject to impairment.</w:t>
      </w:r>
    </w:p>
    <w:p>
      <w:pPr>
        <w:spacing w:after="0" w:line="12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While our other reporting units fair values exceeded 10% or more of their respective carrying values, given the uncertainty of the financial impacts from the COVID-19 pandemic, there may be further decreases in the operating results of our reporting units for a sustained period, which may result in a recognition of goodwill impairment that could be material to the Consolidated Financial Statements.</w:t>
      </w:r>
    </w:p>
    <w:p>
      <w:pPr>
        <w:spacing w:after="0" w:line="200" w:lineRule="exact"/>
        <w:rPr>
          <w:sz w:val="20"/>
          <w:szCs w:val="20"/>
          <w:color w:val="auto"/>
        </w:rPr>
      </w:pPr>
    </w:p>
    <w:p>
      <w:pPr>
        <w:spacing w:after="0" w:line="34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2020</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June 2016, the FASB issued new accounting guidance on financial instruments. The new guidance requires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previous methodology of delaying recognition of credit losses until it is probable that loss has been incurred. The new guidance was effective for us as of January 1, 2020. The adoption of this guidance did not have a material impact on our Consolidated Financial Statements.</w:t>
      </w:r>
    </w:p>
    <w:p>
      <w:pPr>
        <w:spacing w:after="0" w:line="14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was effective for us as of January 1, 2020. The adoption of this guidance had no impact on our Consolidated Financial Statements.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2018, the FASB issued new guidance on the accounting for internal-use software. The guidance aligns the accounting for costs incurred to implement a cloud computing arrangement that is a service arrangement with the guidance on capitalizing costs associated with developing or obtaining internal-use software. The guidance was effective for us as of January 1, 2020. The adoption of this guidance had no impact on our Consolidated Financial Statements.</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August 2018, the FASB issued new guidance on disclosures related to defined benefit plans. The guidance amends the current disclosure requirements to add, remove and clarify disclosure requirements for defined benefit pension and other postretirement plans. The guidance was effective for us as of January 1, 2020. The adoption of this guidance had no impact on our Consolidated Financial Statements</w:t>
      </w:r>
      <w:r>
        <w:rPr>
          <w:rFonts w:ascii="Arial" w:cs="Arial" w:eastAsia="Arial" w:hAnsi="Arial"/>
          <w:sz w:val="18"/>
          <w:szCs w:val="18"/>
          <w:color w:val="282A32"/>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December 2019, the FASB issued new guidance on income taxes. The guidance removes certain exceptions to the general income tax accounting principles, and clarifies and amends existing guidance to facilitate consistent application of the accounting principles.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color w:val="auto"/>
        </w:rPr>
        <w:t>The new guidance is effective for us as of January 1, 2021. We are assessing the impact of the adoption of this guidance on our Consolidated Financial Statements.</w:t>
      </w:r>
    </w:p>
    <w:p>
      <w:pPr>
        <w:spacing w:after="0" w:line="14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January 2020, the FASB issued new guidance on equity method investments. The guidance clarifies the interactions between the existing accounting standards on equity securities, equity method and joint ventures, and derivatives and hedging. The new guidance addresses accounting for the transition into and out of the equity method and measuring certain purchased options and forward contracts to acquire investments. The new guidance is effective for us as of January 1, 2021. We do not expect the adoption of this guidance to have a material impact on our Consolidated Financial Statements.</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4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2020, related to remaining performance obligations, which are not material.</w:t>
      </w:r>
    </w:p>
    <w:p>
      <w:pPr>
        <w:spacing w:after="0" w:line="1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$34.2 at September 30, 2020 and $44.5 at December 31, 2019.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12" w:name="page13"/>
    <w:bookmarkEnd w:id="12"/>
    <w:p>
      <w:pPr>
        <w:ind w:right="140"/>
        <w:spacing w:after="0" w:line="277"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3 to the Consolidated Financial Statements in our 2019 Annual Report on Form 10-K for descriptions of revenue service types.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3 Months Ended September 30,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23"/>
        </w:trPr>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91"/>
              </w:rPr>
              <w:t>Outcome-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4"/>
              </w:rPr>
              <w:t>Outcome-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85"/>
              </w:rPr>
              <w:t>Based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20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6"/>
              </w:rPr>
              <w:t>Staffing</w:t>
            </w:r>
          </w:p>
        </w:tc>
        <w:tc>
          <w:tcPr>
            <w:tcW w:w="12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4"/>
              </w:rPr>
              <w:t>and</w:t>
            </w:r>
          </w:p>
        </w:tc>
        <w:tc>
          <w:tcPr>
            <w:tcW w:w="18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7"/>
              </w:rPr>
              <w:t>Permanent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2"/>
              </w:rPr>
              <w:t>Recruitment</w:t>
            </w:r>
          </w:p>
        </w:tc>
        <w:tc>
          <w:tcPr>
            <w:tcW w:w="26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08"/>
              <w:spacing w:after="0"/>
              <w:rPr>
                <w:sz w:val="20"/>
                <w:szCs w:val="20"/>
                <w:color w:val="auto"/>
              </w:rPr>
            </w:pPr>
            <w:r>
              <w:rPr>
                <w:rFonts w:ascii="Arial" w:cs="Arial" w:eastAsia="Arial" w:hAnsi="Arial"/>
                <w:sz w:val="14"/>
                <w:szCs w:val="14"/>
                <w:color w:val="auto"/>
                <w:w w:val="98"/>
              </w:rPr>
              <w:t>Interim</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3"/>
              </w:rPr>
              <w:t>Consulting</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Recruitment</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Total</w:t>
            </w:r>
          </w:p>
        </w:tc>
      </w:tr>
      <w:tr>
        <w:trPr>
          <w:trHeight w:val="156"/>
        </w:trPr>
        <w:tc>
          <w:tcPr>
            <w:tcW w:w="1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478.2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46.3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578.8</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564.5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666.4</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332.0</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10.9</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4.0</w:t>
            </w: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3.4</w:t>
            </w:r>
          </w:p>
        </w:tc>
        <w:tc>
          <w:tcPr>
            <w:tcW w:w="2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350.3</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404.6</w:t>
            </w: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13.6</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6.7</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428.1</w:t>
            </w:r>
          </w:p>
        </w:tc>
      </w:tr>
      <w:tr>
        <w:trPr>
          <w:trHeight w:val="156"/>
        </w:trPr>
        <w:tc>
          <w:tcPr>
            <w:tcW w:w="14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810.2</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43.9</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25.3</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49.7</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929.1</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969.1</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52.1</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31.9</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41.4</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1,094.5</w:t>
            </w:r>
          </w:p>
        </w:tc>
      </w:tr>
      <w:tr>
        <w:trPr>
          <w:trHeight w:val="156"/>
        </w:trPr>
        <w:tc>
          <w:tcPr>
            <w:tcW w:w="1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France</w:t>
            </w: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1,119.8</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72.4</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2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1,205.3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1,309.8</w:t>
            </w:r>
          </w:p>
        </w:tc>
        <w:tc>
          <w:tcPr>
            <w:tcW w:w="12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2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1,386.4</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335.1</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6.0</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w:t>
            </w: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351.2</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354.9</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10.4</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8.1</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376.9</w:t>
            </w:r>
          </w:p>
        </w:tc>
      </w:tr>
      <w:tr>
        <w:trPr>
          <w:trHeight w:val="143"/>
        </w:trPr>
        <w:tc>
          <w:tcPr>
            <w:tcW w:w="1420" w:type="dxa"/>
            <w:vAlign w:val="bottom"/>
          </w:tcPr>
          <w:p>
            <w:pPr>
              <w:ind w:left="260"/>
              <w:spacing w:after="0" w:line="143" w:lineRule="exact"/>
              <w:rPr>
                <w:sz w:val="20"/>
                <w:szCs w:val="20"/>
                <w:color w:val="auto"/>
              </w:rPr>
            </w:pPr>
            <w:r>
              <w:rPr>
                <w:rFonts w:ascii="Arial" w:cs="Arial" w:eastAsia="Arial" w:hAnsi="Arial"/>
                <w:sz w:val="14"/>
                <w:szCs w:val="14"/>
                <w:color w:val="auto"/>
              </w:rPr>
              <w:t>Other Southern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Europe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456.8</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555.9</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494.1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82.2</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594.5</w:t>
            </w:r>
          </w:p>
        </w:tc>
      </w:tr>
      <w:tr>
        <w:trPr>
          <w:trHeight w:val="155"/>
        </w:trPr>
        <w:tc>
          <w:tcPr>
            <w:tcW w:w="14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1,911.7</w:t>
            </w: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166.4</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24.5</w:t>
            </w:r>
          </w:p>
        </w:tc>
        <w:tc>
          <w:tcPr>
            <w:tcW w:w="2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9.8</w:t>
            </w:r>
          </w:p>
        </w:tc>
        <w:tc>
          <w:tcPr>
            <w:tcW w:w="2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2,112.4</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2,158.8</w:t>
            </w: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150.0</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35.6</w:t>
            </w: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13.4</w:t>
            </w:r>
          </w:p>
        </w:tc>
        <w:tc>
          <w:tcPr>
            <w:tcW w:w="2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2,357.8</w:t>
            </w:r>
          </w:p>
        </w:tc>
      </w:tr>
      <w:tr>
        <w:trPr>
          <w:trHeight w:val="156"/>
        </w:trPr>
        <w:tc>
          <w:tcPr>
            <w:tcW w:w="142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tcPr>
          <w:p>
            <w:pPr>
              <w:spacing w:after="0"/>
              <w:rPr>
                <w:sz w:val="13"/>
                <w:szCs w:val="13"/>
                <w:color w:val="auto"/>
              </w:rPr>
            </w:pPr>
          </w:p>
        </w:tc>
        <w:tc>
          <w:tcPr>
            <w:tcW w:w="7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845.7</w:t>
            </w:r>
          </w:p>
        </w:tc>
        <w:tc>
          <w:tcPr>
            <w:tcW w:w="2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63.2</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22.2</w:t>
            </w:r>
          </w:p>
        </w:tc>
        <w:tc>
          <w:tcPr>
            <w:tcW w:w="260" w:type="dxa"/>
            <w:vAlign w:val="bottom"/>
          </w:tcPr>
          <w:p>
            <w:pPr>
              <w:spacing w:after="0"/>
              <w:rPr>
                <w:sz w:val="13"/>
                <w:szCs w:val="13"/>
                <w:color w:val="auto"/>
              </w:rPr>
            </w:pPr>
          </w:p>
        </w:tc>
        <w:tc>
          <w:tcPr>
            <w:tcW w:w="700" w:type="dxa"/>
            <w:vAlign w:val="bottom"/>
          </w:tcPr>
          <w:p>
            <w:pPr>
              <w:jc w:val="right"/>
              <w:ind w:right="8"/>
              <w:spacing w:after="0" w:line="155" w:lineRule="exact"/>
              <w:rPr>
                <w:sz w:val="20"/>
                <w:szCs w:val="20"/>
                <w:color w:val="auto"/>
              </w:rPr>
            </w:pPr>
            <w:r>
              <w:rPr>
                <w:rFonts w:ascii="Arial" w:cs="Arial" w:eastAsia="Arial" w:hAnsi="Arial"/>
                <w:sz w:val="14"/>
                <w:szCs w:val="14"/>
                <w:color w:val="auto"/>
              </w:rPr>
              <w:t>16.6</w:t>
            </w:r>
          </w:p>
        </w:tc>
        <w:tc>
          <w:tcPr>
            <w:tcW w:w="28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947.7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1,037.2</w:t>
            </w:r>
          </w:p>
        </w:tc>
        <w:tc>
          <w:tcPr>
            <w:tcW w:w="12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79.6</w:t>
            </w:r>
          </w:p>
        </w:tc>
        <w:tc>
          <w:tcPr>
            <w:tcW w:w="180" w:type="dxa"/>
            <w:vAlign w:val="bottom"/>
          </w:tcPr>
          <w:p>
            <w:pPr>
              <w:spacing w:after="0"/>
              <w:rPr>
                <w:sz w:val="13"/>
                <w:szCs w:val="13"/>
                <w:color w:val="auto"/>
              </w:rPr>
            </w:pPr>
          </w:p>
        </w:tc>
        <w:tc>
          <w:tcPr>
            <w:tcW w:w="8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33.5</w:t>
            </w:r>
          </w:p>
        </w:tc>
        <w:tc>
          <w:tcPr>
            <w:tcW w:w="26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16.5</w:t>
            </w:r>
          </w:p>
        </w:tc>
        <w:tc>
          <w:tcPr>
            <w:tcW w:w="28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1,166.8</w:t>
            </w:r>
          </w:p>
        </w:tc>
      </w:tr>
      <w:tr>
        <w:trPr>
          <w:trHeight w:val="162"/>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469.3</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86.0</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30.0</w:t>
            </w: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10.3</w:t>
            </w:r>
          </w:p>
        </w:tc>
        <w:tc>
          <w:tcPr>
            <w:tcW w:w="2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595.6</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505.3</w:t>
            </w: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78.5</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36.6</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9.4</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629.8</w:t>
            </w:r>
          </w:p>
        </w:tc>
      </w:tr>
      <w:tr>
        <w:trPr>
          <w:trHeight w:val="156"/>
        </w:trPr>
        <w:tc>
          <w:tcPr>
            <w:tcW w:w="14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4,036.9</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359.5</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102.0</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86.4</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4,584.8</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4,670.4</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360.2</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137.6</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80.7</w:t>
            </w:r>
          </w:p>
        </w:tc>
        <w:tc>
          <w:tcPr>
            <w:tcW w:w="2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5,248.9</w:t>
            </w:r>
          </w:p>
        </w:tc>
      </w:tr>
      <w:tr>
        <w:trPr>
          <w:trHeight w:val="20"/>
        </w:trPr>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9 Months Ended September 30,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23"/>
        </w:trPr>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91"/>
              </w:rPr>
              <w:t>Outcome-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4"/>
              </w:rPr>
              <w:t>Outcome-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85"/>
              </w:rPr>
              <w:t>Based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20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6"/>
              </w:rPr>
              <w:t>Staffing</w:t>
            </w:r>
          </w:p>
        </w:tc>
        <w:tc>
          <w:tcPr>
            <w:tcW w:w="12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4"/>
              </w:rPr>
              <w:t>and</w:t>
            </w:r>
          </w:p>
        </w:tc>
        <w:tc>
          <w:tcPr>
            <w:tcW w:w="18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7"/>
              </w:rPr>
              <w:t>Permanent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2"/>
              </w:rPr>
              <w:t>Recruitment</w:t>
            </w:r>
          </w:p>
        </w:tc>
        <w:tc>
          <w:tcPr>
            <w:tcW w:w="26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08"/>
              <w:spacing w:after="0"/>
              <w:rPr>
                <w:sz w:val="20"/>
                <w:szCs w:val="20"/>
                <w:color w:val="auto"/>
              </w:rPr>
            </w:pPr>
            <w:r>
              <w:rPr>
                <w:rFonts w:ascii="Arial" w:cs="Arial" w:eastAsia="Arial" w:hAnsi="Arial"/>
                <w:sz w:val="14"/>
                <w:szCs w:val="14"/>
                <w:color w:val="auto"/>
                <w:w w:val="98"/>
              </w:rPr>
              <w:t>Interim</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3"/>
              </w:rPr>
              <w:t>Consulting</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Recruitment</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Total</w:t>
            </w:r>
          </w:p>
        </w:tc>
      </w:tr>
      <w:tr>
        <w:trPr>
          <w:trHeight w:val="155"/>
        </w:trPr>
        <w:tc>
          <w:tcPr>
            <w:tcW w:w="1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1,425.9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124.0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1,705.6</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1,644.5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113.8</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1,942.3</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1,018.7</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30.6</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12.6</w:t>
            </w: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9.2</w:t>
            </w:r>
          </w:p>
        </w:tc>
        <w:tc>
          <w:tcPr>
            <w:tcW w:w="2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1,071.1</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1,182.8</w:t>
            </w: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39.4</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18.7</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9.7</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1,250.6</w:t>
            </w:r>
          </w:p>
        </w:tc>
      </w:tr>
      <w:tr>
        <w:trPr>
          <w:trHeight w:val="155"/>
        </w:trPr>
        <w:tc>
          <w:tcPr>
            <w:tcW w:w="14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2,444.6</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124.2</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74.7</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133.2</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2,776.7</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2,827.3</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151.2</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90.9</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123.5</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3,192.9</w:t>
            </w:r>
          </w:p>
        </w:tc>
      </w:tr>
      <w:tr>
        <w:trPr>
          <w:trHeight w:val="155"/>
        </w:trPr>
        <w:tc>
          <w:tcPr>
            <w:tcW w:w="1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France</w:t>
            </w: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2,781.5</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213.0</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2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3,035.1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3,880.0</w:t>
            </w:r>
          </w:p>
        </w:tc>
        <w:tc>
          <w:tcPr>
            <w:tcW w:w="12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174.5</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2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4,117.8</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897.2</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20.7</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19.0</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10.5</w:t>
            </w: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947.4</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1,050.1</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32.1</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28.7</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16.8</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1,127.7</w:t>
            </w:r>
          </w:p>
        </w:tc>
      </w:tr>
      <w:tr>
        <w:trPr>
          <w:trHeight w:val="143"/>
        </w:trPr>
        <w:tc>
          <w:tcPr>
            <w:tcW w:w="1420" w:type="dxa"/>
            <w:vAlign w:val="bottom"/>
          </w:tcPr>
          <w:p>
            <w:pPr>
              <w:ind w:left="260"/>
              <w:spacing w:after="0" w:line="143" w:lineRule="exact"/>
              <w:rPr>
                <w:sz w:val="20"/>
                <w:szCs w:val="20"/>
                <w:color w:val="auto"/>
              </w:rPr>
            </w:pPr>
            <w:r>
              <w:rPr>
                <w:rFonts w:ascii="Arial" w:cs="Arial" w:eastAsia="Arial" w:hAnsi="Arial"/>
                <w:sz w:val="14"/>
                <w:szCs w:val="14"/>
                <w:color w:val="auto"/>
              </w:rPr>
              <w:t>Other Southern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Europe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1,253.3</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252.6</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1,545.4</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1,313.0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246.5</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1,615.4</w:t>
            </w:r>
          </w:p>
        </w:tc>
      </w:tr>
      <w:tr>
        <w:trPr>
          <w:trHeight w:val="155"/>
        </w:trPr>
        <w:tc>
          <w:tcPr>
            <w:tcW w:w="14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4,932.0</w:t>
            </w: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486.3</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78.8</w:t>
            </w:r>
          </w:p>
        </w:tc>
        <w:tc>
          <w:tcPr>
            <w:tcW w:w="2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30.8</w:t>
            </w:r>
          </w:p>
        </w:tc>
        <w:tc>
          <w:tcPr>
            <w:tcW w:w="2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5,527.9</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6,243.1</w:t>
            </w: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453.1</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114.5</w:t>
            </w: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50.2</w:t>
            </w:r>
          </w:p>
        </w:tc>
        <w:tc>
          <w:tcPr>
            <w:tcW w:w="2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6,860.9</w:t>
            </w: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tcPr>
          <w:p>
            <w:pPr>
              <w:spacing w:after="0"/>
              <w:rPr>
                <w:sz w:val="13"/>
                <w:szCs w:val="13"/>
                <w:color w:val="auto"/>
              </w:rPr>
            </w:pPr>
          </w:p>
        </w:tc>
        <w:tc>
          <w:tcPr>
            <w:tcW w:w="7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2,563.6</w:t>
            </w:r>
          </w:p>
        </w:tc>
        <w:tc>
          <w:tcPr>
            <w:tcW w:w="2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198.5</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73.1</w:t>
            </w:r>
          </w:p>
        </w:tc>
        <w:tc>
          <w:tcPr>
            <w:tcW w:w="260" w:type="dxa"/>
            <w:vAlign w:val="bottom"/>
          </w:tcPr>
          <w:p>
            <w:pPr>
              <w:spacing w:after="0"/>
              <w:rPr>
                <w:sz w:val="13"/>
                <w:szCs w:val="13"/>
                <w:color w:val="auto"/>
              </w:rPr>
            </w:pPr>
          </w:p>
        </w:tc>
        <w:tc>
          <w:tcPr>
            <w:tcW w:w="700" w:type="dxa"/>
            <w:vAlign w:val="bottom"/>
          </w:tcPr>
          <w:p>
            <w:pPr>
              <w:jc w:val="right"/>
              <w:ind w:right="8"/>
              <w:spacing w:after="0" w:line="155" w:lineRule="exact"/>
              <w:rPr>
                <w:sz w:val="20"/>
                <w:szCs w:val="20"/>
                <w:color w:val="auto"/>
              </w:rPr>
            </w:pPr>
            <w:r>
              <w:rPr>
                <w:rFonts w:ascii="Arial" w:cs="Arial" w:eastAsia="Arial" w:hAnsi="Arial"/>
                <w:sz w:val="14"/>
                <w:szCs w:val="14"/>
                <w:color w:val="auto"/>
              </w:rPr>
              <w:t>46.7</w:t>
            </w:r>
          </w:p>
        </w:tc>
        <w:tc>
          <w:tcPr>
            <w:tcW w:w="28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2,881.9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3,141.4</w:t>
            </w:r>
          </w:p>
        </w:tc>
        <w:tc>
          <w:tcPr>
            <w:tcW w:w="12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259.4</w:t>
            </w:r>
          </w:p>
        </w:tc>
        <w:tc>
          <w:tcPr>
            <w:tcW w:w="180" w:type="dxa"/>
            <w:vAlign w:val="bottom"/>
          </w:tcPr>
          <w:p>
            <w:pPr>
              <w:spacing w:after="0"/>
              <w:rPr>
                <w:sz w:val="13"/>
                <w:szCs w:val="13"/>
                <w:color w:val="auto"/>
              </w:rPr>
            </w:pPr>
          </w:p>
        </w:tc>
        <w:tc>
          <w:tcPr>
            <w:tcW w:w="8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109.8</w:t>
            </w:r>
          </w:p>
        </w:tc>
        <w:tc>
          <w:tcPr>
            <w:tcW w:w="26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50.8</w:t>
            </w:r>
          </w:p>
        </w:tc>
        <w:tc>
          <w:tcPr>
            <w:tcW w:w="28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3,561.4</w:t>
            </w:r>
          </w:p>
        </w:tc>
      </w:tr>
      <w:tr>
        <w:trPr>
          <w:trHeight w:val="162"/>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1,386.5</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250.9</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95.1</w:t>
            </w: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27.1</w:t>
            </w:r>
          </w:p>
        </w:tc>
        <w:tc>
          <w:tcPr>
            <w:tcW w:w="2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1,759.6</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1,670.7</w:t>
            </w: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224.6</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130.4</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26.0</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2,051.7</w:t>
            </w: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11,326.7</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1,059.9</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321.7</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237.8</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12,946.1</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13,882.5</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1,088.3</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445.6</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250.5</w:t>
            </w:r>
          </w:p>
        </w:tc>
        <w:tc>
          <w:tcPr>
            <w:tcW w:w="2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15,666.9</w:t>
            </w:r>
          </w:p>
        </w:tc>
      </w:tr>
      <w:tr>
        <w:trPr>
          <w:trHeight w:val="20"/>
        </w:trPr>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5"/>
              </w:rPr>
              <w:t>3 Months Ended September 30,</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37"/>
        </w:trPr>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88"/>
              <w:spacing w:after="0" w:line="137" w:lineRule="exact"/>
              <w:rPr>
                <w:sz w:val="20"/>
                <w:szCs w:val="20"/>
                <w:color w:val="auto"/>
              </w:rPr>
            </w:pPr>
            <w:r>
              <w:rPr>
                <w:rFonts w:ascii="Arial" w:cs="Arial" w:eastAsia="Arial" w:hAnsi="Arial"/>
                <w:sz w:val="14"/>
                <w:szCs w:val="14"/>
                <w:color w:val="auto"/>
                <w:w w:val="89"/>
              </w:rPr>
              <w:t>Services</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right="208"/>
              <w:spacing w:after="0" w:line="137"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at a point</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at a point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20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96"/>
              </w:rPr>
              <w:t>in time</w:t>
            </w:r>
          </w:p>
        </w:tc>
        <w:tc>
          <w:tcPr>
            <w:tcW w:w="26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6"/>
              </w:rPr>
              <w:t>in time</w:t>
            </w:r>
          </w:p>
        </w:tc>
        <w:tc>
          <w:tcPr>
            <w:tcW w:w="34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Total</w:t>
            </w:r>
          </w:p>
        </w:tc>
      </w:tr>
      <w:tr>
        <w:trPr>
          <w:trHeight w:val="156"/>
        </w:trPr>
        <w:tc>
          <w:tcPr>
            <w:tcW w:w="26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567.6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578.8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652.8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666.4</w:t>
            </w: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347.6</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2.7</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350.3</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423.5</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4.6</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428.1</w:t>
            </w:r>
          </w:p>
        </w:tc>
      </w:tr>
      <w:tr>
        <w:trPr>
          <w:trHeight w:val="156"/>
        </w:trPr>
        <w:tc>
          <w:tcPr>
            <w:tcW w:w="26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915.2</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13.9</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929.1</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1,076.3</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18.2</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1,094.5</w:t>
            </w:r>
          </w:p>
        </w:tc>
      </w:tr>
      <w:tr>
        <w:trPr>
          <w:trHeight w:val="156"/>
        </w:trPr>
        <w:tc>
          <w:tcPr>
            <w:tcW w:w="26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France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1,196.4</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1,205.3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1,375.1</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1,386.4</w:t>
            </w: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345.6</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351.2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369.6</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w:t>
            </w:r>
          </w:p>
        </w:tc>
        <w:tc>
          <w:tcPr>
            <w:tcW w:w="3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376.9</w:t>
            </w:r>
          </w:p>
        </w:tc>
      </w:tr>
      <w:tr>
        <w:trPr>
          <w:trHeight w:val="162"/>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548.6</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555.9</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581.7</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594.5</w:t>
            </w:r>
          </w:p>
        </w:tc>
      </w:tr>
      <w:tr>
        <w:trPr>
          <w:trHeight w:val="155"/>
        </w:trPr>
        <w:tc>
          <w:tcPr>
            <w:tcW w:w="26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2,090.6</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21.8</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2,112.4</w:t>
            </w: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2,326.4</w:t>
            </w: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31.4</w:t>
            </w:r>
          </w:p>
        </w:tc>
        <w:tc>
          <w:tcPr>
            <w:tcW w:w="3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2,357.8</w:t>
            </w: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928.3</w:t>
            </w:r>
          </w:p>
        </w:tc>
        <w:tc>
          <w:tcPr>
            <w:tcW w:w="26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19.4</w:t>
            </w:r>
          </w:p>
        </w:tc>
        <w:tc>
          <w:tcPr>
            <w:tcW w:w="26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947.7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1,137.6</w:t>
            </w:r>
          </w:p>
        </w:tc>
        <w:tc>
          <w:tcPr>
            <w:tcW w:w="26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29.2</w:t>
            </w:r>
          </w:p>
        </w:tc>
        <w:tc>
          <w:tcPr>
            <w:tcW w:w="340" w:type="dxa"/>
            <w:vAlign w:val="bottom"/>
          </w:tcPr>
          <w:p>
            <w:pPr>
              <w:spacing w:after="0"/>
              <w:rPr>
                <w:sz w:val="13"/>
                <w:szCs w:val="13"/>
                <w:color w:val="auto"/>
              </w:rPr>
            </w:pPr>
          </w:p>
        </w:tc>
        <w:tc>
          <w:tcPr>
            <w:tcW w:w="9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1,166.8</w:t>
            </w:r>
          </w:p>
        </w:tc>
      </w:tr>
      <w:tr>
        <w:trPr>
          <w:trHeight w:val="162"/>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579.1</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16.5</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595.6</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608.2</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21.6</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629.8</w:t>
            </w: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4,513.2</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71.6</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4,584.8</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5,148.5</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100.4</w:t>
            </w:r>
          </w:p>
        </w:tc>
        <w:tc>
          <w:tcPr>
            <w:tcW w:w="3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5,248.9</w:t>
            </w:r>
          </w:p>
        </w:tc>
      </w:tr>
      <w:tr>
        <w:trPr>
          <w:trHeight w:val="20"/>
        </w:trPr>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5"/>
              </w:rPr>
              <w:t>9 Months Ended September 30,</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88"/>
              <w:spacing w:after="0" w:line="137" w:lineRule="exact"/>
              <w:rPr>
                <w:sz w:val="20"/>
                <w:szCs w:val="20"/>
                <w:color w:val="auto"/>
              </w:rPr>
            </w:pPr>
            <w:r>
              <w:rPr>
                <w:rFonts w:ascii="Arial" w:cs="Arial" w:eastAsia="Arial" w:hAnsi="Arial"/>
                <w:sz w:val="14"/>
                <w:szCs w:val="14"/>
                <w:color w:val="auto"/>
                <w:w w:val="89"/>
              </w:rPr>
              <w:t>Services</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right="208"/>
              <w:spacing w:after="0" w:line="137"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at a point</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at a point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vMerge w:val="restart"/>
          </w:tcPr>
          <w:p>
            <w:pPr>
              <w:spacing w:after="0"/>
              <w:rPr>
                <w:sz w:val="20"/>
                <w:szCs w:val="20"/>
                <w:color w:val="auto"/>
              </w:rPr>
            </w:pPr>
            <w:r>
              <w:rPr>
                <w:rFonts w:ascii="Arial" w:cs="Arial" w:eastAsia="Arial" w:hAnsi="Arial"/>
                <w:sz w:val="14"/>
                <w:szCs w:val="14"/>
                <w:color w:val="auto"/>
              </w:rPr>
              <w:t>Americas: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20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96"/>
              </w:rPr>
              <w:t>in time</w:t>
            </w:r>
          </w:p>
        </w:tc>
        <w:tc>
          <w:tcPr>
            <w:tcW w:w="26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6"/>
              </w:rPr>
              <w:t>in time</w:t>
            </w:r>
          </w:p>
        </w:tc>
        <w:tc>
          <w:tcPr>
            <w:tcW w:w="34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United States</w:t>
            </w:r>
          </w:p>
        </w:tc>
        <w:tc>
          <w:tcPr>
            <w:tcW w:w="11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1,673.0</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32.6</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1,705.6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1,902.0</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40.3</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1,942.3</w:t>
            </w:r>
          </w:p>
        </w:tc>
        <w:tc>
          <w:tcPr>
            <w:tcW w:w="0" w:type="dxa"/>
            <w:vAlign w:val="bottom"/>
          </w:tcPr>
          <w:p>
            <w:pPr>
              <w:spacing w:after="0"/>
              <w:rPr>
                <w:sz w:val="1"/>
                <w:szCs w:val="1"/>
                <w:color w:val="auto"/>
              </w:rPr>
            </w:pPr>
          </w:p>
        </w:tc>
      </w:tr>
      <w:tr>
        <w:trPr>
          <w:trHeight w:val="162"/>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Americas</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1,062.9</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1,071.1</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1,237.7</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1,250.6</w:t>
            </w:r>
          </w:p>
        </w:tc>
        <w:tc>
          <w:tcPr>
            <w:tcW w:w="0" w:type="dxa"/>
            <w:vAlign w:val="bottom"/>
          </w:tcPr>
          <w:p>
            <w:pPr>
              <w:spacing w:after="0"/>
              <w:rPr>
                <w:sz w:val="1"/>
                <w:szCs w:val="1"/>
                <w:color w:val="auto"/>
              </w:rPr>
            </w:pPr>
          </w:p>
        </w:tc>
      </w:tr>
      <w:tr>
        <w:trPr>
          <w:trHeight w:val="155"/>
        </w:trPr>
        <w:tc>
          <w:tcPr>
            <w:tcW w:w="26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2,735.9</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40.8</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2,776.7</w:t>
            </w: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3,139.7</w:t>
            </w: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53.2</w:t>
            </w:r>
          </w:p>
        </w:tc>
        <w:tc>
          <w:tcPr>
            <w:tcW w:w="3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3,192.9</w:t>
            </w:r>
          </w:p>
        </w:tc>
        <w:tc>
          <w:tcPr>
            <w:tcW w:w="0" w:type="dxa"/>
            <w:vAlign w:val="bottom"/>
          </w:tcPr>
          <w:p>
            <w:pPr>
              <w:spacing w:after="0"/>
              <w:rPr>
                <w:sz w:val="1"/>
                <w:szCs w:val="1"/>
                <w:color w:val="auto"/>
              </w:rPr>
            </w:pP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France</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3,008.0</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27.1</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3,035.1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4,080.1</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37.7</w:t>
            </w:r>
          </w:p>
        </w:tc>
        <w:tc>
          <w:tcPr>
            <w:tcW w:w="3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4,117.8</w:t>
            </w:r>
          </w:p>
        </w:tc>
        <w:tc>
          <w:tcPr>
            <w:tcW w:w="0" w:type="dxa"/>
            <w:vAlign w:val="bottom"/>
          </w:tcPr>
          <w:p>
            <w:pPr>
              <w:spacing w:after="0"/>
              <w:rPr>
                <w:sz w:val="1"/>
                <w:szCs w:val="1"/>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Italy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929.7</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947.4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1,101.2</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26.5</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1,127.7</w:t>
            </w: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Southern Europe</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1,520.1</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25.3</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1,545.4</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1,577.5</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37.9</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1,615.4</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5,457.8</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70.1</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5,527.9</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6,758.8</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102.1</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6,860.9</w:t>
            </w:r>
          </w:p>
        </w:tc>
        <w:tc>
          <w:tcPr>
            <w:tcW w:w="0" w:type="dxa"/>
            <w:vAlign w:val="bottom"/>
          </w:tcPr>
          <w:p>
            <w:pPr>
              <w:spacing w:after="0"/>
              <w:rPr>
                <w:sz w:val="1"/>
                <w:szCs w:val="1"/>
                <w:color w:val="auto"/>
              </w:rPr>
            </w:pPr>
          </w:p>
        </w:tc>
      </w:tr>
      <w:tr>
        <w:trPr>
          <w:trHeight w:val="155"/>
        </w:trPr>
        <w:tc>
          <w:tcPr>
            <w:tcW w:w="26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Northern Europe</w:t>
            </w: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2,818.3</w:t>
            </w: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63.6</w:t>
            </w: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2,881.9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3,465.8</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95.6</w:t>
            </w:r>
          </w:p>
        </w:tc>
        <w:tc>
          <w:tcPr>
            <w:tcW w:w="3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3,561.4</w:t>
            </w:r>
          </w:p>
        </w:tc>
        <w:tc>
          <w:tcPr>
            <w:tcW w:w="0" w:type="dxa"/>
            <w:vAlign w:val="bottom"/>
          </w:tcPr>
          <w:p>
            <w:pPr>
              <w:spacing w:after="0"/>
              <w:rPr>
                <w:sz w:val="1"/>
                <w:szCs w:val="1"/>
                <w:color w:val="auto"/>
              </w:rPr>
            </w:pPr>
          </w:p>
        </w:tc>
      </w:tr>
      <w:tr>
        <w:trPr>
          <w:trHeight w:val="162"/>
        </w:trPr>
        <w:tc>
          <w:tcPr>
            <w:tcW w:w="26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APME</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1,707.9</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1,759.6</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1,968.4</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83.3</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2,051.7</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12,719.9</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226.2</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12,946.1</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15,332.7</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334.2</w:t>
            </w:r>
          </w:p>
        </w:tc>
        <w:tc>
          <w:tcPr>
            <w:tcW w:w="3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15,666.9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three months ended September 30, 2020 and 2019, we recognized share-based compensation expense of $6.9 and $5.9, respectively, and $18.4 and $18.8 for the nine months ended September 30, 2020 and 2019,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$7.4 and $6.3 for the nine months ended September 30, 2020 and 2019, respectively.</w:t>
      </w:r>
    </w:p>
    <w:p>
      <w:pPr>
        <w:spacing w:after="0" w:line="16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 and Dispositions</w:t>
      </w:r>
    </w:p>
    <w:p>
      <w:pPr>
        <w:spacing w:after="0" w:line="18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nine months ended September 30, 2020, the total cash consideration paid for acquisitions, net of cash acquired, was $1.7, which represents a deferred consideration payment related to a previous acquisition.</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September 30, 2020 we disposed of four businesses (Serbia, Croatia, Slovenia, Bulgaria) in our Southern Europe segment for net proceeds of $5.8, subject to normal post close working capital adjustments and simultaneously entered into franchise agreements with the new ownership of these businesses. In connection with the disposition we recognized a one-time loss on disposition of $5.8, which was included in the selling and administrative expenses in the Consolidated Statement of Operations for the three and nine months ended September 30,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20"/>
        <w:spacing w:after="0" w:line="271" w:lineRule="auto"/>
        <w:rPr>
          <w:sz w:val="20"/>
          <w:szCs w:val="20"/>
          <w:color w:val="auto"/>
        </w:rPr>
      </w:pPr>
      <w:r>
        <w:rPr>
          <w:rFonts w:ascii="Arial" w:cs="Arial" w:eastAsia="Arial" w:hAnsi="Arial"/>
          <w:sz w:val="17"/>
          <w:szCs w:val="17"/>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as of September 30, 2019 and was funded through cash on hand. Of the total consideration paid, $58.3 was for the acquired interests and the remaining $161.2 was for cash and cash equivalents. The aggregate cash consideration paid reflects a post-closing settlement of net debt and net working capital adjustments of $6.8, which we paid out during the third quarter of 2019. The total cash impact of the acquisition was an inflow of $98.0, net of cash acquired of $317.5. The acquisition of the remaining interest of Experis AG was accounted for as an equity transaction as we previously consolidated the entity.</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business combination, we recognized a one-time, non-cash gain on the disposition of our previously held equity interest in Manpower Switzerland of $80.4, which is included within interest and other expenses (income), net on the Consolidated Statements of Operations. Of the $80.4, $32.5 represented the reclassification of foreign currency translation adjustments related to the previously held equity interest, from accumulated other comprehensive income.</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Excluding Manpower Switzerland and Experis AG, the total cash consideration paid for acquisitions, net of cash acquired, was $39.5 for the nine months ended September 30, 2019. This balance represents contingent consideration payments related to previous acquisitions, of which $13.0 had been recognized as a liability at the acquisition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ManpowerGroup Greater China Limited Disposition</w:t>
      </w:r>
    </w:p>
    <w:p>
      <w:pPr>
        <w:spacing w:after="0" w:line="19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the remaining interest under the equity method of accounting and record our share of equity income or loss in interest and other expenses (income), net in the Consolidated Statement of Operations. In connection with the deconsolidation of the joint venture, we recognized a one-time cash gain of $30.4, which was included in selling and administrative expenses in the Consolidated Statement of Operations in the quarter ended September 30, 2019. Included in the $30.4 was foreign currency translation adjustment losses of $6.2 related to the joint venture from accumulated other comprehensive income.</w:t>
      </w:r>
    </w:p>
    <w:p>
      <w:pPr>
        <w:spacing w:after="0" w:line="145"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1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recorded net restructuring costs of $98.1 and $42.5 during the nine months ended September 30, 2020 and 2019, respectively, in selling and administrative expenses, primarily related to severances and office closures and consolidations in multiple countries and territories. As a result of the adoption of the new accounting guidance on leases as of January 1, 2019, the office closure costs of $22.6 during the nine months ended September 30, 2020 were recorded as an impairment to the operating lease right-of-use asset and, thus, are not included in the restructuring reserve balance as of September 30, 2020. The costs paid, utilized or transferred out of our restructuring reserve were $55.5 during the nine months ended September 30, 2020. We expect a majority of the remaining $49.9 reserve will be paid by the end of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Southern</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Northern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020" w:type="dxa"/>
            <w:vAlign w:val="bottom"/>
            <w:gridSpan w:val="4"/>
          </w:tcPr>
          <w:p>
            <w:pPr>
              <w:ind w:left="9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40" w:type="dxa"/>
            <w:vAlign w:val="bottom"/>
          </w:tcPr>
          <w:p>
            <w:pPr>
              <w:spacing w:after="0"/>
              <w:rPr>
                <w:sz w:val="20"/>
                <w:szCs w:val="20"/>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(2)</w:t>
            </w:r>
          </w:p>
        </w:tc>
        <w:tc>
          <w:tcPr>
            <w:tcW w:w="12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Europe</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APME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9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Severance costs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67.8</w:t>
            </w:r>
          </w:p>
        </w:tc>
      </w:tr>
      <w:tr>
        <w:trPr>
          <w:trHeight w:val="230"/>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 closure costs</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22.6</w:t>
            </w: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Other costs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7.7</w:t>
            </w:r>
          </w:p>
        </w:tc>
      </w:tr>
      <w:tr>
        <w:trPr>
          <w:trHeight w:val="229"/>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Costs paid, utilized or transferred out</w:t>
            </w:r>
          </w:p>
        </w:tc>
        <w:tc>
          <w:tcPr>
            <w:tcW w:w="9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9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49.9</w:t>
            </w: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82"/>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$0.3 and $4.3 as of December 31, 2019 and September 30, 2020, respectively.</w:t>
      </w:r>
    </w:p>
    <w:p>
      <w:pPr>
        <w:spacing w:after="0" w:line="23" w:lineRule="exact"/>
        <w:rPr>
          <w:rFonts w:ascii="Arial" w:cs="Arial" w:eastAsia="Arial" w:hAnsi="Arial"/>
          <w:sz w:val="18"/>
          <w:szCs w:val="18"/>
          <w:color w:val="auto"/>
        </w:rPr>
      </w:pPr>
    </w:p>
    <w:p>
      <w:pPr>
        <w:ind w:left="460" w:right="580" w:hanging="452"/>
        <w:spacing w:after="0" w:line="26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France had no restructuring reserve as of both December 31, 2019 and September 30, 2020. Balances related to Italy were $0.3 and $1.8 as of December 31, 2019 and September 30, 2020, respectively.</w:t>
      </w:r>
    </w:p>
    <w:p>
      <w:pPr>
        <w:spacing w:after="0" w:line="14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recorded income tax expense at an effective rate of 81.5% for the three months ended September 30, 2020, as compared to an effective rate of 28.6% for the three months ended September 30, 2019. The 2020 rate was unfavorably impacted by the relatively low level and mix of pre-tax earnings, tax losses in certain countries for which we did not recognize a corresponding tax benefit due to valuation allowances, including the recognition of a discrete valuation allowance in Germany, and the French business tax. The French business tax had a more significant unfavorable impact in the quarter due to French pre-tax earnings decreasing at a greater rate than revenues, which is the primary basis for the tax calculation. The effective tax rate of 81.5% for the three months ended September 30, 2020 was significantly higher than the United States Federal statutory rate of 21% primarily due to the factors noted above.</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recorded income tax expense at an effective rate of 407.4% for the nine months ended September 30, 2020, as compared to an effective rate of 34.5% for the nine months ended September 30, 2019. The 2020 rate was unfavorably impacted by the relatively low level and mix of pre-tax earnings, tax losses in certain countries for which we did not recognize a corresponding tax benefit due to valuation allowances, including the recognition of a discrete valuation allowance in Germany, the non-deductible goodwill impairment charge in Germany, and the French business tax. The effective tax rate of 407.4% for the nine months ended September 30, 2020 was significantly higher than the United States Federal statutory rate of 21% primarily due to the factors noted above.</w:t>
      </w:r>
    </w:p>
    <w:p>
      <w:pPr>
        <w:spacing w:after="0" w:line="15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As of September 30, 2020, we had gross unrecognized tax benefits related to various tax jurisdictions, including interest and penalties, of $68.2 that would favorably impact the effective tax rate if recognized. As of December 31, 2019, we had gross unrecognized tax benefits related to various tax jurisdictions, including interest and penalties, of $69.5. We do not expect our unrecognized tax benefits to change significantly over the next 12 months.</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2013 through 2020 for our major operations in France, Germany, Japan, the United Kingdom and the United States. As of September 30, 2020, we are subject to tax audits in Austria, Belgium, Canada, Denmark, France, Germany, Israel and the United States. We believe that the resolution of these audits will not have a material impact on earnings.</w:t>
      </w:r>
    </w:p>
    <w:p>
      <w:pPr>
        <w:spacing w:after="0" w:line="13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Net Earnings (Loss)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(loss) per share - basic and net earnings per share - diluted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3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8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(loss) available to common shareholders</w:t>
            </w:r>
          </w:p>
        </w:tc>
        <w:tc>
          <w:tcPr>
            <w:tcW w:w="680" w:type="dxa"/>
            <w:vAlign w:val="bottom"/>
            <w:tcBorders>
              <w:bottom w:val="single" w:sz="8" w:color="auto"/>
            </w:tcBorders>
            <w:shd w:val="clear" w:color="auto" w:fill="CFF0FC"/>
          </w:tcPr>
          <w:p>
            <w:pPr>
              <w:jc w:val="right"/>
              <w:ind w:right="51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5"/>
              </w:rPr>
              <w:t>10.3</w:t>
            </w:r>
          </w:p>
        </w:tc>
        <w:tc>
          <w:tcPr>
            <w:tcW w:w="1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146.1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 - basic</w:t>
            </w: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5"/>
              </w:rPr>
              <w:t>58.2</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5980" w:type="dxa"/>
            <w:vAlign w:val="bottom"/>
          </w:tcPr>
          <w:p>
            <w:pPr>
              <w:ind w:left="500"/>
              <w:spacing w:after="0"/>
              <w:rPr>
                <w:sz w:val="20"/>
                <w:szCs w:val="20"/>
                <w:color w:val="auto"/>
              </w:rPr>
            </w:pPr>
            <w:r>
              <w:rPr>
                <w:rFonts w:ascii="Arial" w:cs="Arial" w:eastAsia="Arial" w:hAnsi="Arial"/>
                <w:sz w:val="18"/>
                <w:szCs w:val="18"/>
                <w:color w:val="auto"/>
              </w:rPr>
              <w:t>Effect of dilutive securities - stock options</w:t>
            </w:r>
          </w:p>
        </w:tc>
        <w:tc>
          <w:tcPr>
            <w:tcW w:w="68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Effect of other share-based awards</w:t>
            </w: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Weighted-average common shares outstanding - diluted</w:t>
            </w:r>
          </w:p>
        </w:tc>
        <w:tc>
          <w:tcPr>
            <w:tcW w:w="68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58.5</w:t>
            </w:r>
          </w:p>
        </w:tc>
        <w:tc>
          <w:tcPr>
            <w:tcW w:w="140" w:type="dxa"/>
            <w:vAlign w:val="bottom"/>
            <w:tcBorders>
              <w:bottom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58.4</w:t>
            </w:r>
          </w:p>
        </w:tc>
        <w:tc>
          <w:tcPr>
            <w:tcW w:w="1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(loss) per share - basic</w:t>
            </w:r>
          </w:p>
        </w:tc>
        <w:tc>
          <w:tcPr>
            <w:tcW w:w="680" w:type="dxa"/>
            <w:vAlign w:val="bottom"/>
            <w:tcBorders>
              <w:bottom w:val="single" w:sz="8" w:color="auto"/>
            </w:tcBorders>
            <w:shd w:val="clear" w:color="auto" w:fill="CFF0FC"/>
          </w:tcPr>
          <w:p>
            <w:pPr>
              <w:jc w:val="right"/>
              <w:ind w:right="51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5"/>
              </w:rPr>
              <w:t>0.18</w:t>
            </w: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earnings (loss) per share - diluted</w:t>
            </w: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0.18</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Due to the net loss for the nine months ended September 30, 2020, the assumed exercise of share-based awards had an anti-dilutive effect and therefore was not included in the calculations of net loss per share – diluted for the nine months ended September 30, 2020. There were 0.7 million and 0.4 million share-based awards excluded from the calculation of net earnings per share - diluted for the three months ended September 30, 2020 and 2019, respectively, and 1.5 million and 0.4 million share-based awards excluded from the calculation of net earnings (loss) per share - diluted for the nine months ended September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30, 2020 and 2019, respectively, because their impact was anti-dilutive.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8"/>
                <w:szCs w:val="18"/>
                <w:b w:val="1"/>
                <w:bCs w:val="1"/>
                <w:color w:val="auto"/>
              </w:rPr>
              <w:t>September 30, 2020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December 31, 2019</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Gross</w:t>
            </w:r>
          </w:p>
        </w:tc>
        <w:tc>
          <w:tcPr>
            <w:tcW w:w="1380" w:type="dxa"/>
            <w:vAlign w:val="bottom"/>
            <w:gridSpan w:val="4"/>
          </w:tcPr>
          <w:p>
            <w:pPr>
              <w:ind w:left="1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1,198.6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1,198.6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r>
              <w:rPr>
                <w:rFonts w:ascii="Arial" w:cs="Arial" w:eastAsia="Arial" w:hAnsi="Arial"/>
                <w:sz w:val="18"/>
                <w:szCs w:val="18"/>
                <w:u w:val="single" w:color="auto"/>
                <w:color w:val="auto"/>
              </w:rPr>
              <w:t>1</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Finite-lived: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465.5</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460.5</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486.5</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Indefinite-lived: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Arial" w:cs="Arial" w:eastAsia="Arial" w:hAnsi="Arial"/>
                <w:sz w:val="18"/>
                <w:szCs w:val="18"/>
                <w:color w:val="auto"/>
              </w:rPr>
              <w:t>Tradenames</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Reacquired franchise rights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412.8</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80" w:hanging="264"/>
        <w:spacing w:after="0"/>
        <w:tabs>
          <w:tab w:leader="none" w:pos="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Balances were net of accumulated impairment loss of $644.2 and $577.4 as of September 30, 2020 and December 31, 2019 respectively.</w:t>
      </w:r>
    </w:p>
    <w:p>
      <w:pPr>
        <w:spacing w:after="0" w:line="34" w:lineRule="exact"/>
        <w:rPr>
          <w:rFonts w:ascii="Arial" w:cs="Arial" w:eastAsia="Arial" w:hAnsi="Arial"/>
          <w:sz w:val="17"/>
          <w:szCs w:val="17"/>
          <w:color w:val="auto"/>
        </w:rPr>
      </w:pPr>
    </w:p>
    <w:p>
      <w:pPr>
        <w:ind w:left="280" w:hanging="252"/>
        <w:spacing w:after="0"/>
        <w:tabs>
          <w:tab w:leader="none" w:pos="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2020 and December 31, 2019.</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2020 is expected to be $6.8 and in each of the next five years as follows: 2021- $16.3, 2022- $13.0, 2023- $10.4, 2024 - $8.0, 2025- $6.0.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Southern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Northern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52"/>
              <w:spacing w:after="0" w:line="181"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15"/>
                <w:szCs w:val="15"/>
                <w:b w:val="1"/>
                <w:bCs w:val="1"/>
                <w:color w:val="auto"/>
                <w:w w:val="92"/>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0" w:type="dxa"/>
            <w:vAlign w:val="bottom"/>
          </w:tcPr>
          <w:p>
            <w:pPr>
              <w:spacing w:after="0"/>
              <w:rPr>
                <w:sz w:val="19"/>
                <w:szCs w:val="19"/>
                <w:color w:val="auto"/>
              </w:rPr>
            </w:pPr>
          </w:p>
        </w:tc>
        <w:tc>
          <w:tcPr>
            <w:tcW w:w="940" w:type="dxa"/>
            <w:vAlign w:val="bottom"/>
          </w:tcPr>
          <w:p>
            <w:pPr>
              <w:jc w:val="center"/>
              <w:ind w:right="152"/>
              <w:spacing w:after="0"/>
              <w:rPr>
                <w:sz w:val="20"/>
                <w:szCs w:val="20"/>
                <w:color w:val="auto"/>
              </w:rPr>
            </w:pPr>
            <w:r>
              <w:rPr>
                <w:rFonts w:ascii="Arial" w:cs="Arial" w:eastAsia="Arial" w:hAnsi="Arial"/>
                <w:sz w:val="15"/>
                <w:szCs w:val="15"/>
                <w:b w:val="1"/>
                <w:bCs w:val="1"/>
                <w:color w:val="auto"/>
              </w:rPr>
              <w:t>(3</w:t>
            </w:r>
            <w:r>
              <w:rPr>
                <w:rFonts w:ascii="Arial" w:cs="Arial" w:eastAsia="Arial" w:hAnsi="Arial"/>
                <w:sz w:val="13"/>
                <w:szCs w:val="13"/>
                <w:b w:val="1"/>
                <w:bCs w:val="1"/>
                <w:color w:val="auto"/>
              </w:rPr>
              <w:t>)</w:t>
            </w:r>
          </w:p>
        </w:tc>
        <w:tc>
          <w:tcPr>
            <w:tcW w:w="100" w:type="dxa"/>
            <w:vAlign w:val="bottom"/>
          </w:tcPr>
          <w:p>
            <w:pPr>
              <w:spacing w:after="0"/>
              <w:rPr>
                <w:sz w:val="19"/>
                <w:szCs w:val="19"/>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(3)</w:t>
            </w:r>
          </w:p>
        </w:tc>
        <w:tc>
          <w:tcPr>
            <w:tcW w:w="14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APME</w:t>
            </w:r>
          </w:p>
        </w:tc>
        <w:tc>
          <w:tcPr>
            <w:tcW w:w="1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15"/>
                <w:szCs w:val="15"/>
                <w:b w:val="1"/>
                <w:bCs w:val="1"/>
                <w:color w:val="auto"/>
              </w:rPr>
              <w:t>(4)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144.8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374.6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79.1</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Currency &amp; other impacts</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the United States were $490.3 and $490.2 as of December 31, 2019 and September 30, 2020, respectively.</w:t>
      </w:r>
    </w:p>
    <w:p>
      <w:pPr>
        <w:spacing w:after="0" w:line="23" w:lineRule="exact"/>
        <w:rPr>
          <w:rFonts w:ascii="Arial" w:cs="Arial" w:eastAsia="Arial" w:hAnsi="Arial"/>
          <w:sz w:val="18"/>
          <w:szCs w:val="18"/>
          <w:color w:val="auto"/>
        </w:rPr>
      </w:pPr>
    </w:p>
    <w:p>
      <w:pPr>
        <w:ind w:left="280" w:right="280" w:hanging="265"/>
        <w:spacing w:after="0" w:line="250" w:lineRule="auto"/>
        <w:tabs>
          <w:tab w:leader="none" w:pos="2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France were $67.3 and $70.3 as of December 31, 2019 and September 30, 2020, respectively. Balances related to Italy were $4.6 and $4.0 as of December 31, 2019 and September 30, 2020.</w:t>
      </w:r>
    </w:p>
    <w:p>
      <w:pPr>
        <w:ind w:left="300" w:right="580" w:hanging="284"/>
        <w:spacing w:after="0" w:line="250" w:lineRule="auto"/>
        <w:tabs>
          <w:tab w:leader="none" w:pos="2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impairment charge of $66.8 relates to our Germany reporting unit, which was recorded during the second quarter of 2020. See Note 1 to the Consolidated Financial Statements for further information.</w:t>
      </w:r>
    </w:p>
    <w:p>
      <w:pPr>
        <w:ind w:left="300" w:right="320" w:hanging="284"/>
        <w:spacing w:after="0" w:line="295" w:lineRule="auto"/>
        <w:tabs>
          <w:tab w:leader="none" w:pos="2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majority of the Corporate balance relates to goodwill attributable to our acquisitions of Right Management ($62.1) and Jefferson Wells ($55.5). Jefferson Wells is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840" w:type="dxa"/>
            <w:vAlign w:val="bottom"/>
            <w:gridSpan w:val="3"/>
          </w:tcPr>
          <w:p>
            <w:pPr>
              <w:ind w:left="20"/>
              <w:spacing w:after="0"/>
              <w:rPr>
                <w:sz w:val="20"/>
                <w:szCs w:val="20"/>
                <w:color w:val="auto"/>
              </w:rPr>
            </w:pPr>
            <w:r>
              <w:rPr>
                <w:rFonts w:ascii="Arial" w:cs="Arial" w:eastAsia="Arial" w:hAnsi="Arial"/>
                <w:sz w:val="18"/>
                <w:szCs w:val="18"/>
                <w:color w:val="auto"/>
              </w:rPr>
              <w:t>Goodwill balances by reporting unit were as follows:</w:t>
            </w: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4"/>
            <w:vMerge w:val="restart"/>
          </w:tcPr>
          <w:p>
            <w:pPr>
              <w:jc w:val="right"/>
              <w:ind w:right="3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840" w:type="dxa"/>
            <w:vAlign w:val="bottom"/>
            <w:gridSpan w:val="4"/>
            <w:vMerge w:val="restart"/>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3260" w:type="dxa"/>
            <w:vAlign w:val="bottom"/>
            <w:tcBorders>
              <w:bottom w:val="single" w:sz="8" w:color="CFF0FC"/>
            </w:tcBorders>
          </w:tcPr>
          <w:p>
            <w:pPr>
              <w:spacing w:after="0"/>
              <w:rPr>
                <w:sz w:val="20"/>
                <w:szCs w:val="20"/>
                <w:color w:val="auto"/>
              </w:rPr>
            </w:pPr>
          </w:p>
        </w:tc>
        <w:tc>
          <w:tcPr>
            <w:tcW w:w="98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4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23"/>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3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545.7</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9"/>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Right Management</w:t>
            </w:r>
          </w:p>
        </w:tc>
        <w:tc>
          <w:tcPr>
            <w:tcW w:w="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reporting units</w:t>
            </w:r>
          </w:p>
        </w:tc>
        <w:tc>
          <w:tcPr>
            <w:tcW w:w="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311.3</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23"/>
        </w:trPr>
        <w:tc>
          <w:tcPr>
            <w:tcW w:w="4840" w:type="dxa"/>
            <w:vAlign w:val="bottom"/>
            <w:gridSpan w:val="3"/>
          </w:tcPr>
          <w:p>
            <w:pPr>
              <w:ind w:left="260"/>
              <w:spacing w:after="0"/>
              <w:rPr>
                <w:sz w:val="20"/>
                <w:szCs w:val="20"/>
                <w:color w:val="auto"/>
              </w:rPr>
            </w:pPr>
            <w:r>
              <w:rPr>
                <w:rFonts w:ascii="Arial" w:cs="Arial" w:eastAsia="Arial" w:hAnsi="Arial"/>
                <w:sz w:val="18"/>
                <w:szCs w:val="18"/>
                <w:color w:val="auto"/>
              </w:rPr>
              <w:t>Total goodwill</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1,198.6</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color w:val="auto"/>
              </w:rPr>
              <w:t>(10) Retirement Plans</w:t>
            </w: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4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20" w:type="dxa"/>
            <w:vAlign w:val="bottom"/>
            <w:gridSpan w:val="5"/>
          </w:tcPr>
          <w:p>
            <w:pPr>
              <w:spacing w:after="0"/>
              <w:rPr>
                <w:sz w:val="20"/>
                <w:szCs w:val="20"/>
                <w:color w:val="auto"/>
              </w:rPr>
            </w:pPr>
            <w:r>
              <w:rPr>
                <w:rFonts w:ascii="Arial" w:cs="Arial" w:eastAsia="Arial" w:hAnsi="Arial"/>
                <w:sz w:val="18"/>
                <w:szCs w:val="18"/>
                <w:color w:val="auto"/>
                <w:w w:val="97"/>
              </w:rPr>
              <w:t>The components of the net periodic benefit cost (credit) for our plans were as follows: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7"/>
            <w:vMerge w:val="restart"/>
          </w:tcPr>
          <w:p>
            <w:pPr>
              <w:jc w:val="right"/>
              <w:ind w:right="170"/>
              <w:spacing w:after="0"/>
              <w:rPr>
                <w:sz w:val="20"/>
                <w:szCs w:val="20"/>
                <w:color w:val="auto"/>
              </w:rPr>
            </w:pPr>
            <w:r>
              <w:rPr>
                <w:rFonts w:ascii="Arial" w:cs="Arial" w:eastAsia="Arial" w:hAnsi="Arial"/>
                <w:sz w:val="18"/>
                <w:szCs w:val="18"/>
                <w:b w:val="1"/>
                <w:bCs w:val="1"/>
                <w:color w:val="auto"/>
                <w:w w:val="94"/>
              </w:rPr>
              <w:t>Defined Benefit Pension Plan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7"/>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8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92"/>
              </w:rPr>
              <w:t>3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5"/>
          </w:tcPr>
          <w:p>
            <w:pPr>
              <w:jc w:val="center"/>
              <w:ind w:right="630"/>
              <w:spacing w:after="0"/>
              <w:rPr>
                <w:sz w:val="20"/>
                <w:szCs w:val="20"/>
                <w:color w:val="auto"/>
              </w:rPr>
            </w:pPr>
            <w:r>
              <w:rPr>
                <w:rFonts w:ascii="Arial" w:cs="Arial" w:eastAsia="Arial" w:hAnsi="Arial"/>
                <w:sz w:val="18"/>
                <w:szCs w:val="18"/>
                <w:b w:val="1"/>
                <w:bCs w:val="1"/>
                <w:color w:val="auto"/>
                <w:w w:val="92"/>
              </w:rPr>
              <w:t>9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center"/>
              <w:ind w:right="65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Service cost</w:t>
            </w:r>
          </w:p>
        </w:tc>
        <w:tc>
          <w:tcPr>
            <w:tcW w:w="9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return on assets</w:t>
            </w:r>
          </w:p>
        </w:tc>
        <w:tc>
          <w:tcPr>
            <w:tcW w:w="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Settlement loss</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840" w:type="dxa"/>
            <w:vAlign w:val="bottom"/>
            <w:gridSpan w:val="3"/>
          </w:tcPr>
          <w:p>
            <w:pPr>
              <w:ind w:left="260"/>
              <w:spacing w:after="0"/>
              <w:rPr>
                <w:sz w:val="20"/>
                <w:szCs w:val="20"/>
                <w:color w:val="auto"/>
              </w:rPr>
            </w:pPr>
            <w:r>
              <w:rPr>
                <w:rFonts w:ascii="Arial" w:cs="Arial" w:eastAsia="Arial" w:hAnsi="Arial"/>
                <w:sz w:val="18"/>
                <w:szCs w:val="18"/>
                <w:color w:val="auto"/>
              </w:rPr>
              <w:t>Total benefit cost</w:t>
            </w:r>
          </w:p>
        </w:tc>
        <w:tc>
          <w:tcPr>
            <w:tcW w:w="98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b w:val="1"/>
                <w:bCs w:val="1"/>
                <w:color w:val="auto"/>
                <w:w w:val="96"/>
              </w:rPr>
              <w:t>Retiree Health Care Plan</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8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92"/>
              </w:rPr>
              <w:t>3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5"/>
          </w:tcPr>
          <w:p>
            <w:pPr>
              <w:jc w:val="center"/>
              <w:ind w:right="630"/>
              <w:spacing w:after="0"/>
              <w:rPr>
                <w:sz w:val="20"/>
                <w:szCs w:val="20"/>
                <w:color w:val="auto"/>
              </w:rPr>
            </w:pPr>
            <w:r>
              <w:rPr>
                <w:rFonts w:ascii="Arial" w:cs="Arial" w:eastAsia="Arial" w:hAnsi="Arial"/>
                <w:sz w:val="18"/>
                <w:szCs w:val="18"/>
                <w:b w:val="1"/>
                <w:bCs w:val="1"/>
                <w:color w:val="auto"/>
                <w:w w:val="92"/>
              </w:rPr>
              <w:t>9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center"/>
              <w:ind w:right="65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Interest cost</w:t>
            </w:r>
          </w:p>
        </w:tc>
        <w:tc>
          <w:tcPr>
            <w:tcW w:w="9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Prior service credit</w:t>
            </w:r>
          </w:p>
        </w:tc>
        <w:tc>
          <w:tcPr>
            <w:tcW w:w="9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Total benefit credit</w:t>
            </w:r>
          </w:p>
        </w:tc>
        <w:tc>
          <w:tcPr>
            <w:tcW w:w="9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and nine months ended September 30, 2020, contributions made to our pension plans were $5.3 and $16.3, respectively, and contributions made to our retiree health care plan were $0.3 and $0.9, respectively. During 2020, we expect to make total contributions of approximately $17.6 to our pension plans and to fund our retiree health care payments as incurred.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Pension Settlement</w:t>
      </w:r>
    </w:p>
    <w:p>
      <w:pPr>
        <w:spacing w:after="0" w:line="1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During the nine months ended September 30, 2020, we fully settled our United States Qualified Retirement Plan (the “Plan”) liability. We purchased annuities of $19.2 and settled lump sum payments of $3.2 from the Plan in January and February 2020, respectively. The completion of lump sum payments in February and transfer of remaining participants to the Pension Benefit Guarantee Corporation (PBGC) in March triggered final settlement of the plan. Upon settlement of the pension liability, we reclassified the related pension losses of $6.6, net of tax, recorded in accumulated other comprehensive loss to the Consolidated Statements of Comprehensive (Loss) Income. The total amount of the required payout to plan participants was determined based on employee elections and market conditions at the time of settlement. The remaining plan assets of $16.6 which were in excess of the pension liability upon settlement will be utilized to fund future qualified 401(k) plan contributions following the conclusion of the standard PBGC audit.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822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1"/>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40" w:type="dxa"/>
            <w:vAlign w:val="bottom"/>
            <w:tcBorders>
              <w:bottom w:val="single" w:sz="8" w:color="CFF0FC"/>
            </w:tcBorders>
          </w:tcPr>
          <w:p>
            <w:pPr>
              <w:spacing w:after="0"/>
              <w:rPr>
                <w:sz w:val="20"/>
                <w:szCs w:val="20"/>
                <w:color w:val="auto"/>
              </w:rPr>
            </w:pPr>
          </w:p>
        </w:tc>
        <w:tc>
          <w:tcPr>
            <w:tcW w:w="1540" w:type="dxa"/>
            <w:vAlign w:val="bottom"/>
            <w:tcBorders>
              <w:bottom w:val="single" w:sz="8" w:color="CFF0FC"/>
            </w:tcBorders>
          </w:tcPr>
          <w:p>
            <w:pPr>
              <w:spacing w:after="0"/>
              <w:rPr>
                <w:sz w:val="20"/>
                <w:szCs w:val="20"/>
                <w:color w:val="auto"/>
              </w:rPr>
            </w:pPr>
          </w:p>
        </w:tc>
        <w:tc>
          <w:tcPr>
            <w:tcW w:w="63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r>
      <w:tr>
        <w:trPr>
          <w:trHeight w:val="229"/>
        </w:trPr>
        <w:tc>
          <w:tcPr>
            <w:tcW w:w="8220" w:type="dxa"/>
            <w:vAlign w:val="bottom"/>
            <w:gridSpan w:val="3"/>
          </w:tcPr>
          <w:p>
            <w:pPr>
              <w:spacing w:after="0"/>
              <w:rPr>
                <w:sz w:val="20"/>
                <w:szCs w:val="20"/>
                <w:color w:val="auto"/>
              </w:rPr>
            </w:pPr>
            <w:r>
              <w:rPr>
                <w:rFonts w:ascii="Arial" w:cs="Arial" w:eastAsia="Arial" w:hAnsi="Arial"/>
                <w:sz w:val="18"/>
                <w:szCs w:val="18"/>
                <w:color w:val="auto"/>
                <w:w w:val="99"/>
              </w:rPr>
              <w:t>Translation (loss) gain on derivative instruments, net of income taxes of $(21.6) and $(9.1), respectively</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13.1</w:t>
            </w:r>
          </w:p>
        </w:tc>
      </w:tr>
      <w:tr>
        <w:trPr>
          <w:trHeight w:val="230"/>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Translation loss on long-term intercompany loans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r>
      <w:tr>
        <w:trPr>
          <w:trHeight w:val="229"/>
        </w:trPr>
        <w:tc>
          <w:tcPr>
            <w:tcW w:w="8220" w:type="dxa"/>
            <w:vAlign w:val="bottom"/>
            <w:gridSpan w:val="3"/>
          </w:tcPr>
          <w:p>
            <w:pPr>
              <w:spacing w:after="0"/>
              <w:rPr>
                <w:sz w:val="20"/>
                <w:szCs w:val="20"/>
                <w:color w:val="auto"/>
              </w:rPr>
            </w:pPr>
            <w:r>
              <w:rPr>
                <w:rFonts w:ascii="Arial" w:cs="Arial" w:eastAsia="Arial" w:hAnsi="Arial"/>
                <w:sz w:val="18"/>
                <w:szCs w:val="18"/>
                <w:color w:val="auto"/>
              </w:rPr>
              <w:t>Defined benefit pension plans, net of income taxes of $(35.2) and $(30.9), respectively</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8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Retiree health care plan, net of income taxes of $2.2 and $1.6, respectively</w:t>
            </w: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23"/>
        </w:trPr>
        <w:tc>
          <w:tcPr>
            <w:tcW w:w="8220" w:type="dxa"/>
            <w:vAlign w:val="bottom"/>
            <w:gridSpan w:val="3"/>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8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expenses of $0.1 and $0.2, respectively, for the three months ended September 30, 2020 and 2019, respectively, and income of $0.9 and an expense of $1.3 for the nine months ended September 30,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Board of Directors declared a semi-annual dividend of $1.09 per share on both May 8, 2020 and May 10, 2019. The 2020 dividends were paid on June 15, 2020 to shareholders of record as of June 1, 2020. The 2019 dividends were paid on June 14, 2019 to shareholders of record on June 3,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98"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August 2019, the Board of Directors authorized the repurchase of 6.0 million shares of our common stock, with terms consistent with the previous authorizations. This authorization is in addition to the August 2018 Board authorizations to purchase 6.0 million shares of our common stock each. Share repurchases may be made from time to time through a variety of methods, including open market purchases, block transactions, privately negotiated transactions or similar facilities. During the first nine months of 2020, we repurchased a total of 0.9 million shares comprised of 0.8 million shares under the 2018 authorization and 0.1 million shares under the 2019 authorization, at a total cost of $63.8. The repurchases in the first nine months of 2020 all occurred within the first quarter of 2020. During the first nine months of 2019, we repurchased a total of 1.8 million shares at a cost of $152.0 under the 2018 authorization. As of September 30, 2020, there were 5.9 million shares remaining authorized for repurchase under the 2019 authorization and no shares remaining authorized for repurchase under the 2018 authorization.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sz w:val="20"/>
                <w:szCs w:val="20"/>
                <w:color w:val="auto"/>
              </w:rPr>
            </w:pPr>
            <w:r>
              <w:rPr>
                <w:rFonts w:ascii="Arial" w:cs="Arial" w:eastAsia="Arial" w:hAnsi="Arial"/>
                <w:sz w:val="18"/>
                <w:szCs w:val="18"/>
                <w:color w:val="auto"/>
              </w:rPr>
              <w:t>(12) Interest and Other Expenses (Income), Net</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380" w:type="dxa"/>
            <w:vAlign w:val="bottom"/>
            <w:gridSpan w:val="3"/>
          </w:tcPr>
          <w:p>
            <w:pPr>
              <w:spacing w:after="0"/>
              <w:rPr>
                <w:sz w:val="20"/>
                <w:szCs w:val="20"/>
                <w:color w:val="auto"/>
              </w:rPr>
            </w:pPr>
            <w:r>
              <w:rPr>
                <w:rFonts w:ascii="Arial" w:cs="Arial" w:eastAsia="Arial" w:hAnsi="Arial"/>
                <w:sz w:val="18"/>
                <w:szCs w:val="18"/>
                <w:color w:val="auto"/>
                <w:w w:val="98"/>
              </w:rPr>
              <w:t>Interest and other expenses (income), net consisted of the following:</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3 Months Ended</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9 Months Ended</w:t>
            </w:r>
          </w:p>
        </w:tc>
      </w:tr>
      <w:tr>
        <w:trPr>
          <w:trHeight w:val="234"/>
        </w:trPr>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53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1"/>
              </w:rPr>
              <w:t>10.8</w:t>
            </w: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11.9</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33.3</w:t>
            </w:r>
          </w:p>
        </w:tc>
      </w:tr>
      <w:tr>
        <w:trPr>
          <w:trHeight w:val="229"/>
        </w:trPr>
        <w:tc>
          <w:tcPr>
            <w:tcW w:w="538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r>
      <w:tr>
        <w:trPr>
          <w:trHeight w:val="229"/>
        </w:trPr>
        <w:tc>
          <w:tcPr>
            <w:tcW w:w="53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Miscellaneous (income) expense, net</w:t>
            </w:r>
            <w:r>
              <w:rPr>
                <w:rFonts w:ascii="Arial" w:cs="Arial" w:eastAsia="Arial" w:hAnsi="Arial"/>
                <w:sz w:val="15"/>
                <w:szCs w:val="15"/>
                <w:color w:val="auto"/>
              </w:rPr>
              <w:t>(1)</w:t>
            </w:r>
          </w:p>
        </w:tc>
        <w:tc>
          <w:tcPr>
            <w:tcW w:w="4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r>
        <w:trPr>
          <w:trHeight w:val="223"/>
        </w:trPr>
        <w:tc>
          <w:tcPr>
            <w:tcW w:w="538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Interest and other expenses (income), net</w:t>
            </w:r>
          </w:p>
        </w:tc>
        <w:tc>
          <w:tcPr>
            <w:tcW w:w="4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12.2</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200" w:hanging="372"/>
        <w:spacing w:after="0" w:line="279"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Miscellaneous (income) expense, net for the nine months ended September 30, 2020 includes a $10.2 pension settlement loss related to one of our United States plans. See Note 10 to the Consolidated Financial Statements for further information. Miscellaneous (income) expense, net for the nine months ended September 30, 2019 includes an $80.4 gain related to our acquisition of the remaining controlling interest in Manpower Switzerland. See Note 5 to the Consolidated Financial Statements for further information.</w:t>
      </w:r>
    </w:p>
    <w:p>
      <w:pPr>
        <w:spacing w:after="0" w:line="18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85"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(“forward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9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€400.0 ($467.8) notes due September 2022 and the €500.0 ($581.8) notes due June 2026 were designated as a hedge of our net investment in our foreign subsidiaries with a Euro-functional currency as of September 30, 2020.</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and nine months ended September 30, 2020 and 2019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gridSpan w:val="8"/>
          </w:tcPr>
          <w:p>
            <w:pPr>
              <w:ind w:left="1440"/>
              <w:spacing w:after="0"/>
              <w:rPr>
                <w:sz w:val="20"/>
                <w:szCs w:val="20"/>
                <w:color w:val="auto"/>
              </w:rPr>
            </w:pPr>
            <w:r>
              <w:rPr>
                <w:rFonts w:ascii="Arial" w:cs="Arial" w:eastAsia="Arial" w:hAnsi="Arial"/>
                <w:sz w:val="18"/>
                <w:szCs w:val="18"/>
                <w:b w:val="1"/>
                <w:bCs w:val="1"/>
                <w:color w:val="auto"/>
                <w:w w:val="89"/>
              </w:rPr>
              <w:t>Gain (Loss) Recognized in Other Comprehensive Income</w:t>
            </w: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3 Months Ended September 30,</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9 Months Ended September 30,</w:t>
            </w:r>
          </w:p>
        </w:tc>
      </w:tr>
      <w:tr>
        <w:trPr>
          <w:trHeight w:val="223"/>
        </w:trPr>
        <w:tc>
          <w:tcPr>
            <w:tcW w:w="3040" w:type="dxa"/>
            <w:vAlign w:val="bottom"/>
            <w:gridSpan w:val="2"/>
          </w:tcPr>
          <w:p>
            <w:pPr>
              <w:ind w:left="1020"/>
              <w:spacing w:after="0"/>
              <w:rPr>
                <w:sz w:val="20"/>
                <w:szCs w:val="20"/>
                <w:color w:val="auto"/>
              </w:rPr>
            </w:pPr>
            <w:r>
              <w:rPr>
                <w:rFonts w:ascii="Arial" w:cs="Arial" w:eastAsia="Arial" w:hAnsi="Arial"/>
                <w:sz w:val="18"/>
                <w:szCs w:val="18"/>
                <w:b w:val="1"/>
                <w:bCs w:val="1"/>
                <w:color w:val="auto"/>
              </w:rPr>
              <w:t>Instrument</w:t>
            </w:r>
          </w:p>
        </w:tc>
        <w:tc>
          <w:tcPr>
            <w:tcW w:w="400" w:type="dxa"/>
            <w:vAlign w:val="bottom"/>
          </w:tcPr>
          <w:p>
            <w:pPr>
              <w:spacing w:after="0"/>
              <w:rPr>
                <w:sz w:val="19"/>
                <w:szCs w:val="19"/>
                <w:color w:val="auto"/>
              </w:rPr>
            </w:pPr>
          </w:p>
        </w:tc>
        <w:tc>
          <w:tcPr>
            <w:tcW w:w="154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223"/>
        </w:trPr>
        <w:tc>
          <w:tcPr>
            <w:tcW w:w="2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 Notes</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42.6</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51.1</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4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2.8</w:t>
            </w:r>
          </w:p>
        </w:tc>
      </w:tr>
      <w:tr>
        <w:trPr>
          <w:trHeight w:val="43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ind w:right="12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Cash Flow Hedges</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w:t>
      </w:r>
    </w:p>
    <w:p>
      <w:pPr>
        <w:spacing w:after="0" w:line="1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and nine months ended September 30, 2020 and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8"/>
              </w:rPr>
              <w:t>(Loss) Gain Reclassified</w:t>
            </w:r>
          </w:p>
        </w:tc>
        <w:tc>
          <w:tcPr>
            <w:tcW w:w="54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80"/>
              <w:spacing w:after="0"/>
              <w:rPr>
                <w:sz w:val="20"/>
                <w:szCs w:val="20"/>
                <w:color w:val="auto"/>
              </w:rPr>
            </w:pPr>
            <w:r>
              <w:rPr>
                <w:rFonts w:ascii="Arial" w:cs="Arial" w:eastAsia="Arial" w:hAnsi="Arial"/>
                <w:sz w:val="18"/>
                <w:szCs w:val="18"/>
                <w:b w:val="1"/>
                <w:bCs w:val="1"/>
                <w:color w:val="auto"/>
              </w:rPr>
              <w:t>(Loss) Gain Recognized in OCI</w:t>
            </w: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4"/>
              </w:rPr>
              <w:t>from AOCI into Income</w:t>
            </w:r>
          </w:p>
        </w:tc>
        <w:tc>
          <w:tcPr>
            <w:tcW w:w="540" w:type="dxa"/>
            <w:vAlign w:val="bottom"/>
          </w:tcPr>
          <w:p>
            <w:pPr>
              <w:spacing w:after="0"/>
              <w:rPr>
                <w:sz w:val="20"/>
                <w:szCs w:val="20"/>
                <w:color w:val="auto"/>
              </w:rPr>
            </w:pPr>
          </w:p>
        </w:tc>
      </w:tr>
      <w:tr>
        <w:trPr>
          <w:trHeight w:val="205"/>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Location of (Loss) Gain</w:t>
            </w: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80"/>
              <w:spacing w:after="0"/>
              <w:rPr>
                <w:sz w:val="20"/>
                <w:szCs w:val="20"/>
                <w:color w:val="auto"/>
              </w:rPr>
            </w:pPr>
            <w:r>
              <w:rPr>
                <w:rFonts w:ascii="Arial" w:cs="Arial" w:eastAsia="Arial" w:hAnsi="Arial"/>
                <w:sz w:val="18"/>
                <w:szCs w:val="18"/>
                <w:b w:val="1"/>
                <w:bCs w:val="1"/>
                <w:color w:val="auto"/>
              </w:rPr>
              <w:t>3 Months Ended September 30,</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Reclassified</w:t>
            </w:r>
          </w:p>
        </w:tc>
        <w:tc>
          <w:tcPr>
            <w:tcW w:w="80" w:type="dxa"/>
            <w:vAlign w:val="bottom"/>
          </w:tcPr>
          <w:p>
            <w:pPr>
              <w:spacing w:after="0"/>
              <w:rPr>
                <w:sz w:val="20"/>
                <w:szCs w:val="20"/>
                <w:color w:val="auto"/>
              </w:rPr>
            </w:pPr>
          </w:p>
        </w:tc>
        <w:tc>
          <w:tcPr>
            <w:tcW w:w="31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3 Months Ended September 30,</w:t>
            </w:r>
          </w:p>
        </w:tc>
      </w:tr>
      <w:tr>
        <w:trPr>
          <w:trHeight w:val="223"/>
        </w:trPr>
        <w:tc>
          <w:tcPr>
            <w:tcW w:w="22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Instrument</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top w:val="single" w:sz="8" w:color="auto"/>
            </w:tcBorders>
          </w:tcPr>
          <w:p>
            <w:pPr>
              <w:spacing w:after="0"/>
              <w:rPr>
                <w:sz w:val="19"/>
                <w:szCs w:val="19"/>
                <w:color w:val="auto"/>
              </w:rPr>
            </w:pPr>
          </w:p>
        </w:tc>
      </w:tr>
      <w:tr>
        <w:trPr>
          <w:trHeight w:val="209"/>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r>
      <w:tr>
        <w:trPr>
          <w:trHeight w:val="230"/>
        </w:trPr>
        <w:tc>
          <w:tcPr>
            <w:tcW w:w="2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(income), net</w:t>
            </w: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r>
      <w:tr>
        <w:trPr>
          <w:trHeight w:val="441"/>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8"/>
              </w:rPr>
              <w:t>(Loss) Gain Reclassified</w:t>
            </w:r>
          </w:p>
        </w:tc>
        <w:tc>
          <w:tcPr>
            <w:tcW w:w="540" w:type="dxa"/>
            <w:vAlign w:val="bottom"/>
          </w:tcPr>
          <w:p>
            <w:pPr>
              <w:spacing w:after="0"/>
              <w:rPr>
                <w:sz w:val="24"/>
                <w:szCs w:val="24"/>
                <w:color w:val="auto"/>
              </w:rPr>
            </w:pP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80"/>
              <w:spacing w:after="0"/>
              <w:rPr>
                <w:sz w:val="20"/>
                <w:szCs w:val="20"/>
                <w:color w:val="auto"/>
              </w:rPr>
            </w:pPr>
            <w:r>
              <w:rPr>
                <w:rFonts w:ascii="Arial" w:cs="Arial" w:eastAsia="Arial" w:hAnsi="Arial"/>
                <w:sz w:val="18"/>
                <w:szCs w:val="18"/>
                <w:b w:val="1"/>
                <w:bCs w:val="1"/>
                <w:color w:val="auto"/>
              </w:rPr>
              <w:t>(Loss) Gain Recognized in OCI</w:t>
            </w: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4"/>
              </w:rPr>
              <w:t>from AOCI into Income</w:t>
            </w:r>
          </w:p>
        </w:tc>
        <w:tc>
          <w:tcPr>
            <w:tcW w:w="540" w:type="dxa"/>
            <w:vAlign w:val="bottom"/>
          </w:tcPr>
          <w:p>
            <w:pPr>
              <w:spacing w:after="0"/>
              <w:rPr>
                <w:sz w:val="20"/>
                <w:szCs w:val="20"/>
                <w:color w:val="auto"/>
              </w:rPr>
            </w:pPr>
          </w:p>
        </w:tc>
      </w:tr>
      <w:tr>
        <w:trPr>
          <w:trHeight w:val="205"/>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Location of (Loss) Gain</w:t>
            </w: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80"/>
              <w:spacing w:after="0"/>
              <w:rPr>
                <w:sz w:val="20"/>
                <w:szCs w:val="20"/>
                <w:color w:val="auto"/>
              </w:rPr>
            </w:pPr>
            <w:r>
              <w:rPr>
                <w:rFonts w:ascii="Arial" w:cs="Arial" w:eastAsia="Arial" w:hAnsi="Arial"/>
                <w:sz w:val="18"/>
                <w:szCs w:val="18"/>
                <w:b w:val="1"/>
                <w:bCs w:val="1"/>
                <w:color w:val="auto"/>
              </w:rPr>
              <w:t>9 Months Ended September 30,</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Reclassified</w:t>
            </w:r>
          </w:p>
        </w:tc>
        <w:tc>
          <w:tcPr>
            <w:tcW w:w="80" w:type="dxa"/>
            <w:vAlign w:val="bottom"/>
          </w:tcPr>
          <w:p>
            <w:pPr>
              <w:spacing w:after="0"/>
              <w:rPr>
                <w:sz w:val="20"/>
                <w:szCs w:val="20"/>
                <w:color w:val="auto"/>
              </w:rPr>
            </w:pPr>
          </w:p>
        </w:tc>
        <w:tc>
          <w:tcPr>
            <w:tcW w:w="31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9 Months Ended September 30,</w:t>
            </w:r>
          </w:p>
        </w:tc>
      </w:tr>
      <w:tr>
        <w:trPr>
          <w:trHeight w:val="223"/>
        </w:trPr>
        <w:tc>
          <w:tcPr>
            <w:tcW w:w="22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Instrument</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top w:val="single" w:sz="8" w:color="auto"/>
            </w:tcBorders>
          </w:tcPr>
          <w:p>
            <w:pPr>
              <w:spacing w:after="0"/>
              <w:rPr>
                <w:sz w:val="19"/>
                <w:szCs w:val="19"/>
                <w:color w:val="auto"/>
              </w:rPr>
            </w:pPr>
          </w:p>
        </w:tc>
      </w:tr>
      <w:tr>
        <w:trPr>
          <w:trHeight w:val="209"/>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r>
      <w:tr>
        <w:trPr>
          <w:trHeight w:val="230"/>
        </w:trPr>
        <w:tc>
          <w:tcPr>
            <w:tcW w:w="2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(income), net</w:t>
            </w: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expect the net amount of pre-tax derivative gains included in AOCI at September 30, 2020 to be reclassified into earnings within the next 12 months will not be significant. The actual amount that will be reclassified to earnings over the next 12 months will vary due to future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ind w:right="20"/>
        <w:spacing w:after="0" w:line="296" w:lineRule="auto"/>
        <w:rPr>
          <w:sz w:val="20"/>
          <w:szCs w:val="20"/>
          <w:color w:val="auto"/>
        </w:rPr>
      </w:pPr>
      <w:r>
        <w:rPr>
          <w:rFonts w:ascii="Arial" w:cs="Arial" w:eastAsia="Arial" w:hAnsi="Arial"/>
          <w:sz w:val="16"/>
          <w:szCs w:val="16"/>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nine months ended September 30, 2020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9"/>
              </w:rPr>
              <w:t>Amount of Gain Recognized in Income</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Instrument</w:t>
            </w:r>
          </w:p>
        </w:tc>
        <w:tc>
          <w:tcPr>
            <w:tcW w:w="8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Recognized in Income</w:t>
            </w:r>
          </w:p>
        </w:tc>
        <w:tc>
          <w:tcPr>
            <w:tcW w:w="60" w:type="dxa"/>
            <w:vAlign w:val="bottom"/>
          </w:tcPr>
          <w:p>
            <w:pPr>
              <w:spacing w:after="0"/>
              <w:rPr>
                <w:sz w:val="19"/>
                <w:szCs w:val="19"/>
                <w:color w:val="auto"/>
              </w:rPr>
            </w:pPr>
          </w:p>
        </w:tc>
        <w:tc>
          <w:tcPr>
            <w:tcW w:w="2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3 Months Ended September 30,</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2"/>
              </w:rPr>
              <w:t>9 Months Ended September 30,</w:t>
            </w:r>
          </w:p>
        </w:tc>
      </w:tr>
      <w:tr>
        <w:trPr>
          <w:trHeight w:val="223"/>
        </w:trPr>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9"/>
        </w:trPr>
        <w:tc>
          <w:tcPr>
            <w:tcW w:w="2700" w:type="dxa"/>
            <w:vAlign w:val="bottom"/>
            <w:tcBorders>
              <w:top w:val="single" w:sz="8" w:color="CFF0FC"/>
            </w:tcBorders>
            <w:shd w:val="clear" w:color="auto" w:fill="CFF0FC"/>
          </w:tcPr>
          <w:p>
            <w:pPr>
              <w:spacing w:after="0"/>
              <w:rPr>
                <w:sz w:val="18"/>
                <w:szCs w:val="18"/>
                <w:color w:val="auto"/>
              </w:rPr>
            </w:pPr>
          </w:p>
        </w:tc>
        <w:tc>
          <w:tcPr>
            <w:tcW w:w="2600" w:type="dxa"/>
            <w:vAlign w:val="bottom"/>
            <w:tcBorders>
              <w:top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w w:val="96"/>
              </w:rPr>
              <w:t>Foreign currency forward contracts</w:t>
            </w:r>
          </w:p>
        </w:tc>
        <w:tc>
          <w:tcPr>
            <w:tcW w:w="26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(income), net</w:t>
            </w:r>
          </w:p>
        </w:tc>
        <w:tc>
          <w:tcPr>
            <w:tcW w:w="112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FF0FC"/>
          </w:tcPr>
          <w:p>
            <w:pPr>
              <w:jc w:val="right"/>
              <w:ind w:right="106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5"/>
              </w:rPr>
              <w:t>4.6</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13.8</w:t>
            </w:r>
          </w:p>
        </w:tc>
      </w:tr>
    </w:tbl>
    <w:p>
      <w:pPr>
        <w:spacing w:after="0" w:line="20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September 30, 2020 and December 31,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123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8"/>
        </w:trPr>
        <w:tc>
          <w:tcPr>
            <w:tcW w:w="4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08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Balance Sheet Location</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cash flow hedges:</w:t>
            </w:r>
          </w:p>
        </w:tc>
        <w:tc>
          <w:tcPr>
            <w:tcW w:w="8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520" w:type="dxa"/>
            <w:vAlign w:val="bottom"/>
            <w:gridSpan w:val="2"/>
          </w:tcPr>
          <w:p>
            <w:pPr>
              <w:ind w:left="880"/>
              <w:spacing w:after="0"/>
              <w:rPr>
                <w:sz w:val="20"/>
                <w:szCs w:val="20"/>
                <w:color w:val="auto"/>
              </w:rPr>
            </w:pPr>
            <w:r>
              <w:rPr>
                <w:rFonts w:ascii="Arial" w:cs="Arial" w:eastAsia="Arial" w:hAnsi="Arial"/>
                <w:sz w:val="18"/>
                <w:szCs w:val="18"/>
                <w:color w:val="auto"/>
                <w:w w:val="92"/>
              </w:rPr>
              <w:t>Prepaid expenses and other assets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23"/>
        </w:trPr>
        <w:tc>
          <w:tcPr>
            <w:tcW w:w="40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instruments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6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r>
      <w:tr>
        <w:trPr>
          <w:trHeight w:val="20"/>
        </w:trPr>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1040"/>
              <w:spacing w:after="0"/>
              <w:rPr>
                <w:sz w:val="20"/>
                <w:szCs w:val="20"/>
                <w:color w:val="auto"/>
              </w:rPr>
            </w:pPr>
            <w:r>
              <w:rPr>
                <w:rFonts w:ascii="Arial" w:cs="Arial" w:eastAsia="Arial" w:hAnsi="Arial"/>
                <w:sz w:val="18"/>
                <w:szCs w:val="18"/>
                <w:b w:val="1"/>
                <w:bCs w:val="1"/>
                <w:color w:val="auto"/>
                <w:w w:val="93"/>
              </w:rPr>
              <w:t>Liabilities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18"/>
        </w:trPr>
        <w:tc>
          <w:tcPr>
            <w:tcW w:w="4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32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24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5"/>
              </w:rPr>
              <w:t>Balance Sheet Location</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net investment hedges:</w:t>
            </w:r>
          </w:p>
        </w:tc>
        <w:tc>
          <w:tcPr>
            <w:tcW w:w="78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3260" w:type="dxa"/>
            <w:vAlign w:val="bottom"/>
            <w:gridSpan w:val="2"/>
          </w:tcPr>
          <w:p>
            <w:pPr>
              <w:ind w:left="780"/>
              <w:spacing w:after="0"/>
              <w:rPr>
                <w:sz w:val="20"/>
                <w:szCs w:val="20"/>
                <w:color w:val="auto"/>
              </w:rPr>
            </w:pPr>
            <w:r>
              <w:rPr>
                <w:rFonts w:ascii="Arial" w:cs="Arial" w:eastAsia="Arial" w:hAnsi="Arial"/>
                <w:sz w:val="18"/>
                <w:szCs w:val="18"/>
                <w:color w:val="auto"/>
              </w:rPr>
              <w:t>Long-term debt</w:t>
            </w:r>
          </w:p>
        </w:tc>
        <w:tc>
          <w:tcPr>
            <w:tcW w:w="600" w:type="dxa"/>
            <w:vAlign w:val="bottom"/>
            <w:gridSpan w:val="3"/>
          </w:tcPr>
          <w:p>
            <w:pPr>
              <w:jc w:val="center"/>
              <w:ind w:left="3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1,049.6</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1,002.9</w:t>
            </w: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Cross-currency swaps</w:t>
            </w:r>
          </w:p>
        </w:tc>
        <w:tc>
          <w:tcPr>
            <w:tcW w:w="32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23"/>
        </w:trPr>
        <w:tc>
          <w:tcPr>
            <w:tcW w:w="4320" w:type="dxa"/>
            <w:vAlign w:val="bottom"/>
          </w:tcPr>
          <w:p>
            <w:pPr>
              <w:ind w:left="380"/>
              <w:spacing w:after="0"/>
              <w:rPr>
                <w:sz w:val="20"/>
                <w:szCs w:val="20"/>
                <w:color w:val="auto"/>
              </w:rPr>
            </w:pPr>
            <w:r>
              <w:rPr>
                <w:rFonts w:ascii="Arial" w:cs="Arial" w:eastAsia="Arial" w:hAnsi="Arial"/>
                <w:sz w:val="18"/>
                <w:szCs w:val="18"/>
                <w:color w:val="auto"/>
              </w:rPr>
              <w:t>Total instruments</w:t>
            </w:r>
          </w:p>
        </w:tc>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1,065.7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1,008.9</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$1,092.8 and $1,062.5 as of September 30, 2020 and December 31, 2019, respectively, compared to a carrying value of $1,049.6 and $1,002.9, respectively.</w:t>
      </w:r>
    </w:p>
    <w:p>
      <w:pPr>
        <w:spacing w:after="0" w:line="1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deferred compensation plan assets were $109.7 and $107.3 as of September 30, 2020 and December 31, 2019 respectively. We determine the fair value of these assets, comprised of publicly traded securities, by using market quotes as of the last day of the period (Level 1 inputs).</w:t>
      </w:r>
    </w:p>
    <w:p>
      <w:pPr>
        <w:spacing w:after="0" w:line="1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color w:val="auto"/>
              </w:rPr>
              <w:t>(14) Leases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20" w:type="dxa"/>
            <w:vAlign w:val="bottom"/>
            <w:gridSpan w:val="3"/>
          </w:tcPr>
          <w:p>
            <w:pPr>
              <w:spacing w:after="0"/>
              <w:rPr>
                <w:sz w:val="20"/>
                <w:szCs w:val="20"/>
                <w:color w:val="auto"/>
              </w:rPr>
            </w:pPr>
            <w:r>
              <w:rPr>
                <w:rFonts w:ascii="Arial" w:cs="Arial" w:eastAsia="Arial" w:hAnsi="Arial"/>
                <w:sz w:val="18"/>
                <w:szCs w:val="18"/>
                <w:color w:val="auto"/>
              </w:rPr>
              <w:t>The components of lease expense were as follows:</w:t>
            </w:r>
          </w:p>
        </w:tc>
        <w:tc>
          <w:tcPr>
            <w:tcW w:w="3360" w:type="dxa"/>
            <w:vAlign w:val="bottom"/>
            <w:gridSpan w:val="6"/>
            <w:vMerge w:val="restart"/>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4"/>
                <w:szCs w:val="24"/>
                <w:color w:val="auto"/>
              </w:rPr>
            </w:pPr>
          </w:p>
        </w:tc>
        <w:tc>
          <w:tcPr>
            <w:tcW w:w="3040" w:type="dxa"/>
            <w:vAlign w:val="bottom"/>
            <w:gridSpan w:val="4"/>
            <w:vMerge w:val="restart"/>
          </w:tcPr>
          <w:p>
            <w:pPr>
              <w:jc w:val="right"/>
              <w:ind w:right="410"/>
              <w:spacing w:after="0"/>
              <w:rPr>
                <w:sz w:val="20"/>
                <w:szCs w:val="20"/>
                <w:color w:val="auto"/>
              </w:rPr>
            </w:pPr>
            <w:r>
              <w:rPr>
                <w:rFonts w:ascii="Arial" w:cs="Arial" w:eastAsia="Arial" w:hAnsi="Arial"/>
                <w:sz w:val="18"/>
                <w:szCs w:val="18"/>
                <w:b w:val="1"/>
                <w:bCs w:val="1"/>
                <w:color w:val="auto"/>
                <w:w w:val="94"/>
              </w:rPr>
              <w:t>9 Months Ended September 30,</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360" w:type="dxa"/>
            <w:vAlign w:val="bottom"/>
            <w:gridSpan w:val="6"/>
            <w:vMerge w:val="continue"/>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37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9"/>
        </w:trPr>
        <w:tc>
          <w:tcPr>
            <w:tcW w:w="4620" w:type="dxa"/>
            <w:vAlign w:val="bottom"/>
            <w:gridSpan w:val="3"/>
          </w:tcPr>
          <w:p>
            <w:pPr>
              <w:spacing w:after="0"/>
              <w:rPr>
                <w:sz w:val="20"/>
                <w:szCs w:val="20"/>
                <w:color w:val="auto"/>
              </w:rPr>
            </w:pPr>
            <w:r>
              <w:rPr>
                <w:rFonts w:ascii="Arial" w:cs="Arial" w:eastAsia="Arial" w:hAnsi="Arial"/>
                <w:sz w:val="18"/>
                <w:szCs w:val="18"/>
                <w:color w:val="auto"/>
              </w:rPr>
              <w:t>Short-term lease expense</w:t>
            </w:r>
          </w:p>
        </w:tc>
        <w:tc>
          <w:tcPr>
            <w:tcW w:w="10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lease expense</w:t>
            </w:r>
            <w:r>
              <w:rPr>
                <w:rFonts w:ascii="Arial" w:cs="Arial" w:eastAsia="Arial" w:hAnsi="Arial"/>
                <w:sz w:val="15"/>
                <w:szCs w:val="15"/>
                <w:color w:val="auto"/>
              </w:rPr>
              <w:t>(1)</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4620" w:type="dxa"/>
            <w:vAlign w:val="bottom"/>
            <w:gridSpan w:val="3"/>
          </w:tcPr>
          <w:p>
            <w:pPr>
              <w:ind w:left="260"/>
              <w:spacing w:after="0"/>
              <w:rPr>
                <w:sz w:val="20"/>
                <w:szCs w:val="20"/>
                <w:color w:val="auto"/>
              </w:rPr>
            </w:pPr>
            <w:r>
              <w:rPr>
                <w:rFonts w:ascii="Arial" w:cs="Arial" w:eastAsia="Arial" w:hAnsi="Arial"/>
                <w:sz w:val="18"/>
                <w:szCs w:val="18"/>
                <w:color w:val="auto"/>
              </w:rPr>
              <w:t>Total lease expense</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540" w:right="5460" w:hanging="5532"/>
        <w:spacing w:after="0" w:line="460" w:lineRule="auto"/>
        <w:tabs>
          <w:tab w:leader="none" w:pos="473" w:val="left"/>
        </w:tabs>
        <w:numPr>
          <w:ilvl w:val="0"/>
          <w:numId w:val="17"/>
        </w:numPr>
        <w:rPr>
          <w:rFonts w:ascii="Arial" w:cs="Arial" w:eastAsia="Arial" w:hAnsi="Arial"/>
          <w:sz w:val="15"/>
          <w:szCs w:val="15"/>
          <w:color w:val="auto"/>
        </w:rPr>
      </w:pPr>
      <w:r>
        <w:rPr>
          <w:rFonts w:ascii="Arial" w:cs="Arial" w:eastAsia="Arial" w:hAnsi="Arial"/>
          <w:sz w:val="15"/>
          <w:szCs w:val="15"/>
          <w:color w:val="auto"/>
        </w:rPr>
        <w:t>Other lease expense includes variable lease expense and sublease income.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710"/>
              <w:spacing w:after="0"/>
              <w:rPr>
                <w:sz w:val="20"/>
                <w:szCs w:val="20"/>
                <w:color w:val="auto"/>
              </w:rPr>
            </w:pPr>
            <w:r>
              <w:rPr>
                <w:rFonts w:ascii="Arial" w:cs="Arial" w:eastAsia="Arial" w:hAnsi="Arial"/>
                <w:sz w:val="18"/>
                <w:szCs w:val="18"/>
                <w:b w:val="1"/>
                <w:bCs w:val="1"/>
                <w:color w:val="auto"/>
                <w:w w:val="95"/>
              </w:rPr>
              <w:t>9 Months Ended September 30,</w:t>
            </w:r>
          </w:p>
        </w:tc>
      </w:tr>
      <w:tr>
        <w:trPr>
          <w:trHeight w:val="22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109.7</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88.8</w:t>
            </w:r>
          </w:p>
        </w:tc>
      </w:tr>
      <w:tr>
        <w:trPr>
          <w:trHeight w:val="359"/>
        </w:trPr>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5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assets</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407.9</w:t>
            </w:r>
          </w:p>
        </w:tc>
        <w:tc>
          <w:tcPr>
            <w:tcW w:w="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448.5</w:t>
            </w:r>
          </w:p>
        </w:tc>
      </w:tr>
      <w:tr>
        <w:trPr>
          <w:trHeight w:val="223"/>
        </w:trPr>
        <w:tc>
          <w:tcPr>
            <w:tcW w:w="6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15"/>
                <w:szCs w:val="15"/>
                <w:color w:val="auto"/>
              </w:rPr>
              <w:t>(1)</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115.2</w:t>
            </w:r>
          </w:p>
        </w:tc>
        <w:tc>
          <w:tcPr>
            <w:tcW w:w="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122.1</w:t>
            </w:r>
          </w:p>
        </w:tc>
      </w:tr>
      <w:tr>
        <w:trPr>
          <w:trHeight w:val="229"/>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 long-term</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318.8</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336.7</w:t>
            </w:r>
          </w:p>
        </w:tc>
      </w:tr>
      <w:tr>
        <w:trPr>
          <w:trHeight w:val="223"/>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1140" w:type="dxa"/>
            <w:vAlign w:val="bottom"/>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434.0</w:t>
            </w:r>
          </w:p>
        </w:tc>
        <w:tc>
          <w:tcPr>
            <w:tcW w:w="80" w:type="dxa"/>
            <w:vAlign w:val="bottom"/>
            <w:tcBorders>
              <w:bottom w:val="single" w:sz="8" w:color="auto"/>
            </w:tcBorders>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458.8</w:t>
            </w:r>
          </w:p>
        </w:tc>
      </w:tr>
    </w:tbl>
    <w:p>
      <w:pPr>
        <w:spacing w:after="0" w:line="4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lease liabilities - current are included in accrued expenses on our Consolidated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29"/>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5.4 years</w:t>
            </w:r>
          </w:p>
        </w:tc>
      </w:tr>
      <w:tr>
        <w:trPr>
          <w:trHeight w:val="229"/>
        </w:trPr>
        <w:tc>
          <w:tcPr>
            <w:tcW w:w="880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2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485"/>
        </w:trPr>
        <w:tc>
          <w:tcPr>
            <w:tcW w:w="8800" w:type="dxa"/>
            <w:vAlign w:val="bottom"/>
          </w:tcPr>
          <w:p>
            <w:pPr>
              <w:spacing w:after="0"/>
              <w:rPr>
                <w:sz w:val="20"/>
                <w:szCs w:val="20"/>
                <w:color w:val="auto"/>
              </w:rPr>
            </w:pPr>
            <w:r>
              <w:rPr>
                <w:rFonts w:ascii="Arial" w:cs="Arial" w:eastAsia="Arial" w:hAnsi="Arial"/>
                <w:sz w:val="18"/>
                <w:szCs w:val="18"/>
                <w:color w:val="auto"/>
              </w:rPr>
              <w:t>Maturities of operating lease liabilities as of September 30, 2020 were as follows:</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Period Ending September 30, 2020</w:t>
            </w:r>
          </w:p>
        </w:tc>
        <w:tc>
          <w:tcPr>
            <w:tcW w:w="280" w:type="dxa"/>
            <w:vAlign w:val="bottom"/>
          </w:tcPr>
          <w:p>
            <w:pPr>
              <w:spacing w:after="0"/>
              <w:rPr>
                <w:sz w:val="19"/>
                <w:szCs w:val="19"/>
                <w:color w:val="auto"/>
              </w:rPr>
            </w:pPr>
          </w:p>
        </w:tc>
        <w:tc>
          <w:tcPr>
            <w:tcW w:w="2160" w:type="dxa"/>
            <w:vAlign w:val="bottom"/>
          </w:tcPr>
          <w:p>
            <w:pPr>
              <w:jc w:val="right"/>
              <w:ind w:right="530"/>
              <w:spacing w:after="0"/>
              <w:rPr>
                <w:sz w:val="20"/>
                <w:szCs w:val="20"/>
                <w:color w:val="auto"/>
              </w:rPr>
            </w:pPr>
            <w:r>
              <w:rPr>
                <w:rFonts w:ascii="Arial" w:cs="Arial" w:eastAsia="Arial" w:hAnsi="Arial"/>
                <w:sz w:val="18"/>
                <w:szCs w:val="18"/>
                <w:b w:val="1"/>
                <w:bCs w:val="1"/>
                <w:color w:val="auto"/>
              </w:rPr>
              <w:t>Operating Leases</w:t>
            </w:r>
          </w:p>
        </w:tc>
      </w:tr>
      <w:tr>
        <w:trPr>
          <w:trHeight w:val="229"/>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35.0</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118.0</w:t>
            </w: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91.8</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68.8</w:t>
            </w:r>
          </w:p>
        </w:tc>
      </w:tr>
      <w:tr>
        <w:trPr>
          <w:trHeight w:val="229"/>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49.3</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31.8</w:t>
            </w:r>
          </w:p>
        </w:tc>
      </w:tr>
      <w:tr>
        <w:trPr>
          <w:trHeight w:val="230"/>
        </w:trPr>
        <w:tc>
          <w:tcPr>
            <w:tcW w:w="8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77.9</w:t>
            </w:r>
          </w:p>
        </w:tc>
      </w:tr>
      <w:tr>
        <w:trPr>
          <w:trHeight w:val="223"/>
        </w:trPr>
        <w:tc>
          <w:tcPr>
            <w:tcW w:w="8800" w:type="dxa"/>
            <w:vAlign w:val="bottom"/>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472.6</w:t>
            </w:r>
          </w:p>
        </w:tc>
      </w:tr>
      <w:tr>
        <w:trPr>
          <w:trHeight w:val="230"/>
        </w:trPr>
        <w:tc>
          <w:tcPr>
            <w:tcW w:w="8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880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434.0</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January 1,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14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ind w:right="360"/>
        <w:spacing w:after="0" w:line="258" w:lineRule="auto"/>
        <w:rPr>
          <w:sz w:val="20"/>
          <w:szCs w:val="20"/>
          <w:color w:val="auto"/>
        </w:rPr>
      </w:pPr>
      <w:r>
        <w:rPr>
          <w:rFonts w:ascii="Arial" w:cs="Arial" w:eastAsia="Arial" w:hAnsi="Arial"/>
          <w:sz w:val="18"/>
          <w:szCs w:val="18"/>
          <w:color w:val="auto"/>
        </w:rPr>
        <w:t>a wide variety of clients, none of which individually comprise a significant portion of revenues for us as a whole. Due to the nature of our business, we generally do not have export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4"/>
              </w:rPr>
              <w:t>3 Months Ended September 30,</w:t>
            </w:r>
          </w:p>
        </w:tc>
        <w:tc>
          <w:tcPr>
            <w:tcW w:w="60" w:type="dxa"/>
            <w:vAlign w:val="bottom"/>
          </w:tcPr>
          <w:p>
            <w:pPr>
              <w:spacing w:after="0"/>
              <w:rPr>
                <w:sz w:val="19"/>
                <w:szCs w:val="19"/>
                <w:color w:val="auto"/>
              </w:rPr>
            </w:pPr>
          </w:p>
        </w:tc>
        <w:tc>
          <w:tcPr>
            <w:tcW w:w="25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5"/>
              </w:rPr>
              <w:t>9 Months Ended September 30,</w:t>
            </w:r>
          </w:p>
        </w:tc>
      </w:tr>
      <w:tr>
        <w:trPr>
          <w:trHeight w:val="223"/>
        </w:trPr>
        <w:tc>
          <w:tcPr>
            <w:tcW w:w="450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Americas: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(a)</w:t>
            </w:r>
          </w:p>
        </w:tc>
        <w:tc>
          <w:tcPr>
            <w:tcW w:w="178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578.8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666.4</w:t>
            </w: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1,705.6</w:t>
            </w: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1,942.3</w:t>
            </w:r>
          </w:p>
        </w:tc>
      </w:tr>
      <w:tr>
        <w:trPr>
          <w:trHeight w:val="230"/>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428.1</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1,071.1</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1,250.6</w:t>
            </w:r>
          </w:p>
        </w:tc>
      </w:tr>
      <w:tr>
        <w:trPr>
          <w:trHeight w:val="223"/>
        </w:trPr>
        <w:tc>
          <w:tcPr>
            <w:tcW w:w="45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929.1</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1,094.5</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2,776.7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3,192.9</w:t>
            </w:r>
          </w:p>
        </w:tc>
      </w:tr>
      <w:tr>
        <w:trPr>
          <w:trHeight w:val="223"/>
        </w:trPr>
        <w:tc>
          <w:tcPr>
            <w:tcW w:w="450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1,386.4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3,035.1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4,117.8</w:t>
            </w: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Italy</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376.9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947.4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1,127.7</w:t>
            </w:r>
          </w:p>
        </w:tc>
      </w:tr>
      <w:tr>
        <w:trPr>
          <w:trHeight w:val="229"/>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555.9</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594.5</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1,545.4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1,615.4</w:t>
            </w:r>
          </w:p>
        </w:tc>
      </w:tr>
      <w:tr>
        <w:trPr>
          <w:trHeight w:val="223"/>
        </w:trPr>
        <w:tc>
          <w:tcPr>
            <w:tcW w:w="450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2,112.4</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2,357.8</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5,527.9</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6,860.9</w:t>
            </w:r>
          </w:p>
        </w:tc>
      </w:tr>
      <w:tr>
        <w:trPr>
          <w:trHeight w:val="223"/>
        </w:trPr>
        <w:tc>
          <w:tcPr>
            <w:tcW w:w="45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4500" w:type="dxa"/>
            <w:vAlign w:val="bottom"/>
          </w:tcPr>
          <w:p>
            <w:pPr>
              <w:ind w:left="260"/>
              <w:spacing w:after="0"/>
              <w:rPr>
                <w:sz w:val="20"/>
                <w:szCs w:val="20"/>
                <w:color w:val="auto"/>
              </w:rPr>
            </w:pPr>
            <w:r>
              <w:rPr>
                <w:rFonts w:ascii="Arial" w:cs="Arial" w:eastAsia="Arial" w:hAnsi="Arial"/>
                <w:sz w:val="18"/>
                <w:szCs w:val="18"/>
                <w:color w:val="auto"/>
              </w:rPr>
              <w:t>Northern Europe</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1,166.8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2,881.9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3,561.4</w:t>
            </w: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APME</w:t>
            </w: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595.6</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629.8</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1,759.6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2,051.7</w:t>
            </w:r>
          </w:p>
        </w:tc>
      </w:tr>
      <w:tr>
        <w:trPr>
          <w:trHeight w:val="263"/>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Consolidated (b)</w:t>
            </w:r>
          </w:p>
        </w:tc>
        <w:tc>
          <w:tcPr>
            <w:tcW w:w="15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4,584.8</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5,248.9</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12,946.1</w:t>
            </w: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15,666.9</w:t>
            </w:r>
          </w:p>
        </w:tc>
      </w:tr>
      <w:tr>
        <w:trPr>
          <w:trHeight w:val="210"/>
        </w:trPr>
        <w:tc>
          <w:tcPr>
            <w:tcW w:w="45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Operating unit profit (loss): (c)</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Americas: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450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78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94.1</w:t>
            </w: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Americas</w:t>
            </w: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52.5</w:t>
            </w:r>
          </w:p>
        </w:tc>
      </w:tr>
      <w:tr>
        <w:trPr>
          <w:trHeight w:val="223"/>
        </w:trPr>
        <w:tc>
          <w:tcPr>
            <w:tcW w:w="450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59.3</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146.6</w:t>
            </w:r>
          </w:p>
        </w:tc>
      </w:tr>
      <w:tr>
        <w:trPr>
          <w:trHeight w:val="223"/>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Southern Europe:</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France</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201.3</w:t>
            </w: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Italy</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73.4</w:t>
            </w:r>
          </w:p>
        </w:tc>
      </w:tr>
      <w:tr>
        <w:trPr>
          <w:trHeight w:val="229"/>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Southern Europe</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r>
      <w:tr>
        <w:trPr>
          <w:trHeight w:val="223"/>
        </w:trPr>
        <w:tc>
          <w:tcPr>
            <w:tcW w:w="45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116.4</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326.6</w:t>
            </w:r>
          </w:p>
        </w:tc>
      </w:tr>
      <w:tr>
        <w:trPr>
          <w:trHeight w:val="223"/>
        </w:trPr>
        <w:tc>
          <w:tcPr>
            <w:tcW w:w="4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50.3</w:t>
            </w: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APME</w:t>
            </w:r>
          </w:p>
        </w:tc>
        <w:tc>
          <w:tcPr>
            <w:tcW w:w="1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54.9</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105.2</w:t>
            </w:r>
          </w:p>
        </w:tc>
      </w:tr>
      <w:tr>
        <w:trPr>
          <w:trHeight w:val="223"/>
        </w:trPr>
        <w:tc>
          <w:tcPr>
            <w:tcW w:w="450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253.4</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219.8</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628.7</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4500" w:type="dxa"/>
            <w:vAlign w:val="bottom"/>
          </w:tcPr>
          <w:p>
            <w:pPr>
              <w:ind w:left="380"/>
              <w:spacing w:after="0"/>
              <w:rPr>
                <w:sz w:val="20"/>
                <w:szCs w:val="20"/>
                <w:color w:val="auto"/>
              </w:rPr>
            </w:pPr>
            <w:r>
              <w:rPr>
                <w:rFonts w:ascii="Arial" w:cs="Arial" w:eastAsia="Arial" w:hAnsi="Arial"/>
                <w:sz w:val="18"/>
                <w:szCs w:val="18"/>
                <w:color w:val="auto"/>
              </w:rPr>
              <w:t>Operating profit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217.0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453.3</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(expenses) income, net</w:t>
            </w: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46.1</w:t>
            </w:r>
          </w:p>
        </w:tc>
      </w:tr>
      <w:tr>
        <w:trPr>
          <w:trHeight w:val="223"/>
        </w:trPr>
        <w:tc>
          <w:tcPr>
            <w:tcW w:w="4500" w:type="dxa"/>
            <w:vAlign w:val="bottom"/>
          </w:tcPr>
          <w:p>
            <w:pPr>
              <w:ind w:left="380"/>
              <w:spacing w:after="0"/>
              <w:rPr>
                <w:sz w:val="20"/>
                <w:szCs w:val="20"/>
                <w:color w:val="auto"/>
              </w:rPr>
            </w:pPr>
            <w:r>
              <w:rPr>
                <w:rFonts w:ascii="Arial" w:cs="Arial" w:eastAsia="Arial" w:hAnsi="Arial"/>
                <w:sz w:val="18"/>
                <w:szCs w:val="18"/>
                <w:color w:val="auto"/>
              </w:rPr>
              <w:t>Earnings before income taxes</w:t>
            </w:r>
          </w:p>
        </w:tc>
        <w:tc>
          <w:tcPr>
            <w:tcW w:w="15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204.8</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499.4</w:t>
            </w:r>
          </w:p>
        </w:tc>
      </w:tr>
      <w:tr>
        <w:trPr>
          <w:trHeight w:val="20"/>
        </w:trPr>
        <w:tc>
          <w:tcPr>
            <w:tcW w:w="4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60" w:right="20" w:hanging="452"/>
        <w:spacing w:after="0" w:line="30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included fees received from the related franchise offices of $3.4 and $3.5 for the three months ended September 30, 2020 and 2019, respectively, and $8.8 and $10.8 for the nine months ended September 30, 2020 and 2019, respectively. These fees are primarily based on revenues generated by the franchise offices, which were $116.9 and $151.6 for the three months ended September 30, 2020 and 2019, respectively, and $315.7 and $462.8 for the nine months ended September 30, 2020 and 2019, respectively.</w:t>
      </w:r>
    </w:p>
    <w:p>
      <w:pPr>
        <w:spacing w:after="0" w:line="35" w:lineRule="exact"/>
        <w:rPr>
          <w:rFonts w:ascii="Arial" w:cs="Arial" w:eastAsia="Arial" w:hAnsi="Arial"/>
          <w:sz w:val="16"/>
          <w:szCs w:val="16"/>
          <w:color w:val="auto"/>
        </w:rPr>
      </w:pPr>
    </w:p>
    <w:p>
      <w:pPr>
        <w:ind w:left="460" w:right="80" w:hanging="452"/>
        <w:spacing w:after="0" w:line="279"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$3.8 and $4.3 for the three months ended September 30, 2020 and 2019, respectively, and $9.9 and $14.0 for the nine months ended September 30, 2020 and 2019, respectively. These fees are primarily based on revenues generated by the franchise offices, which were $236.9 and $274.0 for the three months ended September 30, 2020 and 2019, respectively, and $447.3 and $680.2 for the nine months ended September 30, 2020 and 2019, respectively.</w:t>
      </w:r>
    </w:p>
    <w:p>
      <w:pPr>
        <w:spacing w:after="0" w:line="49" w:lineRule="exact"/>
        <w:rPr>
          <w:rFonts w:ascii="Arial" w:cs="Arial" w:eastAsia="Arial" w:hAnsi="Arial"/>
          <w:sz w:val="17"/>
          <w:szCs w:val="17"/>
          <w:color w:val="auto"/>
        </w:rPr>
      </w:pPr>
    </w:p>
    <w:p>
      <w:pPr>
        <w:ind w:left="460" w:right="180" w:hanging="452"/>
        <w:spacing w:after="0" w:line="28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the financial measures section on pages 37-38 for further information on the Non-GAAP financial measures of constant currency and organic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85"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w:t>
      </w:r>
    </w:p>
    <w:p>
      <w:pPr>
        <w:ind w:firstLine="8"/>
        <w:spacing w:after="0" w:line="285" w:lineRule="auto"/>
        <w:tabs>
          <w:tab w:leader="none" w:pos="1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 Factors in our annual report on Form 10-K for the year ended December 31, 2019 and in Part II, Item 1A. Risk Factors in our quarterly report on Form 10-Q for the quarter ended March 31, 2020, which information is incorporated herein by reference, provide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other similar expressions. Some or all of the factors identified in our annual report on Form 10-K and in Part II, Item 1A. - Risk Factors in our quarterly report on Form 10-Q for the quarter ended March 31, 2020, may be beyond our control. Other risks and uncertainties include, but are not limited to, the following: the financial and operational impacts of the COVID-19 pandemic and related economic conditions and the Company’s efforts to respond to such impacts, including the possibility that lockdown restrictions that were eased during the second quarter of 2020 in many countries may be reinstated if the spread of the coronavirus accelerates; changes in tax legislation in places we do business; challenges in operating our business in certain European markets;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19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we are generally able to improve our profitability and operating leverage as our cost base can support some increase in business without a similar increase in selling and administrative expenses. By contrast, during periods of decreased demand, as we experienced in the third quarter of 2020 when compared to the prior year, our operating profit is generally impacted unfavorably as we experience a deleveraging of selling and administrative expenses, which may not decline at the same pace as revenues.</w:t>
      </w:r>
    </w:p>
    <w:p>
      <w:pPr>
        <w:spacing w:after="0" w:line="12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third quarter results were negatively impacted by the COVID-19 crisis, with revenues declining 12.7% during the quarter. The pandemic reduced demand for our services across almost all of our operations. We believe we have seen some signs of a global recovery as the third quarter progressed with our results reflecting a stronger market environment. At the beginning of the quarter, it appeared the impact of the COVID-19 crisis was stabilizing in many parts of the world, and economies slowly reopened. However, as the quarter came to a close a number of countries started to see increased cases of COVID-19 that are leading to the implementation of new restrictions in an effort to mitigate the spread. Unlike the lockdowns and restrictions experienced earlier in the year, we do not anticipate the same country-wide lockdowns, but more targeted and localized restrictions. Continued uncertainty remains as to the future impact of the pandemic on global and local economies. The ultimate impact may depend on multiple factors which cannot be predicted, including public health conditions and the possibility of local and national governments enforcing new restrictions on commerce, which could have an adverse impact on our business, or, conversely the prospect of additional fiscal stimulus packages, which could be beneficial. What started as a sudden and swift slowdown of the global economies and labor markets is expected to take longer to recover around the world than we had initially contemplated. We currently anticipate a two-tiered recovery with certain industries recovering quicker in the near term and other industries continuing to be impacted in the medium- to long-term.</w:t>
      </w:r>
    </w:p>
    <w:p>
      <w:pPr>
        <w:spacing w:after="0" w:line="13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addition to the impact from COVID-19 discussed above, results for the quarter were impacted by currency. During the third quarter of 2020, the United States dollar was weaker, on average, relative to the currencies in all of our markets, except in Other Americas, which therefore had a favorable impact on our reported results and generally may overstate the performance of our underlying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60"/>
        <w:spacing w:after="0" w:line="257" w:lineRule="auto"/>
        <w:rPr>
          <w:sz w:val="20"/>
          <w:szCs w:val="20"/>
          <w:color w:val="auto"/>
        </w:rPr>
      </w:pPr>
      <w:r>
        <w:rPr>
          <w:rFonts w:ascii="Arial" w:cs="Arial" w:eastAsia="Arial" w:hAnsi="Arial"/>
          <w:sz w:val="18"/>
          <w:szCs w:val="18"/>
          <w:color w:val="auto"/>
        </w:rPr>
        <w:t>business. The changes in the foreign currency exchange rates had a 1.8% favorable impact on revenues from services and no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three months ended September 30, 2020, our businesses experienced improvement in year-over-year revenue trends from the second quarter reflecting a stronger market environment and early signs of a global recovery. Our consolidated revenues were down 14.5% year-over-year in constant currency in the quarter, an improvement from the 28.0% year-over-year constant currency decrease in the second quarter of 2020. After adjusting for billing days, our organic constant currency revenue year-over-year decrease was 14.9% in the third quarter of 2020 compared to a 26.6% decrease in the second quarter of 2020. Although the most dramatic revenue declines occurred in the second quarter, as European governments imposed states of emergency and related lockdowns, we continued to experience revenue declines during the third quarter on a year-over-year basis as regional economies remained at reduced activity levels as a result of COVID-19. We experienced a gradual improvement in the rates of decline throughout the third quarter of 2020 with monthly year-over-year revenue declines of 18% in July, 16% in August, and 9% in September. The progressive improvement in the rate of year-over-year revenue decline during the quarter reflects the continued increase in activity levels since the reopening of economies largely in May as governments in some of our largest countries lifted lock-down requirements.</w:t>
      </w:r>
    </w:p>
    <w:p>
      <w:pPr>
        <w:spacing w:after="0" w:line="14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experienced a 25.1% decrease (-26.9% in constant currency and -27.0% in organic constant currency) in our permanent recruitment business in the third quarter of 2020 compared to 2019 as a result of the COVID-19 crisis. On an overall basis, our Talent Solutions business, which includes Recruitment Process Outsourcing (RPO), TAPFIN - Managed Service Provider (MSP) and our Right Management offerings, experienced a decline in the quarter, which was driven by RPO activity. We experienced a sharp reduction in RPO activity as many client programs continued their hiring freezes initiated in the second quarter due to the COVID-19 crisis, although we did see improvement in the rate of year-over-year revenue decline from the second quarter. Our MSP business has been resilient during the crisis and experienced growth during the quarter as we assisted more clients to develop customized workforce solutions during the economic downturn. Our Right Management business experienced growth during the quarter driven by the increase demand for our career transition services.</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third quarter of 2020 compared to 2019, most of our markets experienced revenue declines due to the COVID-19 crisis. We experienced a revenue decrease in Southern Europe, mainly driven by revenue declines in France and Italy due to the continued impact from the crisis. We experienced a revenue decrease in Northern Europe due to the declines in all of our key markets as a result of the COVID-19 crisis. After adjusting for billing days, our organic constant currency decrease in the Americas was 13.0% driven by a decrease in the United States related to the COVID-19 crisis. After adjusting for billing days, revenues in constant currency decreased 5.4% in APME due to the COVID-19 crisis, partially offset by an increase in Japan due to an increase in demand for our staffing/interim revenues.</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gross profit margin in the third quarter of 2020 compared to 2019 decreased due to the decrease in our permanent recruitment business as a result of the COVID-19 crisis and the margin decrease in our Proservia managed services business. The decrease was also due the decline in our staffing/interim margins in the Americas and Northern Europe due to the higher mix of our lower-margin enterprise client business. The overall gross margin decrease was partially offset by the growth in our higher-margin career transition services within our Right Management business and increases in staffing/interim margins in Southern Europe due to the favorable impact of a direct cost accrual adjustment in France related to a payroll tax audit recorded in the third quarter of 2020 and in APME primarily due to the improvement in Japan.</w:t>
      </w:r>
    </w:p>
    <w:p>
      <w:pPr>
        <w:spacing w:after="0" w:line="13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recorded $49.9 million of restructuring costs in the third quarter of 2020, comprised of $16.7 million in the Americas, $7.6 million in Southern Europe, $24.1 million in Northern Europe, and $1.5 million in APME. The restructuring costs were primarily related to real estate optimization and streamlining our operations. We expect to recover the restructuring costs through cost savings over the next 12 months with full run-rate savings beginning in the first quarter of 2021. 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ind w:right="120"/>
        <w:spacing w:after="0" w:line="293" w:lineRule="auto"/>
        <w:rPr>
          <w:sz w:val="20"/>
          <w:szCs w:val="20"/>
          <w:color w:val="auto"/>
        </w:rPr>
      </w:pPr>
      <w:r>
        <w:rPr>
          <w:rFonts w:ascii="Arial" w:cs="Arial" w:eastAsia="Arial" w:hAnsi="Arial"/>
          <w:sz w:val="16"/>
          <w:szCs w:val="16"/>
          <w:color w:val="auto"/>
        </w:rPr>
        <w:t>Our operating profit decreased 71.6% in the third quarter of 2020 (-71.6% in constant currency; -71.9% in organic constant currency) while our operating profit margin decreased 280 basis points compared to the third quarter of 2019. Excluding the restructuring costs, the loss of $5.8 million from the disposition of our Serbia, Slovenia, Bulgaria, and Croatia businesses incurred in the third quarter of 2020 and the $30.4 million gain related to the deconsolidation of ManpowerGroup Greater China Limited (“Deconsolidation”) in the third quarter of 2019, our operating profit was down 38.4% in constant currency while operating profit margin was down 100 basis points compared to the third quarter of 2019. The decrease in operating profit margin reflects the material deleveraging that accompanied the decrease in revenues from the sustained impact of the COVID-19 crisis.</w:t>
      </w:r>
    </w:p>
    <w:p>
      <w:pPr>
        <w:spacing w:after="0" w:line="13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took significant actions in late March and early April, which allowed us to reduce selling and administrative expenses in our business. These reductions remained in place during the third quarter of 2020, which partially offset the revenue and gross profit declines during the third quarter. This included leveraging government unemployment related benefits, which allowed us to move unutilized staff and associates quickly onto these programs, with most of the benefits from these actions occurring in the second quarter. There were a few programs still in place, mostly in Germany and the Netherlands, in the third quarter from which we were still benefitting. This also included the short-term action of cutting discretionary costs and scaling operations back. In addition to these implemented initiatives, we are prepared to take further cost actions to optimize our business structure through this economic downturn with the intention of simultaneously preserving our ability to rebound when market conditions improve. We are focused on managing costs as efficiently as possible in the short-term while continuing to progress transformational actions aligned with our strategic priorities.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we manage through this crisis and prepare our business for future opportunities we would also like to emphasize the following points:</w:t>
      </w:r>
    </w:p>
    <w:p>
      <w:pPr>
        <w:spacing w:after="0" w:line="185" w:lineRule="exact"/>
        <w:rPr>
          <w:sz w:val="20"/>
          <w:szCs w:val="20"/>
          <w:color w:val="auto"/>
        </w:rPr>
      </w:pPr>
    </w:p>
    <w:p>
      <w:pPr>
        <w:ind w:left="740" w:right="60" w:hanging="368"/>
        <w:spacing w:after="0" w:line="25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of our leaders have experience managing through economic downturns, and many of our senior operational leaders previously managed parts of our business during the economic downturn in 2008-2009. We believe this is valuable experience for the current economic environment. Additionally, we have enhanced our enterprise risk management framework in recent years, and we have business continuity plans which have been executed at a global, regional and country level.</w:t>
      </w:r>
    </w:p>
    <w:p>
      <w:pPr>
        <w:spacing w:after="0" w:line="2" w:lineRule="exact"/>
        <w:rPr>
          <w:rFonts w:ascii="Arial" w:cs="Arial" w:eastAsia="Arial" w:hAnsi="Arial"/>
          <w:sz w:val="18"/>
          <w:szCs w:val="18"/>
          <w:color w:val="auto"/>
        </w:rPr>
      </w:pPr>
    </w:p>
    <w:p>
      <w:pPr>
        <w:ind w:left="740" w:hanging="368"/>
        <w:spacing w:after="0" w:line="281" w:lineRule="auto"/>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technology investments we have been making for the last few years as part of our transformational activities have facilitated a rapid response to the COVID-19 crisis. As of September 30, 2020, we had approximately [90%] of our full-time equivalent employees working remotely while mitigating potential productivity losses. We have also extended our cyber and information security capability to accelerate the ability for some of our associates and consultants to work for our clients at home mitigating potential operational or financial losses. Expectations of when our full-time equivalent employees return to the workplace will depend on a number of factors including the impact such a return would have on the safety, health and well-being of our employees as well as the impact from any government mandates or restrictions.</w:t>
      </w:r>
    </w:p>
    <w:p>
      <w:pPr>
        <w:spacing w:after="0" w:line="3" w:lineRule="exact"/>
        <w:rPr>
          <w:rFonts w:ascii="Arial" w:cs="Arial" w:eastAsia="Arial" w:hAnsi="Arial"/>
          <w:sz w:val="16"/>
          <w:szCs w:val="16"/>
          <w:color w:val="auto"/>
        </w:rPr>
      </w:pPr>
    </w:p>
    <w:p>
      <w:pPr>
        <w:ind w:left="740" w:right="20" w:hanging="368"/>
        <w:spacing w:after="0" w:line="287" w:lineRule="auto"/>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business has benefitted from our diversification across geographies, industries, and offerings, that we believe position us well to endure the COVID-19 crisis. We believe this diversification may likewise position us to take advantage of market opportunities that present themselves. For example, during both the third quarter and first nine months of 2020 compared to 2019, we have seen smaller declines within our Experis business compared to the Manpower business, and we are positioned with a large portion of our business focused on providing professional services and Talent Solutions. We believe our strategy to improve the diversification of our business through the growth of Experis will facilitate growth following the crisis as companies accelerate technology investments. Additionally, portions of our Talent Solutions business are assisting our clients through this downturn with customized solutions. Right Management has experienced increased demand for career transition services and has historically been a counter-cyclical business that helps offset the impact of an economic downturn.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Operating Results - Three Months Ended September 30,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2020 as compared to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Variance</w:t>
            </w:r>
          </w:p>
        </w:tc>
        <w:tc>
          <w:tcPr>
            <w:tcW w:w="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4,584.8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5,248.9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3,859.7</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4,408.6</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725.1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840.3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663.5</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623.3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3"/>
        </w:trPr>
        <w:tc>
          <w:tcPr>
            <w:tcW w:w="5700" w:type="dxa"/>
            <w:vAlign w:val="bottom"/>
          </w:tcPr>
          <w:p>
            <w:pPr>
              <w:ind w:left="260"/>
              <w:spacing w:after="0"/>
              <w:rPr>
                <w:sz w:val="20"/>
                <w:szCs w:val="20"/>
                <w:color w:val="auto"/>
              </w:rPr>
            </w:pPr>
            <w:r>
              <w:rPr>
                <w:rFonts w:ascii="Arial" w:cs="Arial" w:eastAsia="Arial" w:hAnsi="Arial"/>
                <w:sz w:val="18"/>
                <w:szCs w:val="18"/>
                <w:color w:val="auto"/>
              </w:rPr>
              <w:t>Operating profit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217.0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(71.6)%</w:t>
            </w:r>
          </w:p>
        </w:tc>
        <w:tc>
          <w:tcPr>
            <w:tcW w:w="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1.3%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4.1%</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net</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12.2</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(51.4)%</w:t>
            </w:r>
          </w:p>
        </w:tc>
        <w:tc>
          <w:tcPr>
            <w:tcW w:w="6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204.8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(72.8)%</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58.7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81.5%</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28.6%</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earnings</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146.1</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(93.0)%</w:t>
            </w:r>
          </w:p>
        </w:tc>
        <w:tc>
          <w:tcPr>
            <w:tcW w:w="6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0.18</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2.42</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decrease in revenues from services of 12.7% (-14.5% in constant currency and -14.7% in organic constant currency) was attributed to:</w:t>
      </w:r>
    </w:p>
    <w:p>
      <w:pPr>
        <w:spacing w:after="0" w:line="221" w:lineRule="exact"/>
        <w:rPr>
          <w:sz w:val="20"/>
          <w:szCs w:val="20"/>
          <w:color w:val="auto"/>
        </w:rPr>
      </w:pPr>
    </w:p>
    <w:p>
      <w:pPr>
        <w:ind w:left="740" w:right="80" w:hanging="368"/>
        <w:spacing w:after="0" w:line="286"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revenue decrease in Southern Europe of 10.4% (-14.7% in constant currency). This included a revenue decrease in France of 13.1% (-17.3% in constant currency), which was primarily due to a decrease in demand for our Manpower staffing services and a 17.5% decrease (-21.6% in constant currency) in the permanent recruitment business, both due to the impact of the COVID-19 crisis. The decrease also includes a decrease in Italy of 6.8% (-11.3% in constant currency), which was primarily due to the decreased demand for our Manpower staffing services and a</w:t>
      </w:r>
    </w:p>
    <w:p>
      <w:pPr>
        <w:spacing w:after="0" w:line="1" w:lineRule="exact"/>
        <w:rPr>
          <w:rFonts w:ascii="Arial" w:cs="Arial" w:eastAsia="Arial" w:hAnsi="Arial"/>
          <w:sz w:val="16"/>
          <w:szCs w:val="16"/>
          <w:color w:val="auto"/>
        </w:rPr>
      </w:pPr>
    </w:p>
    <w:p>
      <w:pPr>
        <w:ind w:left="740" w:right="260"/>
        <w:spacing w:after="0" w:line="260" w:lineRule="auto"/>
        <w:rPr>
          <w:rFonts w:ascii="Arial" w:cs="Arial" w:eastAsia="Arial" w:hAnsi="Arial"/>
          <w:sz w:val="16"/>
          <w:szCs w:val="16"/>
          <w:color w:val="auto"/>
        </w:rPr>
      </w:pPr>
      <w:r>
        <w:rPr>
          <w:rFonts w:ascii="Arial" w:cs="Arial" w:eastAsia="Arial" w:hAnsi="Arial"/>
          <w:sz w:val="18"/>
          <w:szCs w:val="18"/>
          <w:color w:val="auto"/>
        </w:rPr>
        <w:t>26.1% decrease (-29.7% in constant currency) in the permanent recruitment business, both due to the impact of the COVID-19 crisis, partially offset by the favorable impact of approximately one more billing day;</w:t>
      </w:r>
    </w:p>
    <w:p>
      <w:pPr>
        <w:spacing w:after="0" w:line="144" w:lineRule="exact"/>
        <w:rPr>
          <w:rFonts w:ascii="Arial" w:cs="Arial" w:eastAsia="Arial" w:hAnsi="Arial"/>
          <w:sz w:val="16"/>
          <w:szCs w:val="16"/>
          <w:color w:val="auto"/>
        </w:rPr>
      </w:pPr>
    </w:p>
    <w:p>
      <w:pPr>
        <w:ind w:left="740" w:right="60" w:hanging="368"/>
        <w:spacing w:after="0" w:line="25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services in most of our markets within Northern Europe, where revenues decreased 18.8% (-21.6% in constant currency), primarily due to reduced demand for our Manpower staffing services and a 32.9% decrease (-35.9% in constant currency) in the permanent recruitment business, both primarily due to the impact of the COVID-19 crisis. We experienced revenue declines in the United Kingdom, Germany, the Nordics, the Netherlands and Belgium of 18.3%, 28.0%, 13.2%, 18.6% and 25.3%, respectively (-22.0%, -31.5%, -15.1%, -22.6%, and -29.1%, respectively, in constant currency);</w:t>
      </w:r>
    </w:p>
    <w:p>
      <w:pPr>
        <w:spacing w:after="0" w:line="147" w:lineRule="exact"/>
        <w:rPr>
          <w:rFonts w:ascii="Arial" w:cs="Arial" w:eastAsia="Arial" w:hAnsi="Arial"/>
          <w:sz w:val="18"/>
          <w:szCs w:val="18"/>
          <w:color w:val="auto"/>
        </w:rPr>
      </w:pPr>
    </w:p>
    <w:p>
      <w:pPr>
        <w:ind w:left="740" w:right="120" w:hanging="368"/>
        <w:spacing w:after="0" w:line="286"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revenue decrease in the United States of 13.1% (-15.2% on an organic basis) primarily driven by decreased demand for our staffing/interim services and a decrease in our permanent recruitment business of 14.8% (-15.2% on an organic basis), both due to the impacts of the COVID-19 crisis, partially offset by increased demand for our MSP offering and career transition services; and</w:t>
      </w:r>
    </w:p>
    <w:p>
      <w:pPr>
        <w:spacing w:after="0" w:line="124" w:lineRule="exact"/>
        <w:rPr>
          <w:rFonts w:ascii="Arial" w:cs="Arial" w:eastAsia="Arial" w:hAnsi="Arial"/>
          <w:sz w:val="17"/>
          <w:szCs w:val="17"/>
          <w:color w:val="auto"/>
        </w:rPr>
      </w:pPr>
    </w:p>
    <w:p>
      <w:pPr>
        <w:ind w:left="740" w:right="160" w:hanging="368"/>
        <w:spacing w:after="0" w:line="286"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revenue decrease in APME of 5.4% (-6.0% in constant currency) due to the decline in demand for our staffing/interim services and a decrease in our permanent recruitment business of 15.8% (-18.2% in constant currency), partially offset by an increase in revenues in Japan and an increase in demand for our Talent-Based Outsourcing services within the Manpower business; partially offset by</w:t>
      </w:r>
    </w:p>
    <w:p>
      <w:pPr>
        <w:spacing w:after="0" w:line="124" w:lineRule="exact"/>
        <w:rPr>
          <w:rFonts w:ascii="Arial" w:cs="Arial" w:eastAsia="Arial" w:hAnsi="Arial"/>
          <w:sz w:val="17"/>
          <w:szCs w:val="17"/>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1.8% increase due to the impact of changes in currency exchange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20 basis point decrease in gross profit margin was primarily attributed to:</w:t>
      </w:r>
    </w:p>
    <w:p>
      <w:pPr>
        <w:spacing w:after="0" w:line="198" w:lineRule="exact"/>
        <w:rPr>
          <w:sz w:val="20"/>
          <w:szCs w:val="20"/>
          <w:color w:val="auto"/>
        </w:rPr>
      </w:pPr>
    </w:p>
    <w:p>
      <w:pPr>
        <w:ind w:left="74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30 basis point unfavorable impact due to the decrease in our permanent recruitment business of 25.1% (-26.9% in constant currency and -27.0% in organic constant currency);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740" w:right="10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20 basis point unfavorable impact from declines in the staffing/interim margins in the Americas and Northern Europe due to the higher mix of our lower-margin enterprise client business; and</w:t>
      </w:r>
    </w:p>
    <w:p>
      <w:pPr>
        <w:spacing w:after="0" w:line="129"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unfavorable impact from the decrease in margin in our Proservia business primarily related to the lower utilization of consultants in Germany; partially offset by</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20 basis point favorable impact from the growth in our higher-margin career transition services within our Right Management business; and</w:t>
      </w:r>
    </w:p>
    <w:p>
      <w:pPr>
        <w:spacing w:after="0" w:line="207" w:lineRule="exact"/>
        <w:rPr>
          <w:rFonts w:ascii="Arial" w:cs="Arial" w:eastAsia="Arial" w:hAnsi="Arial"/>
          <w:sz w:val="16"/>
          <w:szCs w:val="16"/>
          <w:color w:val="auto"/>
        </w:rPr>
      </w:pPr>
    </w:p>
    <w:p>
      <w:pPr>
        <w:ind w:left="740" w:right="140" w:hanging="368"/>
        <w:spacing w:after="0" w:line="263"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20 basis point favorable impact from staffing/interim margin increases in the Southern Europe due to the favorable impact of a direct cost accrual adjustment in France related to a payroll tax audit recorded in the third quarter of 2020 and APME primarily due to the improvement in Japan.</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6.5% increase in selling and administrative expenses in the third quarter of 2020 (4.1% in constant currency; 3.9% in organic constant currency) was primarily attributed to:</w:t>
      </w:r>
    </w:p>
    <w:p>
      <w:pPr>
        <w:spacing w:after="0" w:line="143" w:lineRule="exact"/>
        <w:rPr>
          <w:sz w:val="20"/>
          <w:szCs w:val="20"/>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costs of $49.9 million incurred in the third quarter of 2020;</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$30.4 million gain related to the Deconsolidation in the third quarter of 2019;</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$5.8 million loss on the disposition of subsidiaries in the third quarter of 2020;</w:t>
      </w:r>
    </w:p>
    <w:p>
      <w:pPr>
        <w:spacing w:after="0" w:line="184"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$1.5 million incurred as a result of the franchise acquisitions in the United States in August and October 2019; and</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2.4% increase due to the impact of changes in currency exchange rates; partially offset by</w:t>
      </w:r>
    </w:p>
    <w:p>
      <w:pPr>
        <w:spacing w:after="0" w:line="184"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6.4% decrease (-8.3% in constant currency and -8.6% in organic constant currency) in personnel costs due to a reduction of salary-related costs as a result of lower headcount and a decrease in variable incentive costs due to a decline in profitability in most markets; and</w:t>
      </w:r>
    </w:p>
    <w:p>
      <w:pPr>
        <w:spacing w:after="0" w:line="105"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8.2% decrease (-10.2% in constant currency and -10.3% in organic constant currency) in non-personnel related costs, excluding restructuring costs, loss from the disposition of subsidiaries and gain related to the Deconsolidation, due to cost management actions taken across all segments as a result of revenue declines.</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Selling and administrative expenses as a percent of revenues increased 260 basis points in the third quarter of 2020 compared to the third quarter of 2019 due primarily to:</w:t>
      </w:r>
    </w:p>
    <w:p>
      <w:pPr>
        <w:spacing w:after="0" w:line="130"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110 basis point unfavorable impact from restructuring costs in the third quarter of 2020;</w:t>
      </w:r>
    </w:p>
    <w:p>
      <w:pPr>
        <w:spacing w:after="0" w:line="184" w:lineRule="exact"/>
        <w:rPr>
          <w:rFonts w:ascii="Arial" w:cs="Arial" w:eastAsia="Arial" w:hAnsi="Arial"/>
          <w:sz w:val="18"/>
          <w:szCs w:val="18"/>
          <w:color w:val="auto"/>
        </w:rPr>
      </w:pPr>
    </w:p>
    <w:p>
      <w:pPr>
        <w:ind w:left="740" w:right="100" w:hanging="368"/>
        <w:spacing w:after="0" w:line="342"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70 basis point unfavorable impact from expense deleveraging, excluding restructuring costs, the loss on the disposition of subsidiaries and the gain related to the Deconsolidation, as we were unable to decrease selling and administrative expenses at the same rate as our revenue decline;</w:t>
      </w:r>
    </w:p>
    <w:p>
      <w:pPr>
        <w:spacing w:after="0" w:line="83" w:lineRule="exact"/>
        <w:rPr>
          <w:rFonts w:ascii="Arial" w:cs="Arial" w:eastAsia="Arial" w:hAnsi="Arial"/>
          <w:sz w:val="16"/>
          <w:szCs w:val="16"/>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60 basis point unfavorable impact from the gain related to the Deconsolidation in the third quarter of 2019;</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 basis point unfavorable impact from the loss on disposition of subsidiaries in the third quarter of 2020;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 basis point unfavorable impact from changes in currency exchange rates.</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noncontrolling interests. Interest and other expenses, net was $6.0 million in the third quarter of 2020 compared to $12.2 million in the third quarter of 2019. Net interest expense decreased $3.6 million in the third quarter of 2020 to $7.7 million from $11.3 million in the third quarter of 2019 primarily due to an increase interest income as a result of higher cash balances. Miscellaneous income was $2.3 million in the third quarter of 2020 compared to $3.2 million in the third quarter of 2019.</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9" w:name="page30"/>
    <w:bookmarkEnd w:id="29"/>
    <w:p>
      <w:pPr>
        <w:ind w:right="40"/>
        <w:spacing w:after="0" w:line="271" w:lineRule="auto"/>
        <w:rPr>
          <w:sz w:val="20"/>
          <w:szCs w:val="20"/>
          <w:color w:val="auto"/>
        </w:rPr>
      </w:pPr>
      <w:r>
        <w:rPr>
          <w:rFonts w:ascii="Arial" w:cs="Arial" w:eastAsia="Arial" w:hAnsi="Arial"/>
          <w:sz w:val="17"/>
          <w:szCs w:val="17"/>
          <w:color w:val="auto"/>
        </w:rPr>
        <w:t>We recorded income tax expense at an effective rate of 81.5% for the three months ended September 30, 2020, as compared to an effective rate of 28.6% for the three months ended September 30, 2019. The 2020 rate was unfavorably impacted by the relatively low level and mix of pre-tax earnings, tax losses in certain countries for which we did not recognize a corresponding tax benefit due to valuation allowances, including the recognition of a discrete valuation allowance in Germany, and the French business tax. The French business tax had a more significant unfavorable impact in the quarter due to French pre-tax earnings decreasing at a greater rate than revenues, which is the primary basis for the tax calculation. The effective tax rate of 81.5% for the three months ended September 30, 2020 was significantly higher than the United States Federal statutory rate of 21% primarily due to the factors noted above. The COVID-19 crisis has created uncertainty in predicting future earnings before income taxes and its impact to the third quarter of 2020 along with quarterly effective tax rates for future quarters may be material.</w:t>
      </w:r>
    </w:p>
    <w:p>
      <w:pPr>
        <w:spacing w:after="0" w:line="1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earnings per share - diluted was $0.18 in the third quarter of 2020 compared to $2.42 in the third quarter of 2019. Restructuring costs recorded in the third quarter of 2020 negatively impacted net earnings per share - diluted by approximately $0.72 in the third quarter of 2020. The loss from the disposition of subsidiaries in the third quarter of 2020 negatively impacted net earnings per share – diluted by approximately $0.09 in the third quarter of 2020. The gain from the ManpowerGroup Greater China Limited IPO recorded in the third quarter of 2019 positively impacted net earnings per share – diluted by approximately $0.50 per share in the third quarter of 2019.</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Weighted average shares - diluted decreased to 58.5 million in the third quarter of 2020 from 60.3 million in the third quarter of 2019. This decrease was due to the impact of share repurchases completed since the third quarter of 2019 and the full weighting of the repurchases completed in the third quarter of 2019, partially offset by shares issued as a result of exercises and vesting of share-based awards since the third quarter of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Arial" w:cs="Arial" w:eastAsia="Arial" w:hAnsi="Arial"/>
                <w:sz w:val="18"/>
                <w:szCs w:val="18"/>
                <w:color w:val="auto"/>
              </w:rPr>
              <w:t>Operating Results – Nine months ended September 30, 2020 and 2019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32"/>
        </w:trPr>
        <w:tc>
          <w:tcPr>
            <w:tcW w:w="508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FF0FC"/>
            </w:tcBorders>
          </w:tcPr>
          <w:p>
            <w:pPr>
              <w:spacing w:after="0"/>
              <w:rPr>
                <w:sz w:val="20"/>
                <w:szCs w:val="20"/>
                <w:color w:val="auto"/>
              </w:rPr>
            </w:pPr>
          </w:p>
        </w:tc>
        <w:tc>
          <w:tcPr>
            <w:tcW w:w="128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Variance</w:t>
            </w:r>
          </w:p>
        </w:tc>
        <w:tc>
          <w:tcPr>
            <w:tcW w:w="6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12,946.1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15,666.9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10,920.3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13,151.4</w:t>
            </w:r>
          </w:p>
        </w:tc>
        <w:tc>
          <w:tcPr>
            <w:tcW w:w="1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(17.0)%</w:t>
            </w:r>
          </w:p>
        </w:tc>
        <w:tc>
          <w:tcPr>
            <w:tcW w:w="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2,025.8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2,515.5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16.1%</w:t>
            </w: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1"/>
              </w:rPr>
              <w:t>Selling and administrative expenses, excluding goodwill impairment charges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1,909.7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1,998.2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Goodwill impairment charges</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64.0</w:t>
            </w:r>
          </w:p>
        </w:tc>
        <w:tc>
          <w:tcPr>
            <w:tcW w:w="1340" w:type="dxa"/>
            <w:vAlign w:val="bottom"/>
            <w:tcBorders>
              <w:bottom w:val="single" w:sz="8" w:color="CFF0FC"/>
            </w:tcBorders>
            <w:gridSpan w:val="2"/>
          </w:tcPr>
          <w:p>
            <w:pPr>
              <w:jc w:val="right"/>
              <w:ind w:right="15"/>
              <w:spacing w:after="0"/>
              <w:rPr>
                <w:sz w:val="20"/>
                <w:szCs w:val="20"/>
                <w:color w:val="auto"/>
              </w:rPr>
            </w:pPr>
            <w:r>
              <w:rPr>
                <w:rFonts w:ascii="Arial" w:cs="Arial" w:eastAsia="Arial" w:hAnsi="Arial"/>
                <w:sz w:val="16"/>
                <w:szCs w:val="16"/>
                <w:color w:val="auto"/>
              </w:rPr>
              <w:t>4.2%</w:t>
            </w:r>
          </w:p>
        </w:tc>
        <w:tc>
          <w:tcPr>
            <w:tcW w:w="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ind w:right="17"/>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1,976.5</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2,062.2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60"/>
              <w:spacing w:after="0"/>
              <w:rPr>
                <w:sz w:val="20"/>
                <w:szCs w:val="20"/>
                <w:color w:val="auto"/>
              </w:rPr>
            </w:pPr>
            <w:r>
              <w:rPr>
                <w:rFonts w:ascii="Arial" w:cs="Arial" w:eastAsia="Arial" w:hAnsi="Arial"/>
                <w:sz w:val="18"/>
                <w:szCs w:val="18"/>
                <w:color w:val="auto"/>
              </w:rPr>
              <w:t>Operating profit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453.3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(89.1)%</w:t>
            </w:r>
          </w:p>
        </w:tc>
        <w:tc>
          <w:tcPr>
            <w:tcW w:w="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2.9%</w:t>
            </w: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and other expenses (income), net</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w:t>
            </w:r>
          </w:p>
        </w:tc>
        <w:tc>
          <w:tcPr>
            <w:tcW w:w="6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30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499.4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29"/>
        </w:trPr>
        <w:tc>
          <w:tcPr>
            <w:tcW w:w="58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172.5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(59.8)%</w:t>
            </w: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407.4%</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34.5%</w:t>
            </w: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(loss) earnings</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(52.4)</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326.9</w:t>
            </w:r>
          </w:p>
        </w:tc>
        <w:tc>
          <w:tcPr>
            <w:tcW w:w="6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gridSpan w:val="2"/>
          </w:tcPr>
          <w:p>
            <w:pPr>
              <w:jc w:val="right"/>
              <w:ind w:right="300"/>
              <w:spacing w:after="0"/>
              <w:rPr>
                <w:sz w:val="20"/>
                <w:szCs w:val="20"/>
                <w:color w:val="auto"/>
              </w:rPr>
            </w:pPr>
            <w:r>
              <w:rPr>
                <w:rFonts w:ascii="Arial" w:cs="Arial" w:eastAsia="Arial" w:hAnsi="Arial"/>
                <w:sz w:val="16"/>
                <w:szCs w:val="16"/>
                <w:color w:val="auto"/>
              </w:rPr>
              <w:t>N/A</w:t>
            </w:r>
          </w:p>
        </w:tc>
        <w:tc>
          <w:tcPr>
            <w:tcW w:w="1260" w:type="dxa"/>
            <w:vAlign w:val="bottom"/>
            <w:tcBorders>
              <w:bottom w:val="single" w:sz="8" w:color="CFF0FC"/>
            </w:tcBorders>
          </w:tcPr>
          <w:p>
            <w:pPr>
              <w:jc w:val="right"/>
              <w:ind w:right="15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earnings per share – diluted</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(0.90)</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5.40</w:t>
            </w:r>
          </w:p>
        </w:tc>
        <w:tc>
          <w:tcPr>
            <w:tcW w:w="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N/A</w:t>
            </w:r>
          </w:p>
        </w:tc>
        <w:tc>
          <w:tcPr>
            <w:tcW w:w="1260" w:type="dxa"/>
            <w:vAlign w:val="bottom"/>
            <w:tcBorders>
              <w:bottom w:val="single" w:sz="8" w:color="CFF0FC"/>
            </w:tcBorders>
            <w:shd w:val="clear" w:color="auto" w:fill="CFF0FC"/>
          </w:tcPr>
          <w:p>
            <w:pPr>
              <w:jc w:val="right"/>
              <w:ind w:right="15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decrease in revenues from services of 17.4% (-16.4% in constant currency and -16.0% in organic constant currency) was attributed to:</w:t>
      </w:r>
    </w:p>
    <w:p>
      <w:pPr>
        <w:spacing w:after="0" w:line="208" w:lineRule="exact"/>
        <w:rPr>
          <w:sz w:val="20"/>
          <w:szCs w:val="20"/>
          <w:color w:val="auto"/>
        </w:rPr>
      </w:pPr>
    </w:p>
    <w:p>
      <w:pPr>
        <w:ind w:left="740" w:right="40" w:hanging="368"/>
        <w:spacing w:after="0" w:line="25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revenue decrease in Southern Europe of 19.4% (-19.9% in constant currency; -21.2% in organic constant currency). This included a revenue decrease in France of 26.3% (-26.6% in constant currency), which was primarily due to a decrease in our Manpower staffing services and a 25.5% decrease (-25.4% in constant currency) in the permanent recruitment business, both due to the impact of the COVID-19 crisis. The decrease also includes a decrease in Italy of 16.0% (-16.2% in constant currency), which was primarily due to the decreased demand for our Manpower staffing services and a 34.2% decrease (-34.0% in constant currency) in the permanent recruitment business, both due to the impact of the COVID-19 crisis;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ind w:left="740" w:right="200" w:hanging="368"/>
        <w:spacing w:after="0" w:line="275"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decreased demand for services in most of our markets within Northern Europe, where revenues decreased 19.1% (-17.9% in constant currency; -17.7% in organic constant currency), primarily due to reduced demand for our Manpower staffing services and a 32.1% decrease (-31.3% in constant currency) in the permanent recruitment business as a result of the impact of the COVID-19 crisis. We experienced revenue declines in the United Kingdom, Germany, the Nordics, the Netherlands and Belgium of 14.9%, 26.1%, 19.1%, 21.9% and 27.7%, respectively (-14.7%, -26.0%, -15.3%, -21.9%, and -27.8%, respectively, in constant currency);</w:t>
      </w:r>
    </w:p>
    <w:p>
      <w:pPr>
        <w:spacing w:after="0" w:line="135" w:lineRule="exact"/>
        <w:rPr>
          <w:rFonts w:ascii="Arial" w:cs="Arial" w:eastAsia="Arial" w:hAnsi="Arial"/>
          <w:sz w:val="17"/>
          <w:szCs w:val="17"/>
          <w:color w:val="auto"/>
        </w:rPr>
      </w:pPr>
    </w:p>
    <w:p>
      <w:pPr>
        <w:ind w:left="740" w:right="560" w:hanging="368"/>
        <w:spacing w:after="0" w:line="259"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revenue decrease in the United States of 12.2% (-14.5% on an organic basis) primarily driven by a decline in demand for our Manpower staffing services and a 13.8% (-14.3% on an organic basis) decrease in the permanent recruitment business, both due to the impact of the COVID-19 crisis, partially offset by an increase in our Talent Solutions business, primarily within our MSP offering and career transition services;</w:t>
      </w:r>
    </w:p>
    <w:p>
      <w:pPr>
        <w:spacing w:after="0" w:line="146" w:lineRule="exact"/>
        <w:rPr>
          <w:rFonts w:ascii="Arial" w:cs="Arial" w:eastAsia="Arial" w:hAnsi="Arial"/>
          <w:sz w:val="18"/>
          <w:szCs w:val="18"/>
          <w:color w:val="auto"/>
        </w:rPr>
      </w:pPr>
    </w:p>
    <w:p>
      <w:pPr>
        <w:ind w:left="740" w:right="180" w:hanging="36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revenue decrease in APME of 14.2% (-13.3% in constant currency; -2.8% in organic constant currency) due to the Deconsolidation, partially offset by an increase in revenues in Japan and an increase in demand for our Talent-Based Outsourcing services within the Manpower business; and</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1.0% decrease due to the impact of changes in currency exchange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50 basis point decrease in gross profit margin was primarily attributed to:</w:t>
      </w:r>
    </w:p>
    <w:p>
      <w:pPr>
        <w:spacing w:after="0" w:line="185" w:lineRule="exact"/>
        <w:rPr>
          <w:sz w:val="20"/>
          <w:szCs w:val="20"/>
          <w:color w:val="auto"/>
        </w:rPr>
      </w:pPr>
    </w:p>
    <w:p>
      <w:pPr>
        <w:ind w:left="74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30 basis point unfavorable impact due to the decrease in our permanent recruitment business of 28.1% (-27.2% in constant currency and -23.9% in organic constant currency);</w:t>
      </w:r>
    </w:p>
    <w:p>
      <w:pPr>
        <w:spacing w:after="0" w:line="129"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20 basis point unfavorable impact due to the margin decrease in our Proservia business primarily related to the lower utilization of consultants in Germany; and</w:t>
      </w:r>
    </w:p>
    <w:p>
      <w:pPr>
        <w:spacing w:after="0" w:line="129" w:lineRule="exact"/>
        <w:rPr>
          <w:rFonts w:ascii="Arial" w:cs="Arial" w:eastAsia="Arial" w:hAnsi="Arial"/>
          <w:sz w:val="18"/>
          <w:szCs w:val="18"/>
          <w:color w:val="auto"/>
        </w:rPr>
      </w:pPr>
    </w:p>
    <w:p>
      <w:pPr>
        <w:ind w:left="740" w:right="80" w:hanging="368"/>
        <w:spacing w:after="0" w:line="25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10 basis point unfavorable impact from a deterioration in our staffing/interim margin in the Americas, Southern Europe, and Northern Europe due to the higher mix of our lower-margin enterprise client business and higher rates of sickness and absenteeism in certain countries and increased direct costs associated with early termination of client contracts during the COVID-19 crisis. These unfavorable impacts were partially offset by reduced direct costs in certain countries due to government crisis response programs, a direct cost accrual adjustment in France related to a payroll tax audit recorded in the first nine months of 2020, our execution of various bill/pay yield initiatives due to the COVID-19 crisis; partially offset by</w:t>
      </w:r>
    </w:p>
    <w:p>
      <w:pPr>
        <w:spacing w:after="0" w:line="151"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10 basis point favorable impact by growth in our higher-margin MSP offering and career transition services.</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4.2% decrease in selling and administrative expenses in the nine months ended September 30, 2020 (-3.3% in constant currency; -2.4% in organic constant currency) was primarily attributed to:</w:t>
      </w:r>
    </w:p>
    <w:p>
      <w:pPr>
        <w:spacing w:after="0" w:line="143" w:lineRule="exact"/>
        <w:rPr>
          <w:sz w:val="20"/>
          <w:szCs w:val="20"/>
          <w:color w:val="auto"/>
        </w:rPr>
      </w:pPr>
    </w:p>
    <w:p>
      <w:pPr>
        <w:ind w:left="740" w:right="240" w:hanging="368"/>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10.7% decrease (-9.8% in constant currency and -8.8% in organic constant currency) in personnel costs due to a reduction of salary-related costs as a result of lower headcount and a decrease in variable incentive costs due to a decline in profitability in most markets, and the benefits related to the transition of full-time equivalent employees onto government temporary unemployment programs that mostly occurred in the second quarter of 2020;</w:t>
      </w:r>
    </w:p>
    <w:p>
      <w:pPr>
        <w:spacing w:after="0" w:line="146" w:lineRule="exact"/>
        <w:rPr>
          <w:rFonts w:ascii="Arial" w:cs="Arial" w:eastAsia="Arial" w:hAnsi="Arial"/>
          <w:sz w:val="18"/>
          <w:szCs w:val="18"/>
          <w:color w:val="auto"/>
        </w:rPr>
      </w:pPr>
    </w:p>
    <w:p>
      <w:pPr>
        <w:ind w:left="740" w:right="260" w:hanging="368"/>
        <w:spacing w:after="0" w:line="263"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6.7% decrease (-5.8% in constant currency and -5.0% in organic constant currency) in non-personnel related costs, excluding goodwill and other impairment charges, restructuring costs, loss on disposition of subsidiaries, and gain related to Deconsolidation, due to cost management actions taken across all segments as a result of revenue declines;</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reduction in recurring selling and administrative costs of $36.5 million as a result of the Deconsolidation in July 2019;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0.9% decrease due to the impact of changes in currency exchange rates; partially offset by</w:t>
      </w:r>
    </w:p>
    <w:p>
      <w:pPr>
        <w:spacing w:after="0" w:line="184"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restructuring costs to $98.1 million incurred in the nine months ended September 30, 2020 from $39.8 million incurred in the nine months ended September 30, 2019;</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$30.4 million gain related to the Deconsolidation in the nine months ended September 30, 2019;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ind w:left="740" w:right="48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$17.9 million incurred as a result of the acquisition of Manpower Switzerland in Southern Europe and franchise acquisitions in the United States in August and October 2019;</w:t>
      </w:r>
    </w:p>
    <w:p>
      <w:pPr>
        <w:spacing w:after="0" w:line="129"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 in goodwill and other impairment charges to $72.8 million in the nine months ended September 30, 2020 from $65.6 million in the nine months ended September 30, 2019; and</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$5.8 million loss on the disposition of subsidiaries in the nine months ended September 30, 2020.</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Selling and administrative expenses as a percent of revenues increased 210 basis points in the nine months ended September 30, 2020 compared to the first nine months of 2019 due primarily to:</w:t>
      </w:r>
    </w:p>
    <w:p>
      <w:pPr>
        <w:spacing w:after="0" w:line="143" w:lineRule="exact"/>
        <w:rPr>
          <w:sz w:val="20"/>
          <w:szCs w:val="20"/>
          <w:color w:val="auto"/>
        </w:rPr>
      </w:pPr>
    </w:p>
    <w:p>
      <w:pPr>
        <w:ind w:left="740" w:right="180" w:hanging="368"/>
        <w:spacing w:after="0" w:line="263"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120 basis point unfavorable impact from expense deleveraging, excluding goodwill and other impairment charges, restructuring costs, loss on disposition of subsidiaries, and gain related to Deconsolidation, as we were unable to decrease selling and administrative expenses at the same rate as our revenue decline;</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50 basis point unfavorable impact from the increase in restructuring costs in the nine months ended September 30, 2020 compared to 2019;</w:t>
      </w:r>
    </w:p>
    <w:p>
      <w:pPr>
        <w:spacing w:after="0" w:line="207" w:lineRule="exact"/>
        <w:rPr>
          <w:rFonts w:ascii="Arial" w:cs="Arial" w:eastAsia="Arial" w:hAnsi="Arial"/>
          <w:sz w:val="16"/>
          <w:szCs w:val="16"/>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20 basis point unfavorable impact from the gain related to the Deconsolidation in the nine months ended September 30, 2019;</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10 basis point unfavorable impact from the increase in goodwill and other impairment charges;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10 basis point unfavorable impact from changes in currency exchange rates.</w:t>
      </w:r>
    </w:p>
    <w:p>
      <w:pPr>
        <w:spacing w:after="0" w:line="18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Interest and other expenses (income), net is comprised of interest, foreign exchange gains and losses and other miscellaneous non-operating income and expenses, including noncontrolling interests. Interest and other expenses (income), net was expense of $32.3 million in the nine months ended September 30, 2020 compared to income of $46.1 million in the nine months ended September 30, 2019. Net interest expense decreased $7.7 million in the nine months ended September 30, 2020 to $22.4 million from $30.1 million in the nine months ended September 30, 2019 primarily due to an increase in interest income as a result of higher cash balances. Miscellaneous expense (income), net was an expense $5.7 million in the nine months ended September 30, 2020 compared to income of $82.7 million in the nine months ended September 30, 2019. The change is primarily due to the $80.4 million from the acquisition of Manpower Switzerland in the nine months ended September 30, 2019, the pension settlement expense of $10.2 million recorded in the nine months ended September 30, 2020 and the decrease in noncontrolling interest expense as a result of a decrease in earnings in a joint venture in Germany.</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recorded income tax expense at an effective rate of 407.4% for the nine months ended September 30, 2020, as compared to an effective rate of 34.5% for the nine months ended September 30, 2019. The 2020 rate was unfavorably impacted by the relatively low level and mix of pre-tax earnings, tax losses in certain countries for which we did not recognize a corresponding tax benefit due to valuation allowances, including the recognition of a discrete valuation allowance in Germany, the non-deductible goodwill impairment charge in Germany, and the French business tax. The effective tax rate of 407.4% for the nine months ended September 30, 2020 was significantly higher than the United States Federal statutory rate of 21% primarily due to the factors noted above.</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Net (loss) earnings per share - diluted was a loss of $0.90 in the nine months ended September 30, 2020 compared to earnings of $5.40 in the nine months ended September 30, 2019. Foreign currency exchange rates unfavorably impacted net (loss) earnings per share - diluted by approximately $0.01 per share in the nine months ended September 30, 2020. Restructuring costs recorded in the nine months ended September 30, 2020 and 2019 negatively impacted net (loss) earnings per share – diluted by approximately $1.40 and $0.52 per share, net of tax, in the nine months ended September 30, 2020 and 2019, respectively. Goodwill and other impairment charges recorded in the nine months ended September 30, 2020 and 2019 negatively impacted net earnings per share - diluted by approximately $1.14 and $1.08 per share in the nine months ended September 30, 2020 and 2019, respectively. The pension settlement expense recorded in the nine months ended September 30, 2020 negatively impacted net loss per share – diluted by approximately $0.11, net of tax, in the nine months ended September 30, 2020. The loss from the disposition of subsidiaries in the nine months ended September 30, 2020 negatively impacted net earnings per share – diluted by approximately $0.09, net of tax, in the nine months ended September 30, 2020. The gain from the acquisition of Manpower Switzerland recorded in the nine months ended September 30, 2019 positively impacted net earnings per share – diluted by approximately $1.33 per share in the nine months 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60"/>
        <w:spacing w:after="0" w:line="277" w:lineRule="auto"/>
        <w:rPr>
          <w:sz w:val="20"/>
          <w:szCs w:val="20"/>
          <w:color w:val="auto"/>
        </w:rPr>
      </w:pPr>
      <w:r>
        <w:rPr>
          <w:rFonts w:ascii="Arial" w:cs="Arial" w:eastAsia="Arial" w:hAnsi="Arial"/>
          <w:sz w:val="18"/>
          <w:szCs w:val="18"/>
          <w:color w:val="auto"/>
        </w:rPr>
        <w:t>September 30, 2019. The gain from the Deconsolidation recorded in the nine months ended September 30, 2019 positively impacted net earnings per share – diluted by approximately $0.50 per share in the nine months ended September 30, 2019.</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Weighted average shares - diluted decreased to 58.4 million in the nine months ended September 30, 2020 from 60.6 million in the nine months ended September 30, 2019. This decrease was due to the impact of share repurchases completed since September 30, 2019 and the full weighting of the repurchases completed in the nine months ended September 30, 2019, partially offset by shares issued as a result of exercises and vesting of share-based awards since September 30,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Americas, revenues from services decreased 15.1% (-11.2% in constant currency; -12.5% in organic constant currency) in the third quarter of 2020 compared to 2019. In the United States, revenues from services decreased 13.1% (-15.2% on an organic basis) in the third quarter of 2020 compared to 2019, primarily driven by decreased demand for our staffing/interim services and a decrease in our permanent recruitment business of 14.8% (-15.2% on an organic basis), both due to the impacts of the COVID-19 crisis. These decreases in the United States were partially offset by increased demand for our MSP offering as well as increased demand for career transition services, within our Right Management business. In Other Americas, revenues from services decreased 18.2% (-8.2% in constant currency) in the third quarter of 2020 compared to 2019 primarily due to the impacts of the COVID-19 crisis. This decline was driven by decreases in Mexico, Canada, Peru, Colombia and Brazil of 20.0%, 11.2%, 25.1%, 42.8%, and 12.2%, respectively (-9.1%, -10.4%, -20.6%, -36.1% and increase of 18.9%, respectively, in constant currency). These decreases were offset by an increase in Argentina of 7.9% (58.1% in constant currency) primarily due to inflation.</w:t>
      </w:r>
    </w:p>
    <w:p>
      <w:pPr>
        <w:spacing w:after="0" w:line="14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the Americas, revenues from services decreased 13.0% (-9.0% in constant currency, -10.4% in organic constant currency) in the nine months ended September 30, 2020 compared to 2019. In the United States, revenues from services decreased 12.2% (-14.5% on an organic basis) in the nine months ended September 30, 2020 compared to 2019, primarily driven by decreased demand for our Manpower staffing services and a decrease in our permanent recruitment business of 13.8% (-14.3% on an organic basis), both due to the impacts of the COVID-19 crisis. These decreases in the United States were partially offset by increased demand for our MSP offering and career transition services. In Other Americas, revenues from services decreased 14.4% (-4.2% in constant currency) in the nine months ended September 30, 2020 compared to 2019 primarily due to the impacts of the COVID-19 crisis. This decline was driven by decreases in Mexico, Canada, Argentina, Peru, Colombia and Brazil of 16.6%, 4.4%, 2.9%, 16.3%, 34.0% and 21.5%, respectively (-6.6%, -2.7%, increase of 48.5%, -13.2%, -24.9% and increase of 1.9%, respectively, in constant currency). The constant currency increase in Argentina was primarily due to inflation.</w:t>
      </w:r>
    </w:p>
    <w:p>
      <w:pPr>
        <w:spacing w:after="0" w:line="14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Gross profit margin increased in both the third quarter and the nine months ended September 30, 2020 compared to 2019 primarily due to gross profit margin increases in the United States from the increase in revenues from our higher-margin career transition services and MSP offering. This increase was partially offset by the decreases in our permanent recruitment business of 20.0% and 17.6%, respectively (-18.6% and -16.2%, respectively, in constant currency) and declines in the staffing/interim margin due to client mix changes, as a higher percentage of revenues came from our lower margin enterprise clients.</w:t>
      </w:r>
    </w:p>
    <w:p>
      <w:pPr>
        <w:spacing w:after="0" w:line="16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third quarter of 2020, selling and administrative expenses increased 0.8% (3.4% in constant currency and 2.5% in organic constant currency), primarily due to the increase in restructuring costs to $16.7 million in the third quarter of 2020 compared to zero in the third quarter of 2019 and the additional recurring selling and administrative costs incurred as a result of the franchise acquisitions in the United States in August and October 2019. These increases were partially offset by the decrease in salary-related costs, because of lower headcount, and discretionary expenses. Selling and administrative expenses increased 0.3% (3.0% in constant currency and 1.9% in organic constant currency) in the nine months ended September 30, 2020 compared to 2019, primarily due to the increase in restructuring costs to $29.5 million in the first nine months of 2020 compared to $9.8 million in the first nine months of 2019, the impairment charge of $6.0 million recorded in the United States related to capitalized software in the first nine months of 2020, a bad debt expense and a state sales tax related charge incurred in the first nine months of 2020, and the additional recurring selling and administrative costs incurred as a result of the franchise acquisitions in the United States. These increases were partially offset by decreases in salary-related costs, due to lower headcount, and discretionary expenses.</w:t>
      </w:r>
    </w:p>
    <w:p>
      <w:pPr>
        <w:spacing w:after="0" w:line="1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Unit Profit (“OUP”) margin in the Americas was 3.4% and 5.4% for the third quarter of 2020 and 2019, respectively. In the United States, OUP margin decreased to 3.3% in the third quarter of 2020 from 6.0% in 2019 primarily due to the increase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3" w:name="page34"/>
    <w:bookmarkEnd w:id="33"/>
    <w:p>
      <w:pPr>
        <w:ind w:right="260"/>
        <w:spacing w:after="0" w:line="311" w:lineRule="auto"/>
        <w:rPr>
          <w:sz w:val="20"/>
          <w:szCs w:val="20"/>
          <w:color w:val="auto"/>
        </w:rPr>
      </w:pPr>
      <w:r>
        <w:rPr>
          <w:rFonts w:ascii="Arial" w:cs="Arial" w:eastAsia="Arial" w:hAnsi="Arial"/>
          <w:sz w:val="16"/>
          <w:szCs w:val="16"/>
          <w:color w:val="auto"/>
        </w:rPr>
        <w:t>restructuring costs and expense deleveraging, as we were unable to decrease expenses at the same rate as the accelerated revenue decline due to the COVID-19 crisis, partially offset by the increase in the gross profit margin. Other Americas OUP margin decreased to 3.5% in the third quarter of 2020 from 4.6% in the third quarter of 2019 due primarily to the decrease in the gross profit margin, increase in restructuring costs and expense deleveraging.</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OUP margin in the Americas was 2.4% and 4.6% for the nine months ended September 30, 2020 and 2019, respectively. In the United States, OUP margin decreased to 1.8% for the nine months ended September 30, 2020 from 4.8% in 2019 primarily due to the increase in restructuring costs, the software impairment charge and expense deleveraging. These decreases were partially offset by the increase in the gross profit margin. Other Americas OUP margin decreased to 3.5% for the nine months ended September 30, 2020 from 4.2% in 2019 primarily due to a decline in the gross profit margin and expense deleveraging.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Southern Europe, which includes operations in France and Italy, revenues from services decreased 10.4% (-14.7% in constant currency) in the third quarter of 2020 compared to 2019. In the third quarter of 2020, revenues from services decreased 13.1% (-17.3% in constant currency) in France (which represents 57% of Southern Europe’s revenues) and decreased 6.8% (-11.3% in constant currency) in Italy (which represents 17% of Southern Europe’s revenues), with both experiencing improvement in the rate of revenue decline as the third quarter progressed. The decrease in France is primarily due to decreased demand for our Manpower staffing services and a 17.5% decrease (-21.6% in constant currency) in the permanent recruitment business, both due to the impact of the COVID-19 crisis. The decrease in Italy was primarily due to the decreased demand for our Manpower staffing services and a 26.1% decrease (-29.7% in constant currency) in the permanent recruitment business, both due to the impact of the COVID-19 crisis, partially offset by the favorable impact of approximately one more billing day. In Other Southern Europe, revenues from services decreased 6.5% (-10.7% in constant currency) during the third quarter of 2020 compared to 2019, due to decreased demand for our Manpower staffing services and a decrease in our permanent recruitment business of 43.2% (-45.0% in constant currency), both due to the impact of the COVID-19 crisis.</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Revenues from services decreased 19.4% (-19.9% in constant currency) in the nine months ended September 30, 2020 compared to 2019. In the nine months ended September 30, 2020, revenues from services decreased 26.3% (-26.6% in constant currency) in France and decreased 16.0% (-16.2% in constant currency) in Italy. The decrease in France is due to decreased demand for our Manpower staffing services and a 25.5% (-25.4% in constant currency) decrease in our permanent recruitment business, both due to the impact of the COVID-19 crisis. The decrease in Italy was primarily due to decreased demand for our Manpower staffing services and a 34.2% (-34.0% in constant currency) decrease in our permanent recruitment business, both due to the impact of the COVID-19 crisis. In Other Southern Europe, revenues from services decreased 4.3% (-5.3% in constant currency) during the nine months ended September 30, 2020 compared to 2019, due to decreased demand for our Manpower staffing services and a decrease in our permanent recruitment business of 33.7% (-33.7% in constant currency), both due to the impact of the COVID-19 crisis.</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margin decreased in both the third quarter and the first nine months of 2020 compared to 2019 primarily due to the decrease of 30.5% (-33.4% in constant currency) in the permanent recruitment business, partially offset by the increase in the staffing/interim gross profit margin due to a direct cost accrual adjustment in France related to a payroll tax audit recorded in the third quarter of 2020. Gross profit margin decreased in the first nine months of 2020 compared to 2019 primarily due to the decrease of 30.9% (-30.8% in constant currency) in the permanent recruitment business and a decrease in the staffing/interim gross profit margin in France, Italy and certain countries within Other Southern Europe, partially offset by a direct cost accrual adjustment in France recorded in the first nine months of 2020.</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Selling and administrative expenses increased 2.0% (decrease -2.9% in constant currency) during the third quarter of 2020 compared to 2019 primarily due to an increase in restructuring costs to $7.6 million in the third quarter of 2020 compared to zero in the third quarter of 2019, the loss of $5.8 million from the disposition of our Serbia, Slovenia, Bulgaria, and Croatia businesses, and the unfavorable impact of changes in currency exchange rates. These increases were partially offset by the reduction of our discretionary expenses, a decrease in personnel costs, as a result of a reduction in headcount, and a decrease in variable incentive costs due to a decline in profitability in most markets.</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Selling and administrative expenses decreased 5.7% (-6.2% in constant currency) in the nine months ended September 30, 2020 compared to 2019. We took significant actions in France and Italy in March and April to reduce our costs to help offset the materially reduced revenues in the first nine months of 2020. In both France and Italy, we transitioned full-time equivalent employees onto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4" w:name="page35"/>
    <w:bookmarkEnd w:id="34"/>
    <w:p>
      <w:pPr>
        <w:ind w:right="60"/>
        <w:spacing w:after="0" w:line="291" w:lineRule="auto"/>
        <w:rPr>
          <w:sz w:val="20"/>
          <w:szCs w:val="20"/>
          <w:color w:val="auto"/>
        </w:rPr>
      </w:pPr>
      <w:r>
        <w:rPr>
          <w:rFonts w:ascii="Arial" w:cs="Arial" w:eastAsia="Arial" w:hAnsi="Arial"/>
          <w:sz w:val="16"/>
          <w:szCs w:val="16"/>
          <w:color w:val="auto"/>
        </w:rPr>
        <w:t>government temporary unemployment programs and other initiatives and eliminated a significant amount of discretionary spend to manage through the COVID-19 crisis. The decrease in selling and administrative expenses in the first nine months of 2020 was primarily due to the decreases in personnel costs, as a result of a reduction in headcount, a decrease in variable incentive costs due to a decline in profitability in most markets, and the benefits related to the transition of full-time equivalent employees onto government temporary unemployment programs in certain markets that mostly occurred in the second quarter of 2020. The decreases are also due to the reduction of our discretionary expenses. These decreases were offset by the increase in restructuring costs to $20.7 million in the first nine months of 2020 compared to $5.4 million in the first nine months of 2019, the loss on the disposition of subsidiaries and the additional recurring selling and administrative costs from our acquisition of the remaining interest in Manpower Switzerland.</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OUP margin in Southern Europe was 3.4% for the third quarter of 2020 compared to 4.9% for 2019. In France, the OUP margin decreased to 4.3% for the third quarter of 2020 from 5.1% in 2019 primarily due to expense deleveraging partially offset by the increase in the gross profit margin. In Italy, the OUP margin decreased to 4.4% for the third quarter of 2020 from 6.2% for 2019 primarily due to the decline in the gross profit margin, the increase in restructuring costs to $1.8 million in the third quarter of 2020 compared to zero in the third quarter of 2019 and expense deleveraging. Other Southern Europe’s OUP margin decreased to 0.9% for the third quarter of 2020 from 3.9% in 2019, due to the increase in restructuring costs to $5.8 million in the third quarter of 2020 compared to zero in the third quarter of 2019, the loss from the disposition of subsidiaries in the third quarter of 2020, decrease in the gross profit margin and expense deleveraging.</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OUP margin in Southern Europe was 2.5% for the nine months ended September 30, 2020 compared to 4.8% in 2019. In France, the OUP margin decreased to 2.9% in the nine months ended September 30, 2020 compared to 4.9% in 2019. In Italy, the OUP margin decreased to 4.3% in the nine months ended September 30, 2020 compared to 6.5% in 2019. The decreases in France and Italy were primarily due to the decline in the gross profit margin and expense deleveraging. Other Southern Europe’s OUP margin decreased to 0.6% in the nine months ended September 30, 2020 compared to 3.2% in 2019, due to the decrease in the gross profit margin, the increase in restructuring costs to $17.3 million in the first nine months of 2020 from $3.1 million in the first nine months of 2019, the loss from the disposition of subsidiaries in the first nine months of 2020 and expense deleveraging.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9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Northern Europe, which includes operations in the United Kingdom, Germany, the Nordics, the Netherlands and Belgium (comprising 34%, 16%, 21%, 12%, and 8%, respectively, of Northern Europe’s revenues), revenues from services decreased 18.8% (-21.6% in constant currency) in the third quarter of 2020 compared to 2019. We experienced revenue declines in the United Kingdom, Germany, the Nordics, the Netherlands and Belgium of 18.3%, 28.0%, 13.2%, 18.6% and 25.3% (-22.0%, -31.5%, -15.1%, -22.6% and -29.1%, respectively, in constant currency). The Northern Europe revenue decrease is primarily due to reduced demand for our Manpower staffing services and a 32.9% decrease (-35.9% in constant currency) in the permanent recruitment business, both primarily due to the impact of the COVID-19 crisis.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Revenues from services decreased 19.1% (-17.9% in constant currency) in the nine months ended September 30, 2020 compared to 2019. We experienced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revenue declines in the United Kingdom, Germany, the Nordics, the Netherlands and Belgium of 14.9%, 26.1%, 19.1%, 21.9% and 27.7% (-14.7%,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-26.0%, -15.3%, -21.9% and -27.8%, respectively, in constant currency). The Northern Europe revenue decrease is primarily due to reduced demand for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Manpower staffing services and a 32.1% decrease (-31.3% in constant currency) in the permanent recruitment business, both primarily due to the impact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COVID-19 crisis.</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Gross profit margin decreased in both the third quarter and first nine months of 2020 compared to 2019 due to the decreases in our permanent recruitment business for the third quarter and nine months ended September 30, 2020 compared to 2019, and the declines in the Experis interim margins due to client mix changes, as a higher percentage of revenues consisted of revenues from our lower-margin enterprise clients, and the margin decrease in our Proservia business primarily related to the lower utilization of consultants in Germany.</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Selling and administrative expenses increased 1.2% (decrease of -3.2% in constant currency) in the third quarter of 2020 compared to 2019 primarily due to the increase in restructuring costs to $24.1 million in the third quarter of 2020 from zero in the third quarter of 2019 and the unfavorable impact of changes in currency exchange rates. These increases were partially offset by the decrease in discretionary expenses and personnel costs, as a result of a reduction in headcount, a decrease in variable incentive costs due to declines in profitability in most markets, and the continued benefits related to the transition of full-time equivalent employees onto government temporary unemployment programs in Germany and the Netherlands.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line="272" w:lineRule="auto"/>
        <w:rPr>
          <w:sz w:val="20"/>
          <w:szCs w:val="20"/>
          <w:color w:val="auto"/>
        </w:rPr>
      </w:pPr>
      <w:r>
        <w:rPr>
          <w:rFonts w:ascii="Arial" w:cs="Arial" w:eastAsia="Arial" w:hAnsi="Arial"/>
          <w:sz w:val="17"/>
          <w:szCs w:val="17"/>
          <w:color w:val="auto"/>
        </w:rPr>
        <w:t>Selling and administrative expenses decreased 9.7% (-8.9% in constant currency) in the nine months ended September 30, 2020 compared to 2019 primarily due to the decrease in personnel costs, as a result of a reduction in headcount, a decrease in variable incentive costs due to declines in profitability in most markets, and the benefits related to the transition of full-time equivalent employees onto government temporary unemployment programs in certain markets, mostly in the second quarter of 2020. The decrease is also due to the decline in office-related expenses driven by a decrease in the number of offices, and a reduction of our discretionary expenses. These decreases were partially offset by increase of restructuring costs to $43.5 million in the first nine months of 2020 from $18.7 million in the first nine months of 2019 and the increase in the goodwill impairment charge in Germany of $66.8 million in the first nine months of 2020 compared to $60.2 million in the first nine months of 2019.</w:t>
      </w:r>
    </w:p>
    <w:p>
      <w:pPr>
        <w:spacing w:after="0" w:line="15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Northern Europe experienced a decrease to an operating unit loss of 2.4% in the third quarter of 2020 from an OUP margin of 2.0% in the third quarter of 2019 and a decrease to an operating unit loss of 1.3% in the nine months ended September 30, 2020 from an OUP margin of 1.4% in the nine months ended September 30, 2019. The decreases were primarily due to the declines in the gross profit margins, the increase in restructuring costs, and expense deleveraging. The decrease in the nine months ended September 30, 2020 was also due increase in the goodwill impairment charge in 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Revenues from services decreased 5.4% (-6.0% in constant currency) in the third quarter of 2020 compared to 2019. In Japan (which represents 45% of APME’s revenues), revenues from services increased 5.7% (4.5% in constant currency) due to the increased demand for our staffing/interim services, partially offset by a 13.0% decrease (-14.0% in constant currency) in our permanent recruitment business and the unfavorable impact of approximately one fewer billing day. In Australia (which represents 17% of APME’s revenues), revenues from services decreased 4.5% (-8.4% in constant currency) due to the decline in demand for our staffing/interim services and the 5.0% (-8.8% in constant currency) decrease in our permanent recruitment business, both due to the impact of the COVID-19 crisis, as well as the unfavorable impact of approximately one fewer billing day. The revenue decrease in the remaining markets in APME is due to the decline in demand for our staffing/interim services and the decrease in our permanent recruitment business, both due to the COVID-19 crisis, partially offset by the increase in demand for our Talent-Based Outsourcing services within our Manpower business.</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Revenues from services decreased 14.2% (-13.3% in constant currency and -2.8% in organic constant currency) in the nine months ended September 30, 2020 compared to 2019. In Japan, revenues from services increased 8.8% (7.2% in constant currency) due to increased demand for our staffing/interim services, an increase in our Talent Solutions business and the favorable impact of approximately one additional billing days in the first nine months of 2020 compared to 2019. These increases were partially offset by a 5.1% decrease (-6.5% in constant currency) in our permanent recruitment business. In Australia, revenues from services decreased 20.3% (-17.6% in constant currency) due to the decrease in our staffing/interim revenues, as a result of our decision to exit certain businesses with low-margins to improve profitability and the impact of the COVID-19 crisis, the 8.7% (-5.6% in constant currency) decline in our permanent recruitment business and the unfavorable impact of approximately one fewer billing day. The revenue decrease in the remaining markets in APME is due to the Deconsolidation, and the decline in demand for our staffing/interim services and the decrease in our permanent recruitment business, both due to the COVID-19 crisis, partially offset by the increase in demand for our Talent-Based Outsourcing services within our Manpower business.</w:t>
      </w:r>
    </w:p>
    <w:p>
      <w:pPr>
        <w:spacing w:after="0" w:line="1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margin increased in the third quarter of 2020 compared to 2019 due to the increase in our staffing/interim margin, mostly in Japan, partially offset by the decrease in our permanent recruitment business of 15.8% (-18.2% in constant currency). Gross profit margin decreased in the first nine months of 2020 compared to 2019 due to the decrease in our permanent recruitment business of 30.3% (-28.8% in constant currency and -11.6% in organic constant currency), partially offset by the increase in our staffing/interim margin, mostly in Japan.</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Selling and administrative expenses increased 82.3% (79.4% in constant currency) in the third quarter of 2020 compared to 2019 primarily due to the gain of $30.4 million from the Deconsolidation in the third quarter of 2019, an increase in costs to support the increase in revenues in certain markets, and the increase of restructuring costs to $1.5 in the third quarter of 2020 from zero in the third quarter of 2019.</w:t>
      </w:r>
    </w:p>
    <w:p>
      <w:pPr>
        <w:spacing w:after="0" w:line="13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Selling and administrative expenses increased 2.5% (3.5% in constant currency and 22.9% in organic constant currency) in the first nine months of 2020 compared to 2019 primarily due to the gain from the Deconsolidation in the first nine months of 2019 and an increase in costs to support the increase in revenues in certain markets. These increases were partially offset by the reduction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6" w:name="page37"/>
    <w:bookmarkEnd w:id="36"/>
    <w:p>
      <w:pPr>
        <w:ind w:right="180"/>
        <w:spacing w:after="0" w:line="277" w:lineRule="auto"/>
        <w:rPr>
          <w:sz w:val="20"/>
          <w:szCs w:val="20"/>
          <w:color w:val="auto"/>
        </w:rPr>
      </w:pPr>
      <w:r>
        <w:rPr>
          <w:rFonts w:ascii="Arial" w:cs="Arial" w:eastAsia="Arial" w:hAnsi="Arial"/>
          <w:sz w:val="18"/>
          <w:szCs w:val="18"/>
          <w:color w:val="auto"/>
        </w:rPr>
        <w:t>recurring selling and administrative costs as a result of the Deconsolidation and the decrease of restructuring costs to $4.1 million in the first nine months of 2020 compared to $4.4 million in the first nine months of 2019.</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OUP margin for APME decreased to 2.8% in the third quarter of 2020 from 8.7% in the third quarter of 2019 due to the gain from the Deconsolidation in the third quarter of 2019, an increase in restructuring costs and expense deleveraging, partially offset by an increase in the gross profit margin. OUP margin decreased to 2.9% in the first nine months of 2020 from 5.1% in the first nine months of 2019 due to the gain from the Deconsolidation in the third quarter of 2019, a decline in the gross profit margin and expense deleveraging.</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9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7" w:name="page38"/>
    <w:bookmarkEnd w:id="37"/>
    <w:p>
      <w:pPr>
        <w:ind w:right="460"/>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520" w:type="dxa"/>
            <w:vAlign w:val="bottom"/>
            <w:tcBorders>
              <w:bottom w:val="single" w:sz="8" w:color="auto"/>
            </w:tcBorders>
            <w:gridSpan w:val="7"/>
          </w:tcPr>
          <w:p>
            <w:pPr>
              <w:ind w:left="960"/>
              <w:spacing w:after="0"/>
              <w:rPr>
                <w:sz w:val="20"/>
                <w:szCs w:val="20"/>
                <w:color w:val="auto"/>
              </w:rPr>
            </w:pPr>
            <w:r>
              <w:rPr>
                <w:rFonts w:ascii="Arial" w:cs="Arial" w:eastAsia="Arial" w:hAnsi="Arial"/>
                <w:sz w:val="16"/>
                <w:szCs w:val="16"/>
                <w:b w:val="1"/>
                <w:bCs w:val="1"/>
                <w:color w:val="auto"/>
              </w:rPr>
              <w:t>3 Months Ended September 30, 2020 Compared to 2019</w:t>
            </w: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ind w:left="119"/>
              <w:spacing w:after="0"/>
              <w:rPr>
                <w:sz w:val="20"/>
                <w:szCs w:val="20"/>
                <w:color w:val="auto"/>
              </w:rPr>
            </w:pPr>
            <w:r>
              <w:rPr>
                <w:rFonts w:ascii="Arial" w:cs="Arial" w:eastAsia="Arial" w:hAnsi="Arial"/>
                <w:sz w:val="16"/>
                <w:szCs w:val="16"/>
                <w:color w:val="auto"/>
                <w:w w:val="94"/>
              </w:rPr>
              <w:t>Impact of</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ind w:left="119"/>
              <w:spacing w:after="0"/>
              <w:rPr>
                <w:sz w:val="20"/>
                <w:szCs w:val="20"/>
                <w:color w:val="auto"/>
              </w:rPr>
            </w:pPr>
            <w:r>
              <w:rPr>
                <w:rFonts w:ascii="Arial" w:cs="Arial" w:eastAsia="Arial" w:hAnsi="Arial"/>
                <w:sz w:val="16"/>
                <w:szCs w:val="16"/>
                <w:color w:val="auto"/>
                <w:w w:val="96"/>
              </w:rPr>
              <w:t>Acquisitions</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280"/>
              <w:spacing w:after="0"/>
              <w:rPr>
                <w:sz w:val="20"/>
                <w:szCs w:val="20"/>
                <w:color w:val="auto"/>
              </w:rPr>
            </w:pPr>
            <w:r>
              <w:rPr>
                <w:rFonts w:ascii="Arial" w:cs="Arial" w:eastAsia="Arial" w:hAnsi="Arial"/>
                <w:sz w:val="16"/>
                <w:szCs w:val="16"/>
                <w:color w:val="auto"/>
              </w:rPr>
              <w:t>Constant</w:t>
            </w:r>
          </w:p>
        </w:tc>
        <w:tc>
          <w:tcPr>
            <w:tcW w:w="1300" w:type="dxa"/>
            <w:vAlign w:val="bottom"/>
          </w:tcPr>
          <w:p>
            <w:pPr>
              <w:jc w:val="center"/>
              <w:ind w:left="119"/>
              <w:spacing w:after="0"/>
              <w:rPr>
                <w:sz w:val="20"/>
                <w:szCs w:val="20"/>
                <w:color w:val="auto"/>
              </w:rPr>
            </w:pPr>
            <w:r>
              <w:rPr>
                <w:rFonts w:ascii="Arial" w:cs="Arial" w:eastAsia="Arial" w:hAnsi="Arial"/>
                <w:sz w:val="16"/>
                <w:szCs w:val="16"/>
                <w:color w:val="auto"/>
                <w:w w:val="93"/>
              </w:rPr>
              <w:t>and Dispositions</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99"/>
        </w:trPr>
        <w:tc>
          <w:tcPr>
            <w:tcW w:w="2640" w:type="dxa"/>
            <w:vAlign w:val="bottom"/>
          </w:tcPr>
          <w:p>
            <w:pPr>
              <w:spacing w:after="0"/>
              <w:rPr>
                <w:sz w:val="17"/>
                <w:szCs w:val="17"/>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Reported</w:t>
            </w:r>
          </w:p>
        </w:tc>
        <w:tc>
          <w:tcPr>
            <w:tcW w:w="6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Reported</w:t>
            </w: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Impact of</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300" w:type="dxa"/>
            <w:vAlign w:val="bottom"/>
          </w:tcPr>
          <w:p>
            <w:pPr>
              <w:jc w:val="center"/>
              <w:ind w:left="119"/>
              <w:spacing w:after="0"/>
              <w:rPr>
                <w:sz w:val="20"/>
                <w:szCs w:val="20"/>
                <w:color w:val="auto"/>
              </w:rPr>
            </w:pPr>
            <w:r>
              <w:rPr>
                <w:rFonts w:ascii="Arial" w:cs="Arial" w:eastAsia="Arial" w:hAnsi="Arial"/>
                <w:sz w:val="16"/>
                <w:szCs w:val="16"/>
                <w:color w:val="auto"/>
                <w:w w:val="94"/>
              </w:rPr>
              <w:t>(In Constant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40" w:type="dxa"/>
            <w:vAlign w:val="bottom"/>
          </w:tcPr>
          <w:p>
            <w:pPr>
              <w:jc w:val="right"/>
              <w:ind w:right="25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6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40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300" w:type="dxa"/>
            <w:vAlign w:val="bottom"/>
          </w:tcPr>
          <w:p>
            <w:pPr>
              <w:jc w:val="center"/>
              <w:ind w:left="119"/>
              <w:spacing w:after="0"/>
              <w:rPr>
                <w:sz w:val="20"/>
                <w:szCs w:val="20"/>
                <w:color w:val="auto"/>
              </w:rPr>
            </w:pPr>
            <w:r>
              <w:rPr>
                <w:rFonts w:ascii="Arial" w:cs="Arial" w:eastAsia="Arial" w:hAnsi="Arial"/>
                <w:sz w:val="16"/>
                <w:szCs w:val="16"/>
                <w:color w:val="auto"/>
                <w:w w:val="93"/>
              </w:rPr>
              <w:t>Currency)</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209"/>
        </w:trPr>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2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Arial" w:cs="Arial" w:eastAsia="Arial" w:hAnsi="Arial"/>
                <w:sz w:val="16"/>
                <w:szCs w:val="16"/>
                <w:color w:val="auto"/>
              </w:rPr>
              <w:t>Americas:</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United States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578.8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2.1%</w:t>
            </w:r>
          </w:p>
        </w:tc>
        <w:tc>
          <w:tcPr>
            <w:tcW w:w="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Americas</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350.3</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(10.0)%</w:t>
            </w:r>
          </w:p>
        </w:tc>
        <w:tc>
          <w:tcPr>
            <w:tcW w:w="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(8.2)%</w:t>
            </w:r>
          </w:p>
        </w:tc>
        <w:tc>
          <w:tcPr>
            <w:tcW w:w="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264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929.1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1.3%</w:t>
            </w:r>
          </w:p>
        </w:tc>
        <w:tc>
          <w:tcPr>
            <w:tcW w:w="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7"/>
        </w:trPr>
        <w:tc>
          <w:tcPr>
            <w:tcW w:w="2640" w:type="dxa"/>
            <w:vAlign w:val="bottom"/>
          </w:tcPr>
          <w:p>
            <w:pPr>
              <w:spacing w:after="0"/>
              <w:rPr>
                <w:sz w:val="20"/>
                <w:szCs w:val="20"/>
                <w:color w:val="auto"/>
              </w:rPr>
            </w:pPr>
            <w:r>
              <w:rPr>
                <w:rFonts w:ascii="Arial" w:cs="Arial" w:eastAsia="Arial" w:hAnsi="Arial"/>
                <w:sz w:val="16"/>
                <w:szCs w:val="16"/>
                <w:color w:val="auto"/>
              </w:rPr>
              <w:t>Southern Europe:</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France</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1,205.3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2640" w:type="dxa"/>
            <w:vAlign w:val="bottom"/>
          </w:tcPr>
          <w:p>
            <w:pPr>
              <w:ind w:left="260"/>
              <w:spacing w:after="0"/>
              <w:rPr>
                <w:sz w:val="20"/>
                <w:szCs w:val="20"/>
                <w:color w:val="auto"/>
              </w:rPr>
            </w:pPr>
            <w:r>
              <w:rPr>
                <w:rFonts w:ascii="Arial" w:cs="Arial" w:eastAsia="Arial" w:hAnsi="Arial"/>
                <w:sz w:val="16"/>
                <w:szCs w:val="16"/>
                <w:color w:val="auto"/>
              </w:rPr>
              <w:t>Italy</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351.2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2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Southern Europe</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555.9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7"/>
        </w:trPr>
        <w:tc>
          <w:tcPr>
            <w:tcW w:w="264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2,112.4</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(10.4)%</w:t>
            </w:r>
          </w:p>
        </w:tc>
        <w:tc>
          <w:tcPr>
            <w:tcW w:w="8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w:t>
            </w:r>
          </w:p>
        </w:tc>
        <w:tc>
          <w:tcPr>
            <w:tcW w:w="6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(14.7)%</w:t>
            </w:r>
          </w:p>
        </w:tc>
        <w:tc>
          <w:tcPr>
            <w:tcW w:w="60" w:type="dxa"/>
            <w:vAlign w:val="bottom"/>
            <w:tcBorders>
              <w:bottom w:val="single" w:sz="8" w:color="CFF0FC"/>
            </w:tcBorders>
          </w:tcPr>
          <w:p>
            <w:pPr>
              <w:spacing w:after="0"/>
              <w:rPr>
                <w:sz w:val="17"/>
                <w:szCs w:val="17"/>
                <w:color w:val="auto"/>
              </w:rPr>
            </w:pPr>
          </w:p>
        </w:tc>
        <w:tc>
          <w:tcPr>
            <w:tcW w:w="1300" w:type="dxa"/>
            <w:vAlign w:val="bottom"/>
            <w:tcBorders>
              <w:bottom w:val="single" w:sz="8" w:color="CFF0FC"/>
            </w:tcBorders>
          </w:tcPr>
          <w:p>
            <w:pPr>
              <w:spacing w:after="0"/>
              <w:rPr>
                <w:sz w:val="17"/>
                <w:szCs w:val="17"/>
                <w:color w:val="auto"/>
              </w:rPr>
            </w:pPr>
          </w:p>
        </w:tc>
        <w:tc>
          <w:tcPr>
            <w:tcW w:w="42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2"/>
        </w:trPr>
        <w:tc>
          <w:tcPr>
            <w:tcW w:w="2640" w:type="dxa"/>
            <w:vAlign w:val="bottom"/>
            <w:shd w:val="clear" w:color="auto" w:fill="CFF0FC"/>
          </w:tcPr>
          <w:p>
            <w:pPr>
              <w:spacing w:after="0"/>
              <w:rPr>
                <w:sz w:val="20"/>
                <w:szCs w:val="20"/>
                <w:color w:val="auto"/>
              </w:rPr>
            </w:pPr>
            <w:r>
              <w:rPr>
                <w:rFonts w:ascii="Arial" w:cs="Arial" w:eastAsia="Arial" w:hAnsi="Arial"/>
                <w:sz w:val="16"/>
                <w:szCs w:val="16"/>
                <w:color w:val="auto"/>
              </w:rPr>
              <w:t>Northern Europe</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947.7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APME</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595.6</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0.6%</w:t>
            </w:r>
          </w:p>
        </w:tc>
        <w:tc>
          <w:tcPr>
            <w:tcW w:w="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4,584.8</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7"/>
              </w:rPr>
              <w:t>0.2%</w:t>
            </w:r>
          </w:p>
        </w:tc>
        <w:tc>
          <w:tcPr>
            <w:tcW w:w="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87"/>
              </w:rPr>
              <w:t>0.3%</w:t>
            </w:r>
          </w:p>
        </w:tc>
        <w:tc>
          <w:tcPr>
            <w:tcW w:w="6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line="20" w:lineRule="exact"/>
              <w:rPr>
                <w:sz w:val="1"/>
                <w:szCs w:val="1"/>
                <w:color w:val="auto"/>
              </w:rPr>
            </w:pPr>
          </w:p>
        </w:tc>
      </w:tr>
      <w:tr>
        <w:trPr>
          <w:trHeight w:val="196"/>
        </w:trPr>
        <w:tc>
          <w:tcPr>
            <w:tcW w:w="2640" w:type="dxa"/>
            <w:vAlign w:val="bottom"/>
            <w:vMerge w:val="continue"/>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725.1</w:t>
            </w: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FF0FC"/>
          </w:tcPr>
          <w:p>
            <w:pPr>
              <w:spacing w:after="0"/>
              <w:rPr>
                <w:sz w:val="20"/>
                <w:szCs w:val="20"/>
                <w:color w:val="auto"/>
              </w:rPr>
            </w:pPr>
            <w:r>
              <w:rPr>
                <w:rFonts w:ascii="Arial" w:cs="Arial" w:eastAsia="Arial" w:hAnsi="Arial"/>
                <w:sz w:val="16"/>
                <w:szCs w:val="16"/>
                <w:color w:val="auto"/>
              </w:rPr>
              <w:t>Selling and Administrative Expenses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663.5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0.2%</w:t>
            </w:r>
          </w:p>
        </w:tc>
        <w:tc>
          <w:tcPr>
            <w:tcW w:w="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6"/>
                <w:szCs w:val="16"/>
                <w:color w:val="auto"/>
              </w:rPr>
              <w:t>Operating Profit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(71.6)%</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7"/>
              </w:rPr>
              <w:t>0.3%</w:t>
            </w:r>
          </w:p>
        </w:tc>
        <w:tc>
          <w:tcPr>
            <w:tcW w:w="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millions for the three months ended September 30,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8"/>
          </w:tcPr>
          <w:p>
            <w:pPr>
              <w:ind w:left="980"/>
              <w:spacing w:after="0"/>
              <w:rPr>
                <w:sz w:val="20"/>
                <w:szCs w:val="20"/>
                <w:color w:val="auto"/>
              </w:rPr>
            </w:pPr>
            <w:r>
              <w:rPr>
                <w:rFonts w:ascii="Arial" w:cs="Arial" w:eastAsia="Arial" w:hAnsi="Arial"/>
                <w:sz w:val="16"/>
                <w:szCs w:val="16"/>
                <w:b w:val="1"/>
                <w:bCs w:val="1"/>
                <w:color w:val="auto"/>
              </w:rPr>
              <w:t>9 Months Ended September 30, 2020 Compared to 2019</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Impact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Acquisitions</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Constant</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and Dispositions</w:t>
            </w: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Reported</w:t>
            </w:r>
          </w:p>
        </w:tc>
        <w:tc>
          <w:tcPr>
            <w:tcW w:w="6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Reported</w:t>
            </w: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Impact of</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(In Constant</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5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6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40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Currency)</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210"/>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United States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1,705.6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Americas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1,071.1</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(14.4)%</w:t>
            </w: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(10.2)%</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w:t>
            </w:r>
          </w:p>
        </w:tc>
        <w:tc>
          <w:tcPr>
            <w:tcW w:w="60" w:type="dxa"/>
            <w:vAlign w:val="bottom"/>
            <w:tcBorders>
              <w:bottom w:val="single" w:sz="8" w:color="CFF0FC"/>
            </w:tcBorders>
          </w:tcPr>
          <w:p>
            <w:pPr>
              <w:spacing w:after="0"/>
              <w:rPr>
                <w:sz w:val="18"/>
                <w:szCs w:val="18"/>
                <w:color w:val="auto"/>
              </w:rPr>
            </w:pPr>
          </w:p>
        </w:tc>
        <w:tc>
          <w:tcPr>
            <w:tcW w:w="178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2,776.7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6"/>
        </w:trPr>
        <w:tc>
          <w:tcPr>
            <w:tcW w:w="2600" w:type="dxa"/>
            <w:vAlign w:val="bottom"/>
          </w:tcPr>
          <w:p>
            <w:pPr>
              <w:spacing w:after="0"/>
              <w:rPr>
                <w:sz w:val="20"/>
                <w:szCs w:val="20"/>
                <w:color w:val="auto"/>
              </w:rPr>
            </w:pPr>
            <w:r>
              <w:rPr>
                <w:rFonts w:ascii="Arial" w:cs="Arial" w:eastAsia="Arial" w:hAnsi="Arial"/>
                <w:sz w:val="16"/>
                <w:szCs w:val="16"/>
                <w:color w:val="auto"/>
              </w:rPr>
              <w:t>Southern Europe: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France</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3,035.1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3"/>
        </w:trPr>
        <w:tc>
          <w:tcPr>
            <w:tcW w:w="2600" w:type="dxa"/>
            <w:vAlign w:val="bottom"/>
          </w:tcPr>
          <w:p>
            <w:pPr>
              <w:ind w:left="260"/>
              <w:spacing w:after="0"/>
              <w:rPr>
                <w:sz w:val="20"/>
                <w:szCs w:val="20"/>
                <w:color w:val="auto"/>
              </w:rPr>
            </w:pPr>
            <w:r>
              <w:rPr>
                <w:rFonts w:ascii="Arial" w:cs="Arial" w:eastAsia="Arial" w:hAnsi="Arial"/>
                <w:sz w:val="16"/>
                <w:szCs w:val="16"/>
                <w:color w:val="auto"/>
              </w:rPr>
              <w:t>Italy</w:t>
            </w:r>
          </w:p>
        </w:tc>
        <w:tc>
          <w:tcPr>
            <w:tcW w:w="1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947.4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w:t>
            </w:r>
          </w:p>
        </w:tc>
        <w:tc>
          <w:tcPr>
            <w:tcW w:w="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Southern Europe</w:t>
            </w: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1,545.4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6"/>
        </w:trPr>
        <w:tc>
          <w:tcPr>
            <w:tcW w:w="26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5,527.9</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(19.4)%</w:t>
            </w:r>
          </w:p>
        </w:tc>
        <w:tc>
          <w:tcPr>
            <w:tcW w:w="8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(19.9)%</w:t>
            </w:r>
          </w:p>
        </w:tc>
        <w:tc>
          <w:tcPr>
            <w:tcW w:w="60" w:type="dxa"/>
            <w:vAlign w:val="bottom"/>
            <w:tcBorders>
              <w:bottom w:val="single" w:sz="8" w:color="CFF0FC"/>
            </w:tcBorders>
          </w:tcPr>
          <w:p>
            <w:pPr>
              <w:spacing w:after="0"/>
              <w:rPr>
                <w:sz w:val="17"/>
                <w:szCs w:val="17"/>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rPr>
              <w:t>Northern Europe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2,881.9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APME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1,759.6</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(14.2)%</w:t>
            </w: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(0.9)%</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(13.3)%</w:t>
            </w:r>
          </w:p>
        </w:tc>
        <w:tc>
          <w:tcPr>
            <w:tcW w:w="60" w:type="dxa"/>
            <w:vAlign w:val="bottom"/>
            <w:tcBorders>
              <w:bottom w:val="single" w:sz="8" w:color="CFF0FC"/>
            </w:tcBorders>
          </w:tcPr>
          <w:p>
            <w:pPr>
              <w:spacing w:after="0"/>
              <w:rPr>
                <w:sz w:val="18"/>
                <w:szCs w:val="18"/>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(10.5)%</w:t>
            </w:r>
          </w:p>
        </w:tc>
        <w:tc>
          <w:tcPr>
            <w:tcW w:w="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12,946.1</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6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(18.6)%</w:t>
            </w:r>
          </w:p>
        </w:tc>
        <w:tc>
          <w:tcPr>
            <w:tcW w:w="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line="20" w:lineRule="exact"/>
              <w:rPr>
                <w:sz w:val="1"/>
                <w:szCs w:val="1"/>
                <w:color w:val="auto"/>
              </w:rPr>
            </w:pPr>
          </w:p>
        </w:tc>
      </w:tr>
      <w:tr>
        <w:trPr>
          <w:trHeight w:val="197"/>
        </w:trPr>
        <w:tc>
          <w:tcPr>
            <w:tcW w:w="26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2,025.8</w:t>
            </w: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w w:val="99"/>
              </w:rPr>
              <w:t>Selling and Administrative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1,976.5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Arial" w:cs="Arial" w:eastAsia="Arial" w:hAnsi="Arial"/>
                <w:sz w:val="16"/>
                <w:szCs w:val="16"/>
                <w:color w:val="auto"/>
              </w:rPr>
              <w:t>Operating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49.3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(89.1)%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(88.4)%</w:t>
            </w:r>
          </w:p>
        </w:tc>
        <w:tc>
          <w:tcPr>
            <w:tcW w:w="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6620" w:firstLine="8"/>
        <w:spacing w:after="0" w:line="461" w:lineRule="auto"/>
        <w:tabs>
          <w:tab w:leader="none" w:pos="3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millions for the nine months ended September 30, 2020. </w:t>
      </w:r>
      <w:r>
        <w:rPr>
          <w:rFonts w:ascii="Arial" w:cs="Arial" w:eastAsia="Arial" w:hAnsi="Arial"/>
          <w:sz w:val="18"/>
          <w:szCs w:val="18"/>
          <w:u w:val="single" w:color="auto"/>
          <w:color w:val="auto"/>
        </w:rPr>
        <w:t>Liquidity and Capital Resources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September 30, 2020, we had $1,300 million of cash held by foreign subsidiaries. We have historically made and anticipate future cash repatriations to the United States from certain foreign subsidiaries to fund domestic operations. With the enactment of the United States Tax Cuts and Jobs Act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ind w:right="80"/>
        <w:spacing w:after="0" w:line="342" w:lineRule="auto"/>
        <w:rPr>
          <w:sz w:val="20"/>
          <w:szCs w:val="20"/>
          <w:color w:val="auto"/>
        </w:rPr>
      </w:pPr>
      <w:r>
        <w:rPr>
          <w:rFonts w:ascii="Arial" w:cs="Arial" w:eastAsia="Arial" w:hAnsi="Arial"/>
          <w:sz w:val="16"/>
          <w:szCs w:val="16"/>
          <w:color w:val="auto"/>
        </w:rPr>
        <w:t>December 2017, we no longer record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operating activities was $715.7 million and $495.4 million during the nine months ended September 30, 2020 and 2019, respectively. Changes in operating assets and liabilities generated $599.7 million of cash during the nine months ended September 30, 2020 compared to $114.7 million of cash generated during the nine months ended September 30, 2019. These changes were primarily attributable to a decrease in accounts receivable, due to collections and the receivables not being replaced at the same level as a result of a decrease in demand for our services, and the benefit of certain government payment deferral measures introduced as part of the COVID-19 crisis. These improvements in our cash flows were partially offset by the decrease in our payroll-related liabilities due to lower activity.</w:t>
      </w:r>
    </w:p>
    <w:p>
      <w:pPr>
        <w:spacing w:after="0" w:line="15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Accounts receivable decreased to $4,535.7 million as of September 30, 2020 from $5,273.1 million as of December 31, 2019. This decrease is primarily due to successful collection efforts and the revenue decline, partially offset by the impact of changes in currency exchange rates. Days Sales Outstanding ("DSO") decreased by approximately 1.0 day from December 31, 2019 due to successful collection efforts and favorable mix changes, as a higher percentage of our consolidated revenues were generated in countries with a lower average DSO.</w:t>
      </w:r>
    </w:p>
    <w:p>
      <w:pPr>
        <w:spacing w:after="0" w:line="13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nature of our operations is such that our most significant current asset is accounts receivable, with an average days sales outstanding of between 55 and 60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Conversely, as the demand for our services declines, as we saw starting in late March and continuing through the third quarter of 2020 due to the impact of the COVID-19 crisis,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 During the third quarter of 2020, we were highly successful in receivable collections while incurring lower payroll costs on lower activity. Our improved cash flow also benefited from certain government payment deferral measures introduced as part of the COVID-19 crisis, with some of the benefits maturing in the third quarter. The impact of the remaining benefits is expected to mature in the last quarter of the 2020 and first quarter of 2021 and we expect lower levels of operating cash flow during the fourth quarter of 2020 and first quarter of 2021.</w:t>
      </w:r>
    </w:p>
    <w:p>
      <w:pPr>
        <w:spacing w:after="0" w:line="1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Capital expenditures were $30.5 million for the nine months ended September 30, 2020 compared to $36.2 million for the nine months ended September 30, 2019. These expenditures were primarily comprised of purchases of computer equipment, office furniture and other costs related to office openings and refurbishments, as well as capitalized software costs. The lower expenditures in 2020 compared to 2019 are primarily due to overall scale-back of activities in 2020 due to the COVID-19 crisis and the completion of a software development project in 2019, as well as the timing of capital expenditures.</w:t>
      </w:r>
    </w:p>
    <w:p>
      <w:pPr>
        <w:spacing w:after="0" w:line="14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nine months ended September 30, 2020, the total cash consideration paid for acquisitions, net of cash acquired, was $1.7 million, which represents a deferred consideration payment related to a previous acquisition.</w:t>
      </w:r>
    </w:p>
    <w:p>
      <w:pPr>
        <w:spacing w:after="0" w:line="15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September 30, 2020 we disposed of four businesses (Serbia, Croatia, Slovenia, Bulgaria) in our Southern Europe segment for $5.8 million, subject to normal post close working capital adjustments, and simultaneously entered into franchise agreements with the new ownership of these businesses. In connection with the disposition, we recognized a one-time loss on disposition of $5.8 million, which was included in the selling and administrative expenses in the Consolidated Statement of Operations for the three and nine months ended September 30, 2020.</w:t>
      </w:r>
    </w:p>
    <w:p>
      <w:pPr>
        <w:spacing w:after="0" w:line="13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8"/>
          <w:szCs w:val="18"/>
          <w:color w:val="auto"/>
        </w:rPr>
        <w:t>Switzerland. Both Manpower Switzerland and Experis AG are reported in our Southern Europe segment. The aggregate cash consideration paid was $212.7 million as of September 30, 2019 and was funded through cash on hand. Of the total consideration paid, $58.3 million was for the acquired interests and the remaining $154.4 million was for cash and cash equivalents. The total cash impact of the acquisition was an inflow of $104.8 million, net of cash acquired of $317.5 million. The acquisition of the remaining interest of Experis AG was accounted for as an equity transaction as we previously consolidated the entity.</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business combination, we recognized a one-time, non-cash gain on the disposition of our previously held equity interest in Manpower Switzerland of $80.4 million, which is included within interest and other expenses (income), net on the Consolidated Statements of Operations. Of the $80.4 million, $32.5 million represented the reclassification of foreign currency translation adjustments related to the previously held equity interest, from accumulated other comprehensive income.</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Excluding Manpower Switzerland and Experis AG, the total cash consideration paid for acquisitions, net of cash acquired, was $17.7 million for the nine months ended September 30, 2019. This balance represents contingent consideration payments related to previous acquisitions, of which $12.9 million had been recognized as a liability at the acquisition date.</w:t>
      </w:r>
    </w:p>
    <w:p>
      <w:pPr>
        <w:spacing w:after="0" w:line="14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the remaining interest under the equity method of accounting and record our share of equity income or loss in interest and other expenses (income), net in the Consolidated Statement of Operations. In connection with the deconsolidation of the joint venture, we recognized a one-time cash gain of $30.4, which was included in the selling and administrative expenses in the Consolidated Statement of Operations in the quarter ended September 30, 2019. Included in the $30.4 was foreign currency translation adjustment losses of $6.2 related to the joint venture from accumulated other comprehensive income.</w:t>
      </w:r>
    </w:p>
    <w:p>
      <w:pPr>
        <w:spacing w:after="0" w:line="1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debt repayments were $28.7 million in the nine months ended September 30, 2020 compared to cash provided by net borrowings of $6.3 million in the nine months ended September 30, 2019.</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€500.0 million notes and €400.0 million notes are due June 2026 and September 2022, respectively.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or €400.0 million notes.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2020, we had letters of credit totaling $0.5 million issued under our $600.0 million revolving credit facility. Additional borrowings of $599.5 million were available to us under the facility as of September 30, 2020.</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(0.24) to 1 and a fixed charge coverage ratio of 3.33 to 1 as of September 30, 2020. Based on our current forecast, we expect to be in compliance with our financial covenants for the next 12 months.</w:t>
      </w:r>
    </w:p>
    <w:p>
      <w:pPr>
        <w:spacing w:after="0" w:line="1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assessed what impact the COVID-19 crisis has had or may have on our liquidity position as of September 30, 2020 and for the near future. As of September 30, 2020, our cash and cash equivalents balance was $1,587.7 million. We also have access to the previously mentioned revolving credit facility that could immediately provide us with up to $600 million of additional cash, which remains unused as of September 30, 2020, and we have an option to request an increase to the total availability under the revolving credit facility by an additional $200 million and each lender may participate in the requested increase at their discretion. In addition, we have access to the previously mentioned credit lines of up to $300 million ($600 million in the third quarter) to meet the working capital needs of our subsidiaries, of which $262.0 million was available to use as of September 30, 2020. Our €500.0 million notes and €400.0 million notes that total $1,049.6 million as of September 30, 2020 mature in 2022 and 2026, thus, there are no payments due in the very near term except for annual interest payments. Based on the above, we believe we have sufficient liquidity and capital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ind w:right="320"/>
        <w:spacing w:after="0" w:line="277" w:lineRule="auto"/>
        <w:rPr>
          <w:sz w:val="20"/>
          <w:szCs w:val="20"/>
          <w:color w:val="auto"/>
        </w:rPr>
      </w:pPr>
      <w:r>
        <w:rPr>
          <w:rFonts w:ascii="Arial" w:cs="Arial" w:eastAsia="Arial" w:hAnsi="Arial"/>
          <w:sz w:val="18"/>
          <w:szCs w:val="18"/>
          <w:color w:val="auto"/>
        </w:rPr>
        <w:t>resources to satisfy future requirements and meet our obligations currently and in the near future should the COVID-19 crisis cause any additional cash flow needs.</w:t>
      </w:r>
    </w:p>
    <w:p>
      <w:pPr>
        <w:spacing w:after="0" w:line="14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Board of Directors declared a semi-annual dividend of $1.09 per share on both May 8, 2020 and May 10, 2019. The 2020 dividends were paid on June 15, 2020 to shareholders of record as of June 1, 2020. The 2019 dividends were paid on June 14, 2019 to shareholders of record on June 3, 2019.</w:t>
      </w:r>
    </w:p>
    <w:p>
      <w:pPr>
        <w:spacing w:after="0" w:line="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August 2019, the Board of Directors authorized the repurchase of 6.0 million shares of our common stock, with terms consistent with the previous authorizations. This authorization is in addition to the August 2018 Board authorizations to purchase 6.0 million shares of our common stock. Share repurchases may be made from time to time through a variety of methods, including open market purchases, block transactions, privately negotiated transactions or similar facilities. During the first nine months of 2020, we repurchased a total of 0.9 million shares comprised of 0.8 million shares under the 2018 authorization and 0.1 million shares under the 2019 authorization, at a total cost of $63.8 million. The repurchases in the first nine months of 2020 all occurred within the first quarter of 2020. During the first nine months of 2019, we repurchased a total of 1.8 million shares at a cost of $152.0 million under the 2018 authorization. As of September 30, 2020, there were 5.9 million shares remaining authorized for repurchase under the 2019 authorization and no shares remaining authorized for repurchase under the 2018 authorization.</w:t>
      </w:r>
    </w:p>
    <w:p>
      <w:pPr>
        <w:spacing w:after="0" w:line="13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had aggregate commitments of $2,139.3 million as of September 30, 2020 related to debt, operating leases, severances and office closure costs, transition tax resulting from the Tax Act and certain other commitments compared to $2,202.8 million as of December 31, 2019.</w:t>
      </w:r>
    </w:p>
    <w:p>
      <w:pPr>
        <w:spacing w:after="0" w:line="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totaling approximately $941.7 million and $845.0 million as of September 30, 2020 and December 31, 2019, respectively ($890.1 million and $793.4 million for guarantees, respectively, and $51.6 million for stand-by letters of credit as of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$1.4 million and $1.3 million for the nine months ended September 30, 2020 and 2019, respectively.</w:t>
      </w:r>
    </w:p>
    <w:p>
      <w:pPr>
        <w:spacing w:after="0" w:line="1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recorded net restructuring costs of $98.1 million and $42.5 million during the nine months ended September 30, 2020 and 2019, respectively, in selling and administrative expenses, primarily related to severances and office closures and consolidations in multiple countries and territories. As a result of the adoption of the new accounting guidance on leases as of January 1, 2019, the office closure costs of $22.4 million during the nine months ended September 30, 2020 were recorded as an impairment to the operating lease right-of-use asset and, thus, are not included in the restructuring reserve balance as of September 30, 2020. The costs paid, utilized or transferred out of our restructuring reserve were $55.5 million during the nine months ended September 30, 2020. We expect a majority of the remaining $49.9 million reserve will be paid by the end of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9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accordance with the accounting guidance for goodwill, we perform an annual impairment test of goodwill at our reporting unit level during the third quarter, or more frequently if events or circumstances change that would more likely than not reduce the fair value of our reporting units below carrying value.</w:t>
      </w:r>
    </w:p>
    <w:p>
      <w:pPr>
        <w:spacing w:after="0" w:line="14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Estimated cash flows and goodwill are grouped at the reporting unit level, which the company has determined to be a component of the operating segments for which discrete financial information is available and for which segment management regularly reviews the reporting results.</w:t>
      </w:r>
    </w:p>
    <w:p>
      <w:pPr>
        <w:spacing w:after="0" w:line="10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 during the third quarter of 2020 included: expected future revenue growth rates, operating unit profit margins, working capital levels, discount rates,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1" w:name="page42"/>
    <w:bookmarkEnd w:id="41"/>
    <w:p>
      <w:pPr>
        <w:ind w:right="280"/>
        <w:spacing w:after="0" w:line="263" w:lineRule="auto"/>
        <w:rPr>
          <w:sz w:val="20"/>
          <w:szCs w:val="20"/>
          <w:color w:val="auto"/>
        </w:rPr>
      </w:pPr>
      <w:r>
        <w:rPr>
          <w:rFonts w:ascii="Arial" w:cs="Arial" w:eastAsia="Arial" w:hAnsi="Arial"/>
          <w:sz w:val="18"/>
          <w:szCs w:val="18"/>
          <w:color w:val="auto"/>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the fair value of a reporting unit is less than the carrying value, including goodwill, we would record an impairment charge based on the excess of a reporting units’ carrying amount over its fair value.</w:t>
      </w:r>
    </w:p>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the second quarter of 2020, in connection with the preparation of our quarterly financial statements, we assessed the changes in circumstances that occurred during the quarter to determine if it was more likely than not that the fair value of any reporting unit was below its carrying amount. We identified several factors related to our Germany reporting unit that led us to conclude that it was more likely than not that the fair value of the reporting unit was below its carrying amount. These factors included sustained operating losses resulted from the ongoing decline and increased uncertainty in the outlook of the manufacturing sector, particularly the automotive sector in Germany, coupled with the significant implications of COVID-19.</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determined that it was more likely than not that the fair value of the Germany reporting unit was below its carrying amount, we performed an interim impairment test on this reporting unit as of June 30, 2020. As a result of our interim test, we recognized a non-cash impairment loss of $66.8, which resulted in full impairment of the remaining goodwill in the Germany reporting unit. The Germany reporting unit is included in the Northern Europe segment. The goodwill impairment charge resulted from reductions in the estimated fair value for our Germany reporting unit based on lower expectations for future revenue, profitability and cash flows as compared to the expectations of the 2019 annual goodwill impairment test and our quarterly assessments in the intervening periods due to the factors discussed above.</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performed our annual impairment test of our goodwill during the third quarter of 2020 and there was no impairment of our goodwill as a result of our annual tests. Refer to Note 1 for results of our annual goodwill impairment testing.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18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Our 2019 Annual Report on Form 10-K contains certain disclosures about market risks affecting us. There have been no material changes to the information provided which would require additional disclosures as of the date of this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jc w:val="center"/>
        <w:ind w:right="-319"/>
        <w:spacing w:after="0"/>
        <w:rPr>
          <w:sz w:val="20"/>
          <w:szCs w:val="20"/>
          <w:color w:val="auto"/>
        </w:rPr>
      </w:pPr>
      <w:r>
        <w:rPr>
          <w:rFonts w:ascii="Arial" w:cs="Arial" w:eastAsia="Arial" w:hAnsi="Arial"/>
          <w:sz w:val="18"/>
          <w:szCs w:val="18"/>
          <w:b w:val="1"/>
          <w:bCs w:val="1"/>
          <w:color w:val="auto"/>
        </w:rPr>
        <w:t>PART II -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the date of this filing, the Company and its operations continue to be subject to the risk factors previously disclosed in the “Risk Factors” sections contained in the 2019 Annual Report on Form 10-K and our Quarterly Report on Form 10-Q for the quarter ended March 31, 2020.</w:t>
      </w: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00" w:lineRule="exact"/>
        <w:rPr>
          <w:sz w:val="20"/>
          <w:szCs w:val="20"/>
          <w:color w:val="auto"/>
        </w:rPr>
      </w:pP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August 2019, the Board of Directors authorized the repurchase of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third quarter of 2020. As of September 30, 2020, there were 5.9 million shares remaining authorized for repurchase under the 2019 authorization.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4920" w:type="dxa"/>
            <w:vAlign w:val="bottom"/>
            <w:gridSpan w:val="8"/>
          </w:tcPr>
          <w:p>
            <w:pPr>
              <w:ind w:left="940"/>
              <w:spacing w:after="0"/>
              <w:rPr>
                <w:sz w:val="20"/>
                <w:szCs w:val="20"/>
                <w:color w:val="auto"/>
              </w:rPr>
            </w:pPr>
            <w:r>
              <w:rPr>
                <w:rFonts w:ascii="Arial" w:cs="Arial" w:eastAsia="Arial" w:hAnsi="Arial"/>
                <w:sz w:val="18"/>
                <w:szCs w:val="18"/>
                <w:b w:val="1"/>
                <w:bCs w:val="1"/>
                <w:color w:val="auto"/>
                <w:w w:val="98"/>
              </w:rPr>
              <w:t>ISSUER PURCHASES OF EQUITY SECURITIES</w:t>
            </w:r>
          </w:p>
        </w:tc>
        <w:tc>
          <w:tcPr>
            <w:tcW w:w="140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w w:val="91"/>
              </w:rPr>
              <w:t>Total number</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4"/>
              </w:rPr>
              <w:t>of 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purchased as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part of</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number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publicly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00"/>
              <w:spacing w:after="0"/>
              <w:rPr>
                <w:sz w:val="20"/>
                <w:szCs w:val="20"/>
                <w:color w:val="auto"/>
              </w:rPr>
            </w:pPr>
            <w:r>
              <w:rPr>
                <w:rFonts w:ascii="Arial" w:cs="Arial" w:eastAsia="Arial" w:hAnsi="Arial"/>
                <w:sz w:val="18"/>
                <w:szCs w:val="18"/>
                <w:b w:val="1"/>
                <w:bCs w:val="1"/>
                <w:color w:val="auto"/>
              </w:rPr>
              <w:t>shares that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price</w:t>
            </w: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announced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00"/>
              <w:spacing w:after="0"/>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paid per share</w:t>
            </w:r>
          </w:p>
        </w:tc>
        <w:tc>
          <w:tcPr>
            <w:tcW w:w="1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plan</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223"/>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July 1 - 31, 2020</w:t>
            </w:r>
          </w:p>
        </w:tc>
        <w:tc>
          <w:tcPr>
            <w:tcW w:w="10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5,879,887</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August 1 - 31, 2020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5,879,887</w:t>
            </w:r>
          </w:p>
        </w:tc>
        <w:tc>
          <w:tcPr>
            <w:tcW w:w="0" w:type="dxa"/>
            <w:vAlign w:val="bottom"/>
          </w:tcPr>
          <w:p>
            <w:pPr>
              <w:spacing w:after="0"/>
              <w:rPr>
                <w:sz w:val="1"/>
                <w:szCs w:val="1"/>
                <w:color w:val="auto"/>
              </w:rPr>
            </w:pPr>
          </w:p>
        </w:tc>
      </w:tr>
      <w:tr>
        <w:trPr>
          <w:trHeight w:val="229"/>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September 1 - 30, 2020</w:t>
            </w:r>
          </w:p>
        </w:tc>
        <w:tc>
          <w:tcPr>
            <w:tcW w:w="2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5,879,887</w:t>
            </w: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13,722</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5,879,887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80" w:right="180" w:hanging="372"/>
        <w:spacing w:after="0" w:line="277"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common stock withheld by ManpowerGroup to satisfy tax withholding obligations on shares acquired by certain officers in settlement of restricted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2020:</w:t>
      </w:r>
    </w:p>
    <w:p>
      <w:pPr>
        <w:spacing w:after="0" w:line="130" w:lineRule="exact"/>
        <w:rPr>
          <w:sz w:val="20"/>
          <w:szCs w:val="20"/>
          <w:color w:val="auto"/>
        </w:rPr>
      </w:pPr>
    </w:p>
    <w:p>
      <w:pPr>
        <w:ind w:left="460" w:right="2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 consultation regarding appropriate handling of items on the United States and international tax returns;</w:t>
      </w:r>
    </w:p>
    <w:p>
      <w:pPr>
        <w:spacing w:after="0" w:line="129"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Item 6 –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40" w:type="dxa"/>
            <w:vAlign w:val="bottom"/>
          </w:tcPr>
          <w:p>
            <w:pPr>
              <w:spacing w:after="0"/>
              <w:rPr>
                <w:sz w:val="20"/>
                <w:szCs w:val="20"/>
                <w:color w:val="auto"/>
              </w:rPr>
            </w:pPr>
            <w:r>
              <w:rPr>
                <w:rFonts w:ascii="Arial" w:cs="Arial" w:eastAsia="Arial" w:hAnsi="Arial"/>
                <w:sz w:val="20"/>
                <w:szCs w:val="20"/>
                <w:color w:val="auto"/>
              </w:rPr>
              <w:t>31.1</w:t>
            </w:r>
          </w:p>
        </w:tc>
        <w:tc>
          <w:tcPr>
            <w:tcW w:w="10020" w:type="dxa"/>
            <w:vAlign w:val="bottom"/>
            <w:gridSpan w:val="3"/>
          </w:tcPr>
          <w:p>
            <w:pPr>
              <w:spacing w:after="0"/>
              <w:rPr>
                <w:rFonts w:ascii="Arial" w:cs="Arial" w:eastAsia="Arial" w:hAnsi="Arial"/>
                <w:sz w:val="20"/>
                <w:szCs w:val="20"/>
                <w:color w:val="0000EE"/>
                <w:w w:val="90"/>
              </w:rPr>
            </w:pPr>
            <w:hyperlink w:anchor="page47">
              <w:r>
                <w:rPr>
                  <w:rFonts w:ascii="Arial" w:cs="Arial" w:eastAsia="Arial" w:hAnsi="Arial"/>
                  <w:sz w:val="20"/>
                  <w:szCs w:val="20"/>
                  <w:u w:val="single" w:color="auto"/>
                  <w:color w:val="0000EE"/>
                  <w:w w:val="90"/>
                </w:rPr>
                <w:t>Certification of Jonas Prising, Chief Executive Officer, pursuant to Section 13a-14(a) of the Securities Exchange Act of 1934</w:t>
              </w:r>
              <w:r>
                <w:rPr>
                  <w:rFonts w:ascii="Arial" w:cs="Arial" w:eastAsia="Arial" w:hAnsi="Arial"/>
                  <w:sz w:val="20"/>
                  <w:szCs w:val="20"/>
                  <w:color w:val="0000EE"/>
                  <w:w w:val="90"/>
                </w:rPr>
                <w:t>.</w:t>
              </w:r>
            </w:hyperlink>
          </w:p>
        </w:tc>
      </w:tr>
      <w:tr>
        <w:trPr>
          <w:trHeight w:val="414"/>
        </w:trPr>
        <w:tc>
          <w:tcPr>
            <w:tcW w:w="1140" w:type="dxa"/>
            <w:vAlign w:val="bottom"/>
          </w:tcPr>
          <w:p>
            <w:pPr>
              <w:spacing w:after="0"/>
              <w:rPr>
                <w:sz w:val="20"/>
                <w:szCs w:val="20"/>
                <w:color w:val="auto"/>
              </w:rPr>
            </w:pPr>
            <w:r>
              <w:rPr>
                <w:rFonts w:ascii="Arial" w:cs="Arial" w:eastAsia="Arial" w:hAnsi="Arial"/>
                <w:sz w:val="20"/>
                <w:szCs w:val="20"/>
                <w:color w:val="auto"/>
              </w:rPr>
              <w:t>31.2</w:t>
            </w:r>
          </w:p>
        </w:tc>
        <w:tc>
          <w:tcPr>
            <w:tcW w:w="10020" w:type="dxa"/>
            <w:vAlign w:val="bottom"/>
            <w:gridSpan w:val="3"/>
          </w:tcPr>
          <w:p>
            <w:pPr>
              <w:spacing w:after="0"/>
              <w:rPr>
                <w:rFonts w:ascii="Arial" w:cs="Arial" w:eastAsia="Arial" w:hAnsi="Arial"/>
                <w:sz w:val="20"/>
                <w:szCs w:val="20"/>
                <w:color w:val="0000EE"/>
                <w:w w:val="91"/>
              </w:rPr>
            </w:pPr>
            <w:hyperlink w:anchor="page48">
              <w:r>
                <w:rPr>
                  <w:rFonts w:ascii="Arial" w:cs="Arial" w:eastAsia="Arial" w:hAnsi="Arial"/>
                  <w:sz w:val="20"/>
                  <w:szCs w:val="20"/>
                  <w:color w:val="0000EE"/>
                  <w:w w:val="91"/>
                </w:rPr>
                <w:t>Certification of John T. McGinnis, Executive Vice President and Chief Financial Officer, pursuant to Section 13a-14(a) of the</w:t>
              </w:r>
            </w:hyperlink>
          </w:p>
        </w:tc>
      </w:tr>
      <w:tr>
        <w:trPr>
          <w:trHeight w:val="209"/>
        </w:trPr>
        <w:tc>
          <w:tcPr>
            <w:tcW w:w="1140" w:type="dxa"/>
            <w:vAlign w:val="bottom"/>
          </w:tcPr>
          <w:p>
            <w:pPr>
              <w:spacing w:after="0"/>
              <w:rPr>
                <w:sz w:val="18"/>
                <w:szCs w:val="18"/>
                <w:color w:val="auto"/>
              </w:rPr>
            </w:pPr>
          </w:p>
        </w:tc>
        <w:tc>
          <w:tcPr>
            <w:tcW w:w="266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9"/>
              </w:rPr>
            </w:pPr>
            <w:hyperlink w:anchor="page48">
              <w:r>
                <w:rPr>
                  <w:rFonts w:ascii="Arial" w:cs="Arial" w:eastAsia="Arial" w:hAnsi="Arial"/>
                  <w:sz w:val="20"/>
                  <w:szCs w:val="20"/>
                  <w:color w:val="0000EE"/>
                  <w:w w:val="89"/>
                </w:rPr>
                <w:t>Securities Exchange Act of 1934.</w:t>
              </w:r>
            </w:hyperlink>
          </w:p>
        </w:tc>
        <w:tc>
          <w:tcPr>
            <w:tcW w:w="72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r>
      <w:tr>
        <w:trPr>
          <w:trHeight w:val="484"/>
        </w:trPr>
        <w:tc>
          <w:tcPr>
            <w:tcW w:w="1140" w:type="dxa"/>
            <w:vAlign w:val="bottom"/>
          </w:tcPr>
          <w:p>
            <w:pPr>
              <w:spacing w:after="0"/>
              <w:rPr>
                <w:sz w:val="20"/>
                <w:szCs w:val="20"/>
                <w:color w:val="auto"/>
              </w:rPr>
            </w:pPr>
            <w:r>
              <w:rPr>
                <w:rFonts w:ascii="Arial" w:cs="Arial" w:eastAsia="Arial" w:hAnsi="Arial"/>
                <w:sz w:val="20"/>
                <w:szCs w:val="20"/>
                <w:color w:val="auto"/>
              </w:rPr>
              <w:t>32.1</w:t>
            </w:r>
          </w:p>
        </w:tc>
        <w:tc>
          <w:tcPr>
            <w:tcW w:w="10020" w:type="dxa"/>
            <w:vAlign w:val="bottom"/>
            <w:gridSpan w:val="3"/>
          </w:tcPr>
          <w:p>
            <w:pPr>
              <w:spacing w:after="0"/>
              <w:rPr>
                <w:rFonts w:ascii="Arial" w:cs="Arial" w:eastAsia="Arial" w:hAnsi="Arial"/>
                <w:sz w:val="20"/>
                <w:szCs w:val="20"/>
                <w:u w:val="single" w:color="auto"/>
                <w:color w:val="0000EE"/>
              </w:rPr>
            </w:pPr>
            <w:hyperlink w:anchor="page49">
              <w:r>
                <w:rPr>
                  <w:rFonts w:ascii="Arial" w:cs="Arial" w:eastAsia="Arial" w:hAnsi="Arial"/>
                  <w:sz w:val="20"/>
                  <w:szCs w:val="20"/>
                  <w:u w:val="single" w:color="auto"/>
                  <w:color w:val="0000EE"/>
                </w:rPr>
                <w:t>Statement of Jonas Prising, Chief Executive Officer, pursuant to 18 U.S.C. ss. 1350.</w:t>
              </w:r>
            </w:hyperlink>
          </w:p>
        </w:tc>
      </w:tr>
      <w:tr>
        <w:trPr>
          <w:trHeight w:val="459"/>
        </w:trPr>
        <w:tc>
          <w:tcPr>
            <w:tcW w:w="1140" w:type="dxa"/>
            <w:vAlign w:val="bottom"/>
          </w:tcPr>
          <w:p>
            <w:pPr>
              <w:spacing w:after="0"/>
              <w:rPr>
                <w:sz w:val="20"/>
                <w:szCs w:val="20"/>
                <w:color w:val="auto"/>
              </w:rPr>
            </w:pPr>
            <w:r>
              <w:rPr>
                <w:rFonts w:ascii="Arial" w:cs="Arial" w:eastAsia="Arial" w:hAnsi="Arial"/>
                <w:sz w:val="20"/>
                <w:szCs w:val="20"/>
                <w:color w:val="auto"/>
              </w:rPr>
              <w:t>32.2</w:t>
            </w:r>
          </w:p>
        </w:tc>
        <w:tc>
          <w:tcPr>
            <w:tcW w:w="10020" w:type="dxa"/>
            <w:vAlign w:val="bottom"/>
            <w:gridSpan w:val="3"/>
          </w:tcPr>
          <w:p>
            <w:pPr>
              <w:spacing w:after="0"/>
              <w:rPr>
                <w:rFonts w:ascii="Arial" w:cs="Arial" w:eastAsia="Arial" w:hAnsi="Arial"/>
                <w:sz w:val="20"/>
                <w:szCs w:val="20"/>
                <w:u w:val="single" w:color="auto"/>
                <w:color w:val="0000EE"/>
                <w:w w:val="96"/>
              </w:rPr>
            </w:pPr>
            <w:hyperlink w:anchor="page50">
              <w:r>
                <w:rPr>
                  <w:rFonts w:ascii="Arial" w:cs="Arial" w:eastAsia="Arial" w:hAnsi="Arial"/>
                  <w:sz w:val="20"/>
                  <w:szCs w:val="20"/>
                  <w:u w:val="single" w:color="auto"/>
                  <w:color w:val="0000EE"/>
                  <w:w w:val="96"/>
                </w:rPr>
                <w:t>Statement of John T. McGinnis, Executive Vice President and Chief Financial Officer, pursuant to 18 U.S.C. ss. 1350.</w:t>
              </w:r>
            </w:hyperlink>
          </w:p>
        </w:tc>
      </w:tr>
      <w:tr>
        <w:trPr>
          <w:trHeight w:val="427"/>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3"/>
          </w:tcPr>
          <w:p>
            <w:pPr>
              <w:spacing w:after="0"/>
              <w:rPr>
                <w:sz w:val="20"/>
                <w:szCs w:val="20"/>
                <w:color w:val="auto"/>
              </w:rPr>
            </w:pPr>
            <w:r>
              <w:rPr>
                <w:rFonts w:ascii="Arial" w:cs="Arial" w:eastAsia="Arial" w:hAnsi="Arial"/>
                <w:sz w:val="18"/>
                <w:szCs w:val="18"/>
                <w:color w:val="auto"/>
                <w:w w:val="90"/>
              </w:rPr>
              <w:t xml:space="preserve">Inline </w:t>
            </w:r>
            <w:r>
              <w:rPr>
                <w:rFonts w:ascii="Arial" w:cs="Arial" w:eastAsia="Arial" w:hAnsi="Arial"/>
                <w:sz w:val="18"/>
                <w:szCs w:val="18"/>
                <w:color w:val="212529"/>
                <w:w w:val="90"/>
              </w:rPr>
              <w:t>XBRL Instance Document</w:t>
            </w:r>
            <w:r>
              <w:rPr>
                <w:rFonts w:ascii="Arial" w:cs="Arial" w:eastAsia="Arial" w:hAnsi="Arial"/>
                <w:sz w:val="18"/>
                <w:szCs w:val="18"/>
                <w:color w:val="auto"/>
                <w:w w:val="90"/>
              </w:rPr>
              <w:t xml:space="preserve">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3"/>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44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3"/>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3"/>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3"/>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3"/>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229" w:lineRule="exact"/>
        <w:rPr>
          <w:sz w:val="20"/>
          <w:szCs w:val="20"/>
          <w:color w:val="auto"/>
        </w:rPr>
      </w:pPr>
    </w:p>
    <w:p>
      <w:pPr>
        <w:ind w:left="1140" w:hanging="1132"/>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2020 has been formatted in Inline 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31750</wp:posOffset>
            </wp:positionV>
            <wp:extent cx="16287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 November 6, 2020</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14605</wp:posOffset>
            </wp:positionV>
            <wp:extent cx="3463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14605</wp:posOffset>
            </wp:positionV>
            <wp:extent cx="3463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Donald Mondano</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Senior Vice President, Global Controller and Treasurer (Principal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340"/>
          </w:cols>
          <w:pgMar w:left="320" w:top="337" w:right="1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260" w:hanging="401"/>
        <w:spacing w:after="0" w:line="263"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80" w:hanging="401"/>
        <w:spacing w:after="0" w:line="27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2020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120" w:firstLine="399"/>
        <w:spacing w:after="0" w:line="453" w:lineRule="auto"/>
        <w:tabs>
          <w:tab w:leader="none" w:pos="7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Dated: November 6,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80" w:hanging="401"/>
        <w:spacing w:after="0" w:line="277"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2020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120" w:firstLine="399"/>
        <w:spacing w:after="0" w:line="453" w:lineRule="auto"/>
        <w:tabs>
          <w:tab w:leader="none" w:pos="7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Dated: November 6,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5"/>
    </w:lvl>
  </w:abstractNum>
  <w:abstractNum w:abstractNumId="7">
    <w:nsid w:val="79838CB2"/>
    <w:multiLevelType w:val="hybridMultilevel"/>
    <w:lvl w:ilvl="0">
      <w:lvlJc w:val="left"/>
      <w:lvlText w:val="(%1)"/>
      <w:numFmt w:val="decimal"/>
      <w:start w:val="6"/>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7"/>
    </w:lvl>
  </w:abstractNum>
  <w:abstractNum w:abstractNumId="10">
    <w:nsid w:val="189A769B"/>
    <w:multiLevelType w:val="hybridMultilevel"/>
    <w:lvl w:ilvl="0">
      <w:lvlJc w:val="left"/>
      <w:lvlText w:val="(%1)"/>
      <w:numFmt w:val="decimal"/>
      <w:start w:val="8"/>
    </w:lvl>
  </w:abstractNum>
  <w:abstractNum w:abstractNumId="11">
    <w:nsid w:val="54E49EB4"/>
    <w:multiLevelType w:val="hybridMultilevel"/>
    <w:lvl w:ilvl="0">
      <w:lvlJc w:val="left"/>
      <w:lvlText w:val="(%1)"/>
      <w:numFmt w:val="decimal"/>
      <w:start w:val="9"/>
    </w:lvl>
  </w:abstractNum>
  <w:abstractNum w:abstractNumId="12">
    <w:nsid w:val="71F32454"/>
    <w:multiLevelType w:val="hybridMultilevel"/>
    <w:lvl w:ilvl="0">
      <w:lvlJc w:val="left"/>
      <w:lvlText w:val="(%1)"/>
      <w:numFmt w:val="decimal"/>
      <w:start w:val="1"/>
    </w:lvl>
    <w:lvl w:ilvl="1">
      <w:lvlJc w:val="left"/>
      <w:lvlText w:val="(%2)"/>
      <w:numFmt w:val="decimal"/>
      <w:start w:val="2"/>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3"/>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5"/>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2020-11-06T16:10:44Z</dcterms:created>
  <dcterms:modified xsi:type="dcterms:W3CDTF">2020-11-06T16:10:44Z</dcterms:modified>
</cp:coreProperties>
</file>