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color w:val="auto"/>
        </w:rPr>
        <w:t>United States</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600" w:hanging="592"/>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w:t>
      </w:r>
    </w:p>
    <w:p>
      <w:pPr>
        <w:spacing w:after="0" w:line="23" w:lineRule="exact"/>
        <w:rPr>
          <w:rFonts w:ascii="Arial" w:cs="Arial" w:eastAsia="Arial" w:hAnsi="Arial"/>
          <w:sz w:val="18"/>
          <w:szCs w:val="18"/>
          <w:color w:val="auto"/>
        </w:rPr>
      </w:pPr>
    </w:p>
    <w:p>
      <w:pPr>
        <w:ind w:left="5120"/>
        <w:spacing w:after="0"/>
        <w:rPr>
          <w:rFonts w:ascii="Arial" w:cs="Arial" w:eastAsia="Arial" w:hAnsi="Arial"/>
          <w:sz w:val="18"/>
          <w:szCs w:val="18"/>
          <w:color w:val="auto"/>
        </w:rPr>
      </w:pPr>
      <w:r>
        <w:rPr>
          <w:rFonts w:ascii="Arial" w:cs="Arial" w:eastAsia="Arial" w:hAnsi="Arial"/>
          <w:sz w:val="18"/>
          <w:szCs w:val="18"/>
          <w:b w:val="1"/>
          <w:bCs w:val="1"/>
          <w:color w:val="auto"/>
        </w:rPr>
        <w:t>March 31, 2019</w:t>
      </w:r>
    </w:p>
    <w:p>
      <w:pPr>
        <w:spacing w:after="0" w:line="9" w:lineRule="exact"/>
        <w:rPr>
          <w:rFonts w:ascii="Arial" w:cs="Arial" w:eastAsia="Arial" w:hAnsi="Arial"/>
          <w:sz w:val="18"/>
          <w:szCs w:val="18"/>
          <w:color w:val="auto"/>
        </w:rPr>
      </w:pPr>
    </w:p>
    <w:p>
      <w:pPr>
        <w:ind w:left="5640"/>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4"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______to______</w:t>
      </w:r>
    </w:p>
    <w:p>
      <w:pPr>
        <w:spacing w:after="0" w:line="238" w:lineRule="exact"/>
        <w:rPr>
          <w:rFonts w:ascii="MS PGothic" w:cs="MS PGothic" w:eastAsia="MS PGothic" w:hAnsi="MS PGothic"/>
          <w:sz w:val="16"/>
          <w:szCs w:val="16"/>
          <w:color w:val="auto"/>
        </w:rPr>
      </w:pPr>
    </w:p>
    <w:p>
      <w:pPr>
        <w:ind w:left="4480"/>
        <w:spacing w:after="0"/>
        <w:rPr>
          <w:rFonts w:ascii="MS PGothic" w:cs="MS PGothic" w:eastAsia="MS PGothic" w:hAnsi="MS PGothic"/>
          <w:sz w:val="16"/>
          <w:szCs w:val="16"/>
          <w:color w:val="auto"/>
        </w:rPr>
      </w:pPr>
      <w:r>
        <w:rPr>
          <w:rFonts w:ascii="Arial" w:cs="Arial" w:eastAsia="Arial" w:hAnsi="Arial"/>
          <w:sz w:val="18"/>
          <w:szCs w:val="18"/>
          <w:color w:val="auto"/>
        </w:rPr>
        <w:t>Commission file number: 1-10686</w:t>
      </w:r>
    </w:p>
    <w:p>
      <w:pPr>
        <w:spacing w:after="0" w:line="212" w:lineRule="exact"/>
        <w:rPr>
          <w:sz w:val="24"/>
          <w:szCs w:val="24"/>
          <w:color w:val="auto"/>
        </w:rPr>
      </w:pPr>
    </w:p>
    <w:p>
      <w:pPr>
        <w:ind w:left="3760"/>
        <w:spacing w:after="0"/>
        <w:rPr>
          <w:sz w:val="20"/>
          <w:szCs w:val="20"/>
          <w:color w:val="auto"/>
        </w:rPr>
      </w:pPr>
      <w:r>
        <w:rPr>
          <w:rFonts w:ascii="Arial" w:cs="Arial" w:eastAsia="Arial" w:hAnsi="Arial"/>
          <w:sz w:val="32"/>
          <w:szCs w:val="32"/>
          <w:b w:val="1"/>
          <w:bCs w:val="1"/>
          <w:color w:val="auto"/>
        </w:rPr>
        <w:t>MANPOWERGROUP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40" w:right="239" w:bottom="1440" w:gutter="0" w:footer="0" w:header="0"/>
        </w:sectPr>
      </w:pPr>
    </w:p>
    <w:p>
      <w:pPr>
        <w:spacing w:after="0" w:line="367" w:lineRule="exact"/>
        <w:rPr>
          <w:sz w:val="24"/>
          <w:szCs w:val="24"/>
          <w:color w:val="auto"/>
        </w:rPr>
      </w:pPr>
    </w:p>
    <w:p>
      <w:pPr>
        <w:ind w:left="2900"/>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39-1672779</w:t>
      </w:r>
    </w:p>
    <w:p>
      <w:pPr>
        <w:spacing w:after="0" w:line="90" w:lineRule="exact"/>
        <w:rPr>
          <w:sz w:val="24"/>
          <w:szCs w:val="24"/>
          <w:color w:val="auto"/>
        </w:rPr>
      </w:pPr>
    </w:p>
    <w:p>
      <w:pPr>
        <w:sectPr>
          <w:pgSz w:w="11900" w:h="16838" w:orient="portrait"/>
          <w:cols w:equalWidth="0" w:num="2">
            <w:col w:w="6740" w:space="720"/>
            <w:col w:w="3960"/>
          </w:cols>
          <w:pgMar w:left="240" w:top="240" w:right="239" w:bottom="1440" w:gutter="0" w:footer="0" w:header="0"/>
          <w:type w:val="continuous"/>
        </w:sectPr>
      </w:pPr>
    </w:p>
    <w:p>
      <w:pPr>
        <w:ind w:left="29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4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740" w:space="720"/>
            <w:col w:w="3960"/>
          </w:cols>
          <w:pgMar w:left="240" w:top="240" w:right="239" w:bottom="1440" w:gutter="0" w:footer="0" w:header="0"/>
          <w:type w:val="continuous"/>
        </w:sectPr>
      </w:pPr>
    </w:p>
    <w:p>
      <w:pPr>
        <w:spacing w:after="0" w:line="168" w:lineRule="exact"/>
        <w:rPr>
          <w:sz w:val="24"/>
          <w:szCs w:val="24"/>
          <w:color w:val="auto"/>
        </w:rPr>
      </w:pPr>
    </w:p>
    <w:p>
      <w:pPr>
        <w:ind w:left="2900"/>
        <w:spacing w:after="0"/>
        <w:rPr>
          <w:sz w:val="20"/>
          <w:szCs w:val="20"/>
          <w:color w:val="auto"/>
        </w:rPr>
      </w:pPr>
      <w:r>
        <w:rPr>
          <w:rFonts w:ascii="Arial" w:cs="Arial" w:eastAsia="Arial" w:hAnsi="Arial"/>
          <w:sz w:val="16"/>
          <w:szCs w:val="16"/>
          <w:b w:val="1"/>
          <w:bCs w:val="1"/>
          <w:color w:val="auto"/>
        </w:rPr>
        <w:t>100 Manpower Place</w:t>
      </w:r>
    </w:p>
    <w:p>
      <w:pPr>
        <w:sectPr>
          <w:pgSz w:w="11900" w:h="16838" w:orient="portrait"/>
          <w:cols w:equalWidth="0" w:num="1">
            <w:col w:w="11420"/>
          </w:cols>
          <w:pgMar w:left="240" w:top="240" w:right="239" w:bottom="1440" w:gutter="0" w:footer="0" w:header="0"/>
          <w:type w:val="continuous"/>
        </w:sectPr>
      </w:pPr>
    </w:p>
    <w:p>
      <w:pPr>
        <w:spacing w:after="0" w:line="86" w:lineRule="exact"/>
        <w:rPr>
          <w:sz w:val="24"/>
          <w:szCs w:val="24"/>
          <w:color w:val="auto"/>
        </w:rPr>
      </w:pPr>
    </w:p>
    <w:p>
      <w:pPr>
        <w:jc w:val="center"/>
        <w:ind w:left="780"/>
        <w:spacing w:after="0"/>
        <w:rPr>
          <w:sz w:val="20"/>
          <w:szCs w:val="20"/>
          <w:color w:val="auto"/>
        </w:rPr>
      </w:pPr>
      <w:r>
        <w:rPr>
          <w:rFonts w:ascii="Arial" w:cs="Arial" w:eastAsia="Arial" w:hAnsi="Arial"/>
          <w:sz w:val="16"/>
          <w:szCs w:val="16"/>
          <w:b w:val="1"/>
          <w:bCs w:val="1"/>
          <w:color w:val="auto"/>
        </w:rPr>
        <w:t>Milwaukee, Wisconsin</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53212</w:t>
      </w:r>
    </w:p>
    <w:p>
      <w:pPr>
        <w:spacing w:after="0" w:line="90" w:lineRule="exact"/>
        <w:rPr>
          <w:sz w:val="24"/>
          <w:szCs w:val="24"/>
          <w:color w:val="auto"/>
        </w:rPr>
      </w:pPr>
    </w:p>
    <w:p>
      <w:pPr>
        <w:sectPr>
          <w:pgSz w:w="11900" w:h="16838" w:orient="portrait"/>
          <w:cols w:equalWidth="0" w:num="2">
            <w:col w:w="6740" w:space="720"/>
            <w:col w:w="3960"/>
          </w:cols>
          <w:pgMar w:left="240" w:top="240" w:right="239" w:bottom="1440" w:gutter="0" w:footer="0" w:header="0"/>
          <w:type w:val="continuous"/>
        </w:sectPr>
      </w:pPr>
    </w:p>
    <w:p>
      <w:pPr>
        <w:ind w:left="29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55" w:lineRule="exact"/>
        <w:rPr>
          <w:sz w:val="24"/>
          <w:szCs w:val="24"/>
          <w:color w:val="auto"/>
        </w:rPr>
      </w:pPr>
    </w:p>
    <w:p>
      <w:pPr>
        <w:sectPr>
          <w:pgSz w:w="11900" w:h="16838" w:orient="portrait"/>
          <w:cols w:equalWidth="0" w:num="2">
            <w:col w:w="6740" w:space="720"/>
            <w:col w:w="3960"/>
          </w:cols>
          <w:pgMar w:left="240" w:top="240"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(414) 961-1000</w:t>
      </w:r>
    </w:p>
    <w:p>
      <w:pPr>
        <w:spacing w:after="0" w:line="229"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84" w:lineRule="exact"/>
        <w:rPr>
          <w:sz w:val="24"/>
          <w:szCs w:val="24"/>
          <w:color w:val="auto"/>
        </w:rPr>
      </w:pPr>
    </w:p>
    <w:p>
      <w:pPr>
        <w:ind w:right="2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pacing w:after="0" w:line="184"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40" w:right="239" w:bottom="1440" w:gutter="0" w:footer="0" w:header="0"/>
          <w:type w:val="continuous"/>
        </w:sectPr>
      </w:pPr>
    </w:p>
    <w:p>
      <w:pPr>
        <w:spacing w:after="0" w:line="12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3">
            <w:col w:w="5020" w:space="720"/>
            <w:col w:w="1220" w:space="120"/>
            <w:col w:w="4340"/>
          </w:cols>
          <w:pgMar w:left="240" w:top="240" w:right="239" w:bottom="1440" w:gutter="0" w:footer="0" w:header="0"/>
          <w:type w:val="continuous"/>
        </w:sectPr>
      </w:pP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09" w:lineRule="exact"/>
        <w:rPr>
          <w:sz w:val="24"/>
          <w:szCs w:val="24"/>
          <w:color w:val="auto"/>
        </w:rPr>
      </w:pPr>
    </w:p>
    <w:p>
      <w:pPr>
        <w:sectPr>
          <w:pgSz w:w="11900" w:h="16838" w:orient="portrait"/>
          <w:cols w:equalWidth="0" w:num="4">
            <w:col w:w="1560" w:space="140"/>
            <w:col w:w="3320" w:space="720"/>
            <w:col w:w="1980" w:space="140"/>
            <w:col w:w="3560"/>
          </w:cols>
          <w:pgMar w:left="240" w:top="240" w:right="239" w:bottom="1440" w:gutter="0" w:footer="0" w:header="0"/>
          <w:type w:val="continuous"/>
        </w:sectPr>
      </w:pP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3" w:lineRule="exact"/>
        <w:rPr>
          <w:sz w:val="24"/>
          <w:szCs w:val="24"/>
          <w:color w:val="auto"/>
        </w:rPr>
      </w:pPr>
    </w:p>
    <w:p>
      <w:pPr>
        <w:sectPr>
          <w:pgSz w:w="11900" w:h="16838" w:orient="portrait"/>
          <w:cols w:equalWidth="0" w:num="2">
            <w:col w:w="2000" w:space="180"/>
            <w:col w:w="9240"/>
          </w:cols>
          <w:pgMar w:left="240" w:top="240" w:right="239" w:bottom="1440" w:gutter="0" w:footer="0" w:header="0"/>
          <w:type w:val="continuous"/>
        </w:sectPr>
      </w:pPr>
    </w:p>
    <w:p>
      <w:pPr>
        <w:spacing w:after="0" w:line="75"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right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180" w:type="dxa"/>
            <w:vAlign w:val="bottom"/>
            <w:tcBorders>
              <w:top w:val="single" w:sz="8" w:color="auto"/>
            </w:tcBorders>
            <w:gridSpan w:val="2"/>
          </w:tcPr>
          <w:p>
            <w:pPr>
              <w:jc w:val="center"/>
              <w:ind w:right="1900"/>
              <w:spacing w:after="0"/>
              <w:rPr>
                <w:sz w:val="20"/>
                <w:szCs w:val="20"/>
                <w:color w:val="auto"/>
              </w:rPr>
            </w:pPr>
            <w:r>
              <w:rPr>
                <w:rFonts w:ascii="Arial" w:cs="Arial" w:eastAsia="Arial" w:hAnsi="Arial"/>
                <w:sz w:val="18"/>
                <w:szCs w:val="18"/>
                <w:color w:val="auto"/>
                <w:w w:val="88"/>
              </w:rPr>
              <w:t>Title of each class</w:t>
            </w:r>
          </w:p>
        </w:tc>
        <w:tc>
          <w:tcPr>
            <w:tcW w:w="2080" w:type="dxa"/>
            <w:vAlign w:val="bottom"/>
            <w:tcBorders>
              <w:top w:val="single" w:sz="8" w:color="auto"/>
            </w:tcBorders>
            <w:gridSpan w:val="3"/>
          </w:tcPr>
          <w:p>
            <w:pPr>
              <w:jc w:val="center"/>
              <w:ind w:right="720"/>
              <w:spacing w:after="0"/>
              <w:rPr>
                <w:sz w:val="20"/>
                <w:szCs w:val="20"/>
                <w:color w:val="auto"/>
              </w:rPr>
            </w:pPr>
            <w:r>
              <w:rPr>
                <w:rFonts w:ascii="Arial" w:cs="Arial" w:eastAsia="Arial" w:hAnsi="Arial"/>
                <w:sz w:val="18"/>
                <w:szCs w:val="18"/>
                <w:color w:val="auto"/>
                <w:w w:val="92"/>
              </w:rPr>
              <w:t>Trading Symbol(s)</w:t>
            </w:r>
          </w:p>
        </w:tc>
        <w:tc>
          <w:tcPr>
            <w:tcW w:w="4680" w:type="dxa"/>
            <w:vAlign w:val="bottom"/>
            <w:tcBorders>
              <w:top w:val="single" w:sz="8" w:color="auto"/>
              <w:right w:val="single" w:sz="8" w:color="auto"/>
            </w:tcBorders>
            <w:gridSpan w:val="4"/>
          </w:tcPr>
          <w:p>
            <w:pPr>
              <w:jc w:val="center"/>
              <w:ind w:right="40"/>
              <w:spacing w:after="0"/>
              <w:rPr>
                <w:sz w:val="20"/>
                <w:szCs w:val="20"/>
                <w:color w:val="auto"/>
              </w:rPr>
            </w:pPr>
            <w:r>
              <w:rPr>
                <w:rFonts w:ascii="Arial" w:cs="Arial" w:eastAsia="Arial" w:hAnsi="Arial"/>
                <w:sz w:val="18"/>
                <w:szCs w:val="18"/>
                <w:color w:val="auto"/>
                <w:w w:val="89"/>
              </w:rPr>
              <w:t>Name of each exchange on which registered</w:t>
            </w:r>
          </w:p>
        </w:tc>
        <w:tc>
          <w:tcPr>
            <w:tcW w:w="120" w:type="dxa"/>
            <w:vAlign w:val="bottom"/>
          </w:tcPr>
          <w:p>
            <w:pPr>
              <w:spacing w:after="0"/>
              <w:rPr>
                <w:sz w:val="18"/>
                <w:szCs w:val="18"/>
                <w:color w:val="auto"/>
              </w:rPr>
            </w:pPr>
          </w:p>
        </w:tc>
      </w:tr>
      <w:tr>
        <w:trPr>
          <w:trHeight w:val="20"/>
        </w:trPr>
        <w:tc>
          <w:tcPr>
            <w:tcW w:w="180" w:type="dxa"/>
            <w:vAlign w:val="bottom"/>
            <w:tcBorders>
              <w:right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0" w:type="dxa"/>
            <w:vAlign w:val="bottom"/>
            <w:gridSpan w:val="2"/>
            <w:shd w:val="clear" w:color="auto" w:fill="000000"/>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1"/>
        </w:trPr>
        <w:tc>
          <w:tcPr>
            <w:tcW w:w="180" w:type="dxa"/>
            <w:vAlign w:val="bottom"/>
            <w:tcBorders>
              <w:right w:val="single" w:sz="8" w:color="auto"/>
            </w:tcBorders>
          </w:tcPr>
          <w:p>
            <w:pPr>
              <w:spacing w:after="0"/>
              <w:rPr>
                <w:sz w:val="24"/>
                <w:szCs w:val="24"/>
                <w:color w:val="auto"/>
              </w:rPr>
            </w:pPr>
          </w:p>
        </w:tc>
        <w:tc>
          <w:tcPr>
            <w:tcW w:w="4360" w:type="dxa"/>
            <w:vAlign w:val="bottom"/>
            <w:gridSpan w:val="3"/>
          </w:tcPr>
          <w:p>
            <w:pPr>
              <w:jc w:val="center"/>
              <w:ind w:right="720"/>
              <w:spacing w:after="0"/>
              <w:rPr>
                <w:sz w:val="20"/>
                <w:szCs w:val="20"/>
                <w:color w:val="auto"/>
              </w:rPr>
            </w:pPr>
            <w:r>
              <w:rPr>
                <w:rFonts w:ascii="Arial" w:cs="Arial" w:eastAsia="Arial" w:hAnsi="Arial"/>
                <w:sz w:val="18"/>
                <w:szCs w:val="18"/>
                <w:color w:val="auto"/>
                <w:w w:val="90"/>
              </w:rPr>
              <w:t>Common Stock, $.01 par value</w:t>
            </w:r>
          </w:p>
        </w:tc>
        <w:tc>
          <w:tcPr>
            <w:tcW w:w="2080" w:type="dxa"/>
            <w:vAlign w:val="bottom"/>
            <w:gridSpan w:val="3"/>
          </w:tcPr>
          <w:p>
            <w:pPr>
              <w:jc w:val="center"/>
              <w:ind w:right="700"/>
              <w:spacing w:after="0"/>
              <w:rPr>
                <w:sz w:val="20"/>
                <w:szCs w:val="20"/>
                <w:color w:val="auto"/>
              </w:rPr>
            </w:pPr>
            <w:r>
              <w:rPr>
                <w:rFonts w:ascii="Arial" w:cs="Arial" w:eastAsia="Arial" w:hAnsi="Arial"/>
                <w:sz w:val="18"/>
                <w:szCs w:val="18"/>
                <w:color w:val="auto"/>
              </w:rPr>
              <w:t>MAN</w:t>
            </w:r>
          </w:p>
        </w:tc>
        <w:tc>
          <w:tcPr>
            <w:tcW w:w="720" w:type="dxa"/>
            <w:vAlign w:val="bottom"/>
          </w:tcPr>
          <w:p>
            <w:pPr>
              <w:spacing w:after="0"/>
              <w:rPr>
                <w:sz w:val="24"/>
                <w:szCs w:val="24"/>
                <w:color w:val="auto"/>
              </w:rPr>
            </w:pPr>
          </w:p>
        </w:tc>
        <w:tc>
          <w:tcPr>
            <w:tcW w:w="3960" w:type="dxa"/>
            <w:vAlign w:val="bottom"/>
            <w:tcBorders>
              <w:right w:val="single" w:sz="8" w:color="auto"/>
            </w:tcBorders>
            <w:gridSpan w:val="3"/>
          </w:tcPr>
          <w:p>
            <w:pPr>
              <w:jc w:val="center"/>
              <w:ind w:right="760"/>
              <w:spacing w:after="0"/>
              <w:rPr>
                <w:sz w:val="20"/>
                <w:szCs w:val="20"/>
                <w:color w:val="auto"/>
              </w:rPr>
            </w:pPr>
            <w:r>
              <w:rPr>
                <w:rFonts w:ascii="Arial" w:cs="Arial" w:eastAsia="Arial" w:hAnsi="Arial"/>
                <w:sz w:val="18"/>
                <w:szCs w:val="18"/>
                <w:color w:val="auto"/>
                <w:w w:val="91"/>
              </w:rPr>
              <w:t>New York Stock Exchange</w:t>
            </w:r>
          </w:p>
        </w:tc>
        <w:tc>
          <w:tcPr>
            <w:tcW w:w="120" w:type="dxa"/>
            <w:vAlign w:val="bottom"/>
          </w:tcPr>
          <w:p>
            <w:pPr>
              <w:spacing w:after="0"/>
              <w:rPr>
                <w:sz w:val="24"/>
                <w:szCs w:val="24"/>
                <w:color w:val="auto"/>
              </w:rPr>
            </w:pPr>
          </w:p>
        </w:tc>
      </w:tr>
      <w:tr>
        <w:trPr>
          <w:trHeight w:val="27"/>
        </w:trPr>
        <w:tc>
          <w:tcPr>
            <w:tcW w:w="180" w:type="dxa"/>
            <w:vAlign w:val="bottom"/>
            <w:tcBorders>
              <w:right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426"/>
        </w:trPr>
        <w:tc>
          <w:tcPr>
            <w:tcW w:w="11300" w:type="dxa"/>
            <w:vAlign w:val="bottom"/>
            <w:gridSpan w:val="11"/>
          </w:tcPr>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tc>
        <w:tc>
          <w:tcPr>
            <w:tcW w:w="120" w:type="dxa"/>
            <w:vAlign w:val="bottom"/>
          </w:tcPr>
          <w:p>
            <w:pPr>
              <w:spacing w:after="0"/>
              <w:rPr>
                <w:sz w:val="24"/>
                <w:szCs w:val="24"/>
                <w:color w:val="auto"/>
              </w:rPr>
            </w:pPr>
          </w:p>
        </w:tc>
      </w:tr>
      <w:tr>
        <w:trPr>
          <w:trHeight w:val="378"/>
        </w:trPr>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4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88"/>
              </w:rPr>
              <w:t>Shares Outstanding</w:t>
            </w:r>
          </w:p>
        </w:tc>
        <w:tc>
          <w:tcPr>
            <w:tcW w:w="120" w:type="dxa"/>
            <w:vAlign w:val="bottom"/>
          </w:tcPr>
          <w:p>
            <w:pPr>
              <w:spacing w:after="0"/>
              <w:rPr>
                <w:sz w:val="24"/>
                <w:szCs w:val="24"/>
                <w:color w:val="auto"/>
              </w:rPr>
            </w:pPr>
          </w:p>
        </w:tc>
      </w:tr>
      <w:tr>
        <w:trPr>
          <w:trHeight w:val="270"/>
        </w:trPr>
        <w:tc>
          <w:tcPr>
            <w:tcW w:w="4540" w:type="dxa"/>
            <w:vAlign w:val="bottom"/>
            <w:gridSpan w:val="4"/>
          </w:tcPr>
          <w:p>
            <w:pPr>
              <w:ind w:left="40"/>
              <w:spacing w:after="0"/>
              <w:rPr>
                <w:sz w:val="20"/>
                <w:szCs w:val="20"/>
                <w:color w:val="auto"/>
              </w:rPr>
            </w:pPr>
            <w:r>
              <w:rPr>
                <w:rFonts w:ascii="Arial" w:cs="Arial" w:eastAsia="Arial" w:hAnsi="Arial"/>
                <w:sz w:val="18"/>
                <w:szCs w:val="18"/>
                <w:b w:val="1"/>
                <w:bCs w:val="1"/>
                <w:color w:val="auto"/>
              </w:rPr>
              <w:t>Class</w:t>
            </w:r>
          </w:p>
        </w:tc>
        <w:tc>
          <w:tcPr>
            <w:tcW w:w="8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4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2"/>
              </w:rPr>
              <w:t>at May 7, 2019</w:t>
            </w:r>
          </w:p>
        </w:tc>
        <w:tc>
          <w:tcPr>
            <w:tcW w:w="120" w:type="dxa"/>
            <w:vAlign w:val="bottom"/>
          </w:tcPr>
          <w:p>
            <w:pPr>
              <w:spacing w:after="0"/>
              <w:rPr>
                <w:sz w:val="23"/>
                <w:szCs w:val="23"/>
                <w:color w:val="auto"/>
              </w:rPr>
            </w:pPr>
          </w:p>
        </w:tc>
      </w:tr>
      <w:tr>
        <w:trPr>
          <w:trHeight w:val="27"/>
        </w:trPr>
        <w:tc>
          <w:tcPr>
            <w:tcW w:w="136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37"/>
        </w:trPr>
        <w:tc>
          <w:tcPr>
            <w:tcW w:w="4540" w:type="dxa"/>
            <w:vAlign w:val="bottom"/>
            <w:gridSpan w:val="4"/>
          </w:tcPr>
          <w:p>
            <w:pPr>
              <w:ind w:left="40"/>
              <w:spacing w:after="0"/>
              <w:rPr>
                <w:sz w:val="20"/>
                <w:szCs w:val="20"/>
                <w:color w:val="auto"/>
              </w:rPr>
            </w:pPr>
            <w:r>
              <w:rPr>
                <w:rFonts w:ascii="Arial" w:cs="Arial" w:eastAsia="Arial" w:hAnsi="Arial"/>
                <w:sz w:val="18"/>
                <w:szCs w:val="18"/>
                <w:color w:val="auto"/>
              </w:rPr>
              <w:t>Common Stock, $.01 par value</w:t>
            </w: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920" w:type="dxa"/>
            <w:vAlign w:val="bottom"/>
            <w:gridSpan w:val="3"/>
          </w:tcPr>
          <w:p>
            <w:pPr>
              <w:jc w:val="center"/>
              <w:ind w:left="2630"/>
              <w:spacing w:after="0"/>
              <w:rPr>
                <w:sz w:val="20"/>
                <w:szCs w:val="20"/>
                <w:color w:val="auto"/>
              </w:rPr>
            </w:pPr>
            <w:r>
              <w:rPr>
                <w:rFonts w:ascii="Arial" w:cs="Arial" w:eastAsia="Arial" w:hAnsi="Arial"/>
                <w:sz w:val="18"/>
                <w:szCs w:val="18"/>
                <w:color w:val="auto"/>
                <w:w w:val="88"/>
              </w:rPr>
              <w:t>59,820,998</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ectPr>
          <w:pgSz w:w="11900" w:h="16838" w:orient="portrait"/>
          <w:cols w:equalWidth="0" w:num="1">
            <w:col w:w="11420"/>
          </w:cols>
          <w:pgMar w:left="240" w:top="240"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u w:val="single" w:color="auto"/>
          <w:color w:val="auto"/>
        </w:rPr>
        <w:t>ManpowerGroup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rPr>
              <w:t>Page</w:t>
            </w:r>
          </w:p>
        </w:tc>
      </w:tr>
      <w:tr>
        <w:trPr>
          <w:trHeight w:val="234"/>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Number</w:t>
            </w: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2200" w:type="dxa"/>
            <w:vAlign w:val="bottom"/>
            <w:gridSpan w:val="3"/>
            <w:shd w:val="clear" w:color="auto" w:fill="CCEEFF"/>
          </w:tcPr>
          <w:p>
            <w:pPr>
              <w:ind w:left="40"/>
              <w:spacing w:after="0" w:line="196" w:lineRule="exact"/>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w:t>
              </w:r>
            </w:hyperlink>
          </w:p>
        </w:tc>
        <w:tc>
          <w:tcPr>
            <w:tcW w:w="8200" w:type="dxa"/>
            <w:vAlign w:val="bottom"/>
            <w:gridSpan w:val="2"/>
            <w:shd w:val="clear" w:color="auto" w:fill="CCEEFF"/>
          </w:tcPr>
          <w:p>
            <w:pPr>
              <w:spacing w:after="0" w:line="196" w:lineRule="exact"/>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FINANCIAL INFORMATION</w:t>
              </w:r>
            </w:hyperlink>
          </w:p>
        </w:tc>
        <w:tc>
          <w:tcPr>
            <w:tcW w:w="10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2400" w:type="dxa"/>
            <w:vAlign w:val="bottom"/>
            <w:tcBorders>
              <w:top w:val="single" w:sz="8" w:color="auto"/>
            </w:tcBorders>
            <w:shd w:val="clear" w:color="auto" w:fill="CCEEFF"/>
          </w:tcPr>
          <w:p>
            <w:pPr>
              <w:spacing w:after="0"/>
              <w:rPr>
                <w:sz w:val="4"/>
                <w:szCs w:val="4"/>
                <w:color w:val="auto"/>
              </w:rPr>
            </w:pPr>
          </w:p>
        </w:tc>
        <w:tc>
          <w:tcPr>
            <w:tcW w:w="58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243"/>
        </w:trPr>
        <w:tc>
          <w:tcPr>
            <w:tcW w:w="2200" w:type="dxa"/>
            <w:vAlign w:val="bottom"/>
            <w:gridSpan w:val="3"/>
          </w:tcPr>
          <w:p>
            <w:pPr>
              <w:ind w:left="40"/>
              <w:spacing w:after="0"/>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8200" w:type="dxa"/>
            <w:vAlign w:val="bottom"/>
            <w:gridSpan w:val="2"/>
          </w:tcPr>
          <w:p>
            <w:pPr>
              <w:spacing w:after="0"/>
              <w:rPr>
                <w:rFonts w:ascii="Arial" w:cs="Arial" w:eastAsia="Arial" w:hAnsi="Arial"/>
                <w:sz w:val="18"/>
                <w:szCs w:val="18"/>
                <w:color w:val="auto"/>
              </w:rPr>
            </w:pPr>
            <w:hyperlink w:anchor="page3">
              <w:r>
                <w:rPr>
                  <w:rFonts w:ascii="Arial" w:cs="Arial" w:eastAsia="Arial" w:hAnsi="Arial"/>
                  <w:sz w:val="18"/>
                  <w:szCs w:val="18"/>
                  <w:color w:val="auto"/>
                </w:rPr>
                <w:t>Financial Statements (unaudited)</w:t>
              </w:r>
            </w:hyperlink>
          </w:p>
        </w:tc>
        <w:tc>
          <w:tcPr>
            <w:tcW w:w="10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spacing w:after="0"/>
              <w:rPr>
                <w:rFonts w:ascii="Arial" w:cs="Arial" w:eastAsia="Arial" w:hAnsi="Arial"/>
                <w:sz w:val="18"/>
                <w:szCs w:val="18"/>
                <w:color w:val="auto"/>
              </w:rPr>
            </w:pPr>
            <w:hyperlink w:anchor="page3">
              <w:r>
                <w:rPr>
                  <w:rFonts w:ascii="Arial" w:cs="Arial" w:eastAsia="Arial" w:hAnsi="Arial"/>
                  <w:sz w:val="18"/>
                  <w:szCs w:val="18"/>
                  <w:color w:val="auto"/>
                </w:rPr>
                <w:t>Consolidated Balance Sheets</w:t>
              </w:r>
            </w:hyperlink>
          </w:p>
        </w:tc>
        <w:tc>
          <w:tcPr>
            <w:tcW w:w="102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3-4</w:t>
              </w:r>
            </w:hyperlink>
          </w:p>
        </w:tc>
      </w:tr>
      <w:tr>
        <w:trPr>
          <w:trHeight w:val="243"/>
        </w:trPr>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200" w:type="dxa"/>
            <w:vAlign w:val="bottom"/>
            <w:gridSpan w:val="2"/>
          </w:tcPr>
          <w:p>
            <w:pPr>
              <w:spacing w:after="0"/>
              <w:rPr>
                <w:rFonts w:ascii="Arial" w:cs="Arial" w:eastAsia="Arial" w:hAnsi="Arial"/>
                <w:sz w:val="18"/>
                <w:szCs w:val="18"/>
                <w:color w:val="auto"/>
              </w:rPr>
            </w:pPr>
            <w:hyperlink w:anchor="page5">
              <w:r>
                <w:rPr>
                  <w:rFonts w:ascii="Arial" w:cs="Arial" w:eastAsia="Arial" w:hAnsi="Arial"/>
                  <w:sz w:val="18"/>
                  <w:szCs w:val="18"/>
                  <w:color w:val="auto"/>
                </w:rPr>
                <w:t>Consolidated Statements of Operations</w:t>
              </w:r>
            </w:hyperlink>
          </w:p>
        </w:tc>
        <w:tc>
          <w:tcPr>
            <w:tcW w:w="102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spacing w:after="0"/>
              <w:rPr>
                <w:rFonts w:ascii="Arial" w:cs="Arial" w:eastAsia="Arial" w:hAnsi="Arial"/>
                <w:sz w:val="18"/>
                <w:szCs w:val="18"/>
                <w:color w:val="auto"/>
              </w:rPr>
            </w:pPr>
            <w:hyperlink w:anchor="page5">
              <w:r>
                <w:rPr>
                  <w:rFonts w:ascii="Arial" w:cs="Arial" w:eastAsia="Arial" w:hAnsi="Arial"/>
                  <w:sz w:val="18"/>
                  <w:szCs w:val="18"/>
                  <w:color w:val="auto"/>
                </w:rPr>
                <w:t>Consolidated Statements of Comprehensive Income</w:t>
              </w:r>
            </w:hyperlink>
          </w:p>
        </w:tc>
        <w:tc>
          <w:tcPr>
            <w:tcW w:w="102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43"/>
        </w:trPr>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200" w:type="dxa"/>
            <w:vAlign w:val="bottom"/>
            <w:gridSpan w:val="2"/>
          </w:tcPr>
          <w:p>
            <w:pPr>
              <w:spacing w:after="0"/>
              <w:rPr>
                <w:rFonts w:ascii="Arial" w:cs="Arial" w:eastAsia="Arial" w:hAnsi="Arial"/>
                <w:sz w:val="18"/>
                <w:szCs w:val="18"/>
                <w:color w:val="auto"/>
              </w:rPr>
            </w:pPr>
            <w:hyperlink w:anchor="page6">
              <w:r>
                <w:rPr>
                  <w:rFonts w:ascii="Arial" w:cs="Arial" w:eastAsia="Arial" w:hAnsi="Arial"/>
                  <w:sz w:val="18"/>
                  <w:szCs w:val="18"/>
                  <w:color w:val="auto"/>
                </w:rPr>
                <w:t>Consolidated Statements of Cash Flows</w:t>
              </w:r>
            </w:hyperlink>
          </w:p>
        </w:tc>
        <w:tc>
          <w:tcPr>
            <w:tcW w:w="102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Consolidated Statements of Shareholders' Equity</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200" w:type="dxa"/>
            <w:vAlign w:val="bottom"/>
            <w:gridSpan w:val="2"/>
          </w:tcPr>
          <w:p>
            <w:pPr>
              <w:spacing w:after="0"/>
              <w:rPr>
                <w:rFonts w:ascii="Arial" w:cs="Arial" w:eastAsia="Arial" w:hAnsi="Arial"/>
                <w:sz w:val="18"/>
                <w:szCs w:val="18"/>
                <w:color w:val="auto"/>
              </w:rPr>
            </w:pPr>
            <w:hyperlink w:anchor="page8">
              <w:r>
                <w:rPr>
                  <w:rFonts w:ascii="Arial" w:cs="Arial" w:eastAsia="Arial" w:hAnsi="Arial"/>
                  <w:sz w:val="18"/>
                  <w:szCs w:val="18"/>
                  <w:color w:val="auto"/>
                </w:rPr>
                <w:t>Notes to Consolidated Financial Statements</w:t>
              </w:r>
            </w:hyperlink>
          </w:p>
        </w:tc>
        <w:tc>
          <w:tcPr>
            <w:tcW w:w="102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8</w:t>
            </w:r>
            <w:hyperlink w:anchor="page8">
              <w:r>
                <w:rPr>
                  <w:rFonts w:ascii="Arial" w:cs="Arial" w:eastAsia="Arial" w:hAnsi="Arial"/>
                  <w:sz w:val="18"/>
                  <w:szCs w:val="18"/>
                  <w:color w:val="auto"/>
                </w:rPr>
                <w:t>-</w:t>
              </w:r>
            </w:hyperlink>
            <w:r>
              <w:rPr>
                <w:rFonts w:ascii="Arial" w:cs="Arial" w:eastAsia="Arial" w:hAnsi="Arial"/>
                <w:sz w:val="18"/>
                <w:szCs w:val="18"/>
                <w:color w:val="auto"/>
              </w:rPr>
              <w:t>19</w:t>
            </w: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200" w:type="dxa"/>
            <w:vAlign w:val="bottom"/>
            <w:tcBorders>
              <w:bottom w:val="single" w:sz="8" w:color="CCEEFF"/>
            </w:tcBorders>
            <w:gridSpan w:val="3"/>
            <w:shd w:val="clear" w:color="auto" w:fill="CCEEFF"/>
          </w:tcPr>
          <w:p>
            <w:pPr>
              <w:ind w:left="40"/>
              <w:spacing w:after="0"/>
              <w:rPr>
                <w:rFonts w:ascii="Arial" w:cs="Arial" w:eastAsia="Arial" w:hAnsi="Arial"/>
                <w:sz w:val="18"/>
                <w:szCs w:val="18"/>
                <w:color w:val="auto"/>
              </w:rPr>
            </w:pPr>
            <w:hyperlink w:anchor="page20">
              <w:r>
                <w:rPr>
                  <w:rFonts w:ascii="Arial" w:cs="Arial" w:eastAsia="Arial" w:hAnsi="Arial"/>
                  <w:sz w:val="18"/>
                  <w:szCs w:val="18"/>
                  <w:color w:val="auto"/>
                </w:rPr>
                <w:t>Item 2</w:t>
              </w:r>
            </w:hyperlink>
          </w:p>
        </w:tc>
        <w:tc>
          <w:tcPr>
            <w:tcW w:w="8200" w:type="dxa"/>
            <w:vAlign w:val="bottom"/>
            <w:tcBorders>
              <w:bottom w:val="single" w:sz="8" w:color="CCEEFF"/>
            </w:tcBorders>
            <w:gridSpan w:val="2"/>
            <w:shd w:val="clear" w:color="auto" w:fill="CCEEFF"/>
          </w:tcPr>
          <w:p>
            <w:pPr>
              <w:spacing w:after="0"/>
              <w:rPr>
                <w:rFonts w:ascii="Arial" w:cs="Arial" w:eastAsia="Arial" w:hAnsi="Arial"/>
                <w:sz w:val="18"/>
                <w:szCs w:val="18"/>
                <w:color w:val="auto"/>
              </w:rPr>
            </w:pPr>
            <w:hyperlink w:anchor="page20">
              <w:r>
                <w:rPr>
                  <w:rFonts w:ascii="Arial" w:cs="Arial" w:eastAsia="Arial" w:hAnsi="Arial"/>
                  <w:sz w:val="18"/>
                  <w:szCs w:val="18"/>
                  <w:color w:val="auto"/>
                </w:rPr>
                <w:t>Management’s Discussion and Analysis of Financial Condition and Results of Operations</w:t>
              </w:r>
            </w:hyperlink>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20-28</w:t>
            </w:r>
          </w:p>
        </w:tc>
      </w:tr>
      <w:tr>
        <w:trPr>
          <w:trHeight w:val="243"/>
        </w:trPr>
        <w:tc>
          <w:tcPr>
            <w:tcW w:w="2200" w:type="dxa"/>
            <w:vAlign w:val="bottom"/>
            <w:gridSpan w:val="3"/>
          </w:tcPr>
          <w:p>
            <w:pPr>
              <w:ind w:left="40"/>
              <w:spacing w:after="0"/>
              <w:rPr>
                <w:rFonts w:ascii="Arial" w:cs="Arial" w:eastAsia="Arial" w:hAnsi="Arial"/>
                <w:sz w:val="18"/>
                <w:szCs w:val="18"/>
                <w:color w:val="auto"/>
              </w:rPr>
            </w:pPr>
            <w:hyperlink w:anchor="page28">
              <w:r>
                <w:rPr>
                  <w:rFonts w:ascii="Arial" w:cs="Arial" w:eastAsia="Arial" w:hAnsi="Arial"/>
                  <w:sz w:val="18"/>
                  <w:szCs w:val="18"/>
                  <w:color w:val="auto"/>
                </w:rPr>
                <w:t>Item 3</w:t>
              </w:r>
            </w:hyperlink>
          </w:p>
        </w:tc>
        <w:tc>
          <w:tcPr>
            <w:tcW w:w="8200" w:type="dxa"/>
            <w:vAlign w:val="bottom"/>
            <w:gridSpan w:val="2"/>
          </w:tcPr>
          <w:p>
            <w:pPr>
              <w:spacing w:after="0"/>
              <w:rPr>
                <w:rFonts w:ascii="Arial" w:cs="Arial" w:eastAsia="Arial" w:hAnsi="Arial"/>
                <w:sz w:val="18"/>
                <w:szCs w:val="18"/>
                <w:color w:val="auto"/>
              </w:rPr>
            </w:pPr>
            <w:hyperlink w:anchor="page28">
              <w:r>
                <w:rPr>
                  <w:rFonts w:ascii="Arial" w:cs="Arial" w:eastAsia="Arial" w:hAnsi="Arial"/>
                  <w:sz w:val="18"/>
                  <w:szCs w:val="18"/>
                  <w:color w:val="auto"/>
                </w:rPr>
                <w:t>Quantitative and Qualitative Disclosures About Market Risk</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2200" w:type="dxa"/>
            <w:vAlign w:val="bottom"/>
            <w:gridSpan w:val="3"/>
            <w:shd w:val="clear" w:color="auto" w:fill="CCEEFF"/>
          </w:tcPr>
          <w:p>
            <w:pPr>
              <w:ind w:left="40"/>
              <w:spacing w:after="0"/>
              <w:rPr>
                <w:rFonts w:ascii="Arial" w:cs="Arial" w:eastAsia="Arial" w:hAnsi="Arial"/>
                <w:sz w:val="18"/>
                <w:szCs w:val="18"/>
                <w:color w:val="auto"/>
              </w:rPr>
            </w:pPr>
            <w:hyperlink w:anchor="page28">
              <w:r>
                <w:rPr>
                  <w:rFonts w:ascii="Arial" w:cs="Arial" w:eastAsia="Arial" w:hAnsi="Arial"/>
                  <w:sz w:val="18"/>
                  <w:szCs w:val="18"/>
                  <w:color w:val="auto"/>
                </w:rPr>
                <w:t>Item 4</w:t>
              </w:r>
            </w:hyperlink>
          </w:p>
        </w:tc>
        <w:tc>
          <w:tcPr>
            <w:tcW w:w="8200" w:type="dxa"/>
            <w:vAlign w:val="bottom"/>
            <w:gridSpan w:val="2"/>
            <w:shd w:val="clear" w:color="auto" w:fill="CCEEFF"/>
          </w:tcPr>
          <w:p>
            <w:pPr>
              <w:spacing w:after="0"/>
              <w:rPr>
                <w:rFonts w:ascii="Arial" w:cs="Arial" w:eastAsia="Arial" w:hAnsi="Arial"/>
                <w:sz w:val="18"/>
                <w:szCs w:val="18"/>
                <w:color w:val="auto"/>
              </w:rPr>
            </w:pPr>
            <w:hyperlink w:anchor="page28">
              <w:r>
                <w:rPr>
                  <w:rFonts w:ascii="Arial" w:cs="Arial" w:eastAsia="Arial" w:hAnsi="Arial"/>
                  <w:sz w:val="18"/>
                  <w:szCs w:val="18"/>
                  <w:color w:val="auto"/>
                </w:rPr>
                <w:t>Controls and Procedures</w:t>
              </w:r>
            </w:hyperlink>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58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700" w:type="dxa"/>
            <w:vAlign w:val="bottom"/>
            <w:shd w:val="clear" w:color="auto" w:fill="CCEEFF"/>
          </w:tcPr>
          <w:p>
            <w:pPr>
              <w:ind w:left="40"/>
              <w:spacing w:after="0"/>
              <w:rPr>
                <w:rFonts w:ascii="Arial" w:cs="Arial" w:eastAsia="Arial" w:hAnsi="Arial"/>
                <w:sz w:val="18"/>
                <w:szCs w:val="18"/>
                <w:b w:val="1"/>
                <w:bCs w:val="1"/>
                <w:color w:val="auto"/>
              </w:rPr>
            </w:pPr>
            <w:hyperlink w:anchor="page29">
              <w:r>
                <w:rPr>
                  <w:rFonts w:ascii="Arial" w:cs="Arial" w:eastAsia="Arial" w:hAnsi="Arial"/>
                  <w:sz w:val="18"/>
                  <w:szCs w:val="18"/>
                  <w:b w:val="1"/>
                  <w:bCs w:val="1"/>
                  <w:color w:val="auto"/>
                </w:rPr>
                <w:t>PART II</w:t>
              </w:r>
            </w:hyperlink>
          </w:p>
        </w:tc>
        <w:tc>
          <w:tcPr>
            <w:tcW w:w="7180" w:type="dxa"/>
            <w:vAlign w:val="bottom"/>
            <w:shd w:val="clear" w:color="auto" w:fill="CCEEFF"/>
          </w:tcPr>
          <w:p>
            <w:pPr>
              <w:ind w:left="500"/>
              <w:spacing w:after="0"/>
              <w:rPr>
                <w:rFonts w:ascii="Arial" w:cs="Arial" w:eastAsia="Arial" w:hAnsi="Arial"/>
                <w:sz w:val="18"/>
                <w:szCs w:val="18"/>
                <w:b w:val="1"/>
                <w:bCs w:val="1"/>
                <w:color w:val="auto"/>
              </w:rPr>
            </w:pPr>
            <w:hyperlink w:anchor="page29">
              <w:r>
                <w:rPr>
                  <w:rFonts w:ascii="Arial" w:cs="Arial" w:eastAsia="Arial" w:hAnsi="Arial"/>
                  <w:sz w:val="18"/>
                  <w:szCs w:val="18"/>
                  <w:b w:val="1"/>
                  <w:bCs w:val="1"/>
                  <w:color w:val="auto"/>
                </w:rPr>
                <w:t>OTHER INFORMATION</w:t>
              </w:r>
            </w:hyperlink>
          </w:p>
        </w:tc>
        <w:tc>
          <w:tcPr>
            <w:tcW w:w="2540" w:type="dxa"/>
            <w:vAlign w:val="bottom"/>
            <w:shd w:val="clear" w:color="auto" w:fill="CCEEFF"/>
          </w:tcPr>
          <w:p>
            <w:pPr>
              <w:spacing w:after="0"/>
              <w:rPr>
                <w:sz w:val="23"/>
                <w:szCs w:val="23"/>
                <w:color w:val="auto"/>
              </w:rPr>
            </w:pPr>
          </w:p>
        </w:tc>
      </w:tr>
      <w:tr>
        <w:trPr>
          <w:trHeight w:val="243"/>
        </w:trPr>
        <w:tc>
          <w:tcPr>
            <w:tcW w:w="1700" w:type="dxa"/>
            <w:vAlign w:val="bottom"/>
          </w:tcPr>
          <w:p>
            <w:pPr>
              <w:ind w:left="40"/>
              <w:spacing w:after="0"/>
              <w:rPr>
                <w:rFonts w:ascii="Arial" w:cs="Arial" w:eastAsia="Arial" w:hAnsi="Arial"/>
                <w:sz w:val="18"/>
                <w:szCs w:val="18"/>
                <w:color w:val="auto"/>
              </w:rPr>
            </w:pPr>
            <w:hyperlink w:anchor="page29">
              <w:r>
                <w:rPr>
                  <w:rFonts w:ascii="Arial" w:cs="Arial" w:eastAsia="Arial" w:hAnsi="Arial"/>
                  <w:sz w:val="18"/>
                  <w:szCs w:val="18"/>
                  <w:color w:val="auto"/>
                </w:rPr>
                <w:t>Item 2</w:t>
              </w:r>
            </w:hyperlink>
          </w:p>
        </w:tc>
        <w:tc>
          <w:tcPr>
            <w:tcW w:w="7180" w:type="dxa"/>
            <w:vAlign w:val="bottom"/>
          </w:tcPr>
          <w:p>
            <w:pPr>
              <w:ind w:left="500"/>
              <w:spacing w:after="0"/>
              <w:rPr>
                <w:rFonts w:ascii="Arial" w:cs="Arial" w:eastAsia="Arial" w:hAnsi="Arial"/>
                <w:sz w:val="18"/>
                <w:szCs w:val="18"/>
                <w:color w:val="auto"/>
              </w:rPr>
            </w:pPr>
            <w:hyperlink w:anchor="page29">
              <w:r>
                <w:rPr>
                  <w:rFonts w:ascii="Arial" w:cs="Arial" w:eastAsia="Arial" w:hAnsi="Arial"/>
                  <w:sz w:val="18"/>
                  <w:szCs w:val="18"/>
                  <w:color w:val="auto"/>
                </w:rPr>
                <w:t>Unregistered Sales of Equity Securities and Use of Proceeds</w:t>
              </w:r>
            </w:hyperlink>
          </w:p>
        </w:tc>
        <w:tc>
          <w:tcPr>
            <w:tcW w:w="2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170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50"/>
        </w:trPr>
        <w:tc>
          <w:tcPr>
            <w:tcW w:w="1700" w:type="dxa"/>
            <w:vAlign w:val="bottom"/>
            <w:tcBorders>
              <w:bottom w:val="single" w:sz="8" w:color="CCEEFF"/>
            </w:tcBorders>
            <w:shd w:val="clear" w:color="auto" w:fill="CCEEFF"/>
          </w:tcPr>
          <w:p>
            <w:pPr>
              <w:ind w:left="40"/>
              <w:spacing w:after="0"/>
              <w:rPr>
                <w:rFonts w:ascii="Arial" w:cs="Arial" w:eastAsia="Arial" w:hAnsi="Arial"/>
                <w:sz w:val="18"/>
                <w:szCs w:val="18"/>
                <w:color w:val="auto"/>
              </w:rPr>
            </w:pPr>
            <w:hyperlink w:anchor="page29">
              <w:r>
                <w:rPr>
                  <w:rFonts w:ascii="Arial" w:cs="Arial" w:eastAsia="Arial" w:hAnsi="Arial"/>
                  <w:sz w:val="18"/>
                  <w:szCs w:val="18"/>
                  <w:color w:val="auto"/>
                </w:rPr>
                <w:t>Item 5</w:t>
              </w:r>
            </w:hyperlink>
          </w:p>
        </w:tc>
        <w:tc>
          <w:tcPr>
            <w:tcW w:w="7180" w:type="dxa"/>
            <w:vAlign w:val="bottom"/>
            <w:tcBorders>
              <w:bottom w:val="single" w:sz="8" w:color="CCEEFF"/>
            </w:tcBorders>
            <w:shd w:val="clear" w:color="auto" w:fill="CCEEFF"/>
          </w:tcPr>
          <w:p>
            <w:pPr>
              <w:ind w:left="500"/>
              <w:spacing w:after="0"/>
              <w:rPr>
                <w:rFonts w:ascii="Arial" w:cs="Arial" w:eastAsia="Arial" w:hAnsi="Arial"/>
                <w:sz w:val="18"/>
                <w:szCs w:val="18"/>
                <w:color w:val="auto"/>
              </w:rPr>
            </w:pPr>
            <w:hyperlink w:anchor="page29">
              <w:r>
                <w:rPr>
                  <w:rFonts w:ascii="Arial" w:cs="Arial" w:eastAsia="Arial" w:hAnsi="Arial"/>
                  <w:sz w:val="18"/>
                  <w:szCs w:val="18"/>
                  <w:color w:val="auto"/>
                </w:rPr>
                <w:t>Other Information</w:t>
              </w:r>
            </w:hyperlink>
          </w:p>
        </w:tc>
        <w:tc>
          <w:tcPr>
            <w:tcW w:w="2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1700" w:type="dxa"/>
            <w:vAlign w:val="bottom"/>
          </w:tcPr>
          <w:p>
            <w:pPr>
              <w:ind w:left="40"/>
              <w:spacing w:after="0"/>
              <w:rPr>
                <w:rFonts w:ascii="Arial" w:cs="Arial" w:eastAsia="Arial" w:hAnsi="Arial"/>
                <w:sz w:val="18"/>
                <w:szCs w:val="18"/>
                <w:color w:val="auto"/>
              </w:rPr>
            </w:pPr>
            <w:hyperlink w:anchor="page30">
              <w:r>
                <w:rPr>
                  <w:rFonts w:ascii="Arial" w:cs="Arial" w:eastAsia="Arial" w:hAnsi="Arial"/>
                  <w:sz w:val="18"/>
                  <w:szCs w:val="18"/>
                  <w:color w:val="auto"/>
                </w:rPr>
                <w:t>Item 6</w:t>
              </w:r>
            </w:hyperlink>
          </w:p>
        </w:tc>
        <w:tc>
          <w:tcPr>
            <w:tcW w:w="7180" w:type="dxa"/>
            <w:vAlign w:val="bottom"/>
          </w:tcPr>
          <w:p>
            <w:pPr>
              <w:ind w:left="500"/>
              <w:spacing w:after="0"/>
              <w:rPr>
                <w:rFonts w:ascii="Arial" w:cs="Arial" w:eastAsia="Arial" w:hAnsi="Arial"/>
                <w:sz w:val="18"/>
                <w:szCs w:val="18"/>
                <w:color w:val="auto"/>
              </w:rPr>
            </w:pPr>
            <w:hyperlink w:anchor="page30">
              <w:r>
                <w:rPr>
                  <w:rFonts w:ascii="Arial" w:cs="Arial" w:eastAsia="Arial" w:hAnsi="Arial"/>
                  <w:sz w:val="18"/>
                  <w:szCs w:val="18"/>
                  <w:color w:val="auto"/>
                </w:rPr>
                <w:t>Exhibits</w:t>
              </w:r>
            </w:hyperlink>
          </w:p>
        </w:tc>
        <w:tc>
          <w:tcPr>
            <w:tcW w:w="25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170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97"/>
        </w:trPr>
        <w:tc>
          <w:tcPr>
            <w:tcW w:w="1700" w:type="dxa"/>
            <w:vAlign w:val="bottom"/>
            <w:shd w:val="clear" w:color="auto" w:fill="CCEEFF"/>
          </w:tcPr>
          <w:p>
            <w:pPr>
              <w:spacing w:after="0"/>
              <w:rPr>
                <w:sz w:val="24"/>
                <w:szCs w:val="24"/>
                <w:color w:val="auto"/>
              </w:rPr>
            </w:pPr>
          </w:p>
        </w:tc>
        <w:tc>
          <w:tcPr>
            <w:tcW w:w="7180" w:type="dxa"/>
            <w:vAlign w:val="bottom"/>
            <w:shd w:val="clear" w:color="auto" w:fill="CCEEFF"/>
          </w:tcPr>
          <w:p>
            <w:pPr>
              <w:spacing w:after="0"/>
              <w:rPr>
                <w:sz w:val="24"/>
                <w:szCs w:val="24"/>
                <w:color w:val="auto"/>
              </w:rPr>
            </w:pPr>
          </w:p>
        </w:tc>
        <w:tc>
          <w:tcPr>
            <w:tcW w:w="2540" w:type="dxa"/>
            <w:vAlign w:val="bottom"/>
            <w:shd w:val="clear" w:color="auto" w:fill="CCEEFF"/>
          </w:tcPr>
          <w:p>
            <w:pPr>
              <w:spacing w:after="0"/>
              <w:rPr>
                <w:sz w:val="24"/>
                <w:szCs w:val="24"/>
                <w:color w:val="auto"/>
              </w:rPr>
            </w:pPr>
          </w:p>
        </w:tc>
      </w:tr>
      <w:tr>
        <w:trPr>
          <w:trHeight w:val="243"/>
        </w:trPr>
        <w:tc>
          <w:tcPr>
            <w:tcW w:w="1700" w:type="dxa"/>
            <w:vAlign w:val="bottom"/>
          </w:tcPr>
          <w:p>
            <w:pPr>
              <w:ind w:left="40"/>
              <w:spacing w:after="0"/>
              <w:rPr>
                <w:rFonts w:ascii="Arial" w:cs="Arial" w:eastAsia="Arial" w:hAnsi="Arial"/>
                <w:sz w:val="18"/>
                <w:szCs w:val="18"/>
                <w:b w:val="1"/>
                <w:bCs w:val="1"/>
                <w:color w:val="auto"/>
              </w:rPr>
            </w:pPr>
            <w:hyperlink w:anchor="page31">
              <w:r>
                <w:rPr>
                  <w:rFonts w:ascii="Arial" w:cs="Arial" w:eastAsia="Arial" w:hAnsi="Arial"/>
                  <w:sz w:val="18"/>
                  <w:szCs w:val="18"/>
                  <w:b w:val="1"/>
                  <w:bCs w:val="1"/>
                  <w:color w:val="auto"/>
                </w:rPr>
                <w:t>SIGNATURES</w:t>
              </w:r>
            </w:hyperlink>
          </w:p>
        </w:tc>
        <w:tc>
          <w:tcPr>
            <w:tcW w:w="7180" w:type="dxa"/>
            <w:vAlign w:val="bottom"/>
          </w:tcPr>
          <w:p>
            <w:pPr>
              <w:spacing w:after="0"/>
              <w:rPr>
                <w:sz w:val="21"/>
                <w:szCs w:val="21"/>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01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PART I - FINANCIAL INFORMATION</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628"/>
        </w:trPr>
        <w:tc>
          <w:tcPr>
            <w:tcW w:w="8460" w:type="dxa"/>
            <w:vAlign w:val="bottom"/>
            <w:gridSpan w:val="4"/>
          </w:tcPr>
          <w:p>
            <w:pPr>
              <w:spacing w:after="0"/>
              <w:rPr>
                <w:sz w:val="20"/>
                <w:szCs w:val="20"/>
                <w:color w:val="auto"/>
              </w:rPr>
            </w:pPr>
            <w:r>
              <w:rPr>
                <w:rFonts w:ascii="Arial" w:cs="Arial" w:eastAsia="Arial" w:hAnsi="Arial"/>
                <w:sz w:val="18"/>
                <w:szCs w:val="18"/>
                <w:color w:val="auto"/>
              </w:rPr>
              <w:t>Item 1 – Financial Statements (unaudited)</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53"/>
        </w:trPr>
        <w:tc>
          <w:tcPr>
            <w:tcW w:w="304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4300" w:type="dxa"/>
            <w:vAlign w:val="bottom"/>
            <w:gridSpan w:val="2"/>
          </w:tcPr>
          <w:p>
            <w:pPr>
              <w:jc w:val="center"/>
              <w:ind w:right="1180"/>
              <w:spacing w:after="0"/>
              <w:rPr>
                <w:sz w:val="20"/>
                <w:szCs w:val="20"/>
                <w:color w:val="auto"/>
              </w:rPr>
            </w:pPr>
            <w:r>
              <w:rPr>
                <w:rFonts w:ascii="Arial" w:cs="Arial" w:eastAsia="Arial" w:hAnsi="Arial"/>
                <w:sz w:val="18"/>
                <w:szCs w:val="18"/>
                <w:b w:val="1"/>
                <w:bCs w:val="1"/>
                <w:color w:val="auto"/>
                <w:w w:val="93"/>
              </w:rPr>
              <w:t>ManpowerGroup Inc.</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4"/>
        </w:trPr>
        <w:tc>
          <w:tcPr>
            <w:tcW w:w="3040" w:type="dxa"/>
            <w:vAlign w:val="bottom"/>
          </w:tcPr>
          <w:p>
            <w:pPr>
              <w:spacing w:after="0"/>
              <w:rPr>
                <w:sz w:val="24"/>
                <w:szCs w:val="24"/>
                <w:color w:val="auto"/>
              </w:rPr>
            </w:pPr>
          </w:p>
        </w:tc>
        <w:tc>
          <w:tcPr>
            <w:tcW w:w="54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Consolidated Balance Sheets (Unaudited)</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4"/>
        </w:trPr>
        <w:tc>
          <w:tcPr>
            <w:tcW w:w="3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300" w:type="dxa"/>
            <w:vAlign w:val="bottom"/>
            <w:gridSpan w:val="2"/>
          </w:tcPr>
          <w:p>
            <w:pPr>
              <w:jc w:val="center"/>
              <w:ind w:right="1180"/>
              <w:spacing w:after="0"/>
              <w:rPr>
                <w:sz w:val="20"/>
                <w:szCs w:val="20"/>
                <w:color w:val="auto"/>
              </w:rPr>
            </w:pPr>
            <w:r>
              <w:rPr>
                <w:rFonts w:ascii="Arial" w:cs="Arial" w:eastAsia="Arial" w:hAnsi="Arial"/>
                <w:sz w:val="18"/>
                <w:szCs w:val="18"/>
                <w:b w:val="1"/>
                <w:bCs w:val="1"/>
                <w:color w:val="auto"/>
                <w:w w:val="91"/>
              </w:rPr>
              <w:t>(in millions)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300" w:type="dxa"/>
            <w:vAlign w:val="bottom"/>
            <w:gridSpan w:val="2"/>
          </w:tcPr>
          <w:p>
            <w:pPr>
              <w:jc w:val="center"/>
              <w:ind w:right="1200"/>
              <w:spacing w:after="0"/>
              <w:rPr>
                <w:sz w:val="20"/>
                <w:szCs w:val="20"/>
                <w:color w:val="auto"/>
              </w:rPr>
            </w:pPr>
            <w:r>
              <w:rPr>
                <w:rFonts w:ascii="Arial" w:cs="Arial" w:eastAsia="Arial" w:hAnsi="Arial"/>
                <w:sz w:val="18"/>
                <w:szCs w:val="18"/>
                <w:b w:val="1"/>
                <w:bCs w:val="1"/>
                <w:color w:val="auto"/>
                <w:w w:val="91"/>
              </w:rPr>
              <w:t>ASSETS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594"/>
        </w:trPr>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40" w:type="dxa"/>
            <w:vAlign w:val="bottom"/>
          </w:tcPr>
          <w:p>
            <w:pPr>
              <w:spacing w:after="0"/>
              <w:rPr>
                <w:sz w:val="24"/>
                <w:szCs w:val="24"/>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December 31,</w:t>
            </w:r>
          </w:p>
        </w:tc>
      </w:tr>
      <w:tr>
        <w:trPr>
          <w:trHeight w:val="270"/>
        </w:trPr>
        <w:tc>
          <w:tcPr>
            <w:tcW w:w="30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30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gridSpan w:val="4"/>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566.3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591.9</w:t>
            </w:r>
          </w:p>
        </w:tc>
      </w:tr>
      <w:tr>
        <w:trPr>
          <w:trHeight w:val="27"/>
        </w:trPr>
        <w:tc>
          <w:tcPr>
            <w:tcW w:w="3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Accounts receivable, less allowance for doubtful accounts of $114.9 and $115.7,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5,276.1</w:t>
            </w:r>
          </w:p>
        </w:tc>
      </w:tr>
      <w:tr>
        <w:trPr>
          <w:trHeight w:val="243"/>
        </w:trPr>
        <w:tc>
          <w:tcPr>
            <w:tcW w:w="8460" w:type="dxa"/>
            <w:vAlign w:val="bottom"/>
            <w:gridSpan w:val="4"/>
          </w:tcPr>
          <w:p>
            <w:pPr>
              <w:ind w:left="4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129.1</w:t>
            </w:r>
          </w:p>
        </w:tc>
      </w:tr>
      <w:tr>
        <w:trPr>
          <w:trHeight w:val="27"/>
        </w:trPr>
        <w:tc>
          <w:tcPr>
            <w:tcW w:w="30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4"/>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5,997.1</w:t>
            </w:r>
          </w:p>
        </w:tc>
      </w:tr>
      <w:tr>
        <w:trPr>
          <w:trHeight w:val="297"/>
        </w:trPr>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gridSpan w:val="4"/>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1,293.6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1,297.1</w:t>
            </w:r>
          </w:p>
        </w:tc>
      </w:tr>
      <w:tr>
        <w:trPr>
          <w:trHeight w:val="27"/>
        </w:trPr>
        <w:tc>
          <w:tcPr>
            <w:tcW w:w="3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Intangible assets, less accumulated amortization of $373.8 and $367.7,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246.3</w:t>
            </w:r>
          </w:p>
        </w:tc>
      </w:tr>
      <w:tr>
        <w:trPr>
          <w:trHeight w:val="243"/>
        </w:trPr>
        <w:tc>
          <w:tcPr>
            <w:tcW w:w="8460" w:type="dxa"/>
            <w:vAlign w:val="bottom"/>
            <w:gridSpan w:val="4"/>
          </w:tcPr>
          <w:p>
            <w:pPr>
              <w:ind w:left="40"/>
              <w:spacing w:after="0"/>
              <w:rPr>
                <w:sz w:val="20"/>
                <w:szCs w:val="20"/>
                <w:color w:val="auto"/>
              </w:rPr>
            </w:pPr>
            <w:r>
              <w:rPr>
                <w:rFonts w:ascii="Arial" w:cs="Arial" w:eastAsia="Arial" w:hAnsi="Arial"/>
                <w:sz w:val="18"/>
                <w:szCs w:val="18"/>
                <w:color w:val="auto"/>
              </w:rPr>
              <w:t>Operating lease right-of-use asset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434.0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826.7</w:t>
            </w:r>
          </w:p>
        </w:tc>
      </w:tr>
      <w:tr>
        <w:trPr>
          <w:trHeight w:val="237"/>
        </w:trPr>
        <w:tc>
          <w:tcPr>
            <w:tcW w:w="8460" w:type="dxa"/>
            <w:vAlign w:val="bottom"/>
            <w:gridSpan w:val="4"/>
          </w:tcPr>
          <w:p>
            <w:pPr>
              <w:ind w:left="680"/>
              <w:spacing w:after="0"/>
              <w:rPr>
                <w:sz w:val="20"/>
                <w:szCs w:val="20"/>
                <w:color w:val="auto"/>
              </w:rPr>
            </w:pPr>
            <w:r>
              <w:rPr>
                <w:rFonts w:ascii="Arial" w:cs="Arial" w:eastAsia="Arial" w:hAnsi="Arial"/>
                <w:sz w:val="18"/>
                <w:szCs w:val="18"/>
                <w:color w:val="auto"/>
              </w:rPr>
              <w:t>Total other assets</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2,636.6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2,370.1</w:t>
            </w:r>
          </w:p>
        </w:tc>
      </w:tr>
      <w:tr>
        <w:trPr>
          <w:trHeight w:val="27"/>
        </w:trPr>
        <w:tc>
          <w:tcPr>
            <w:tcW w:w="3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30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460" w:type="dxa"/>
            <w:vAlign w:val="bottom"/>
            <w:gridSpan w:val="4"/>
          </w:tcPr>
          <w:p>
            <w:pPr>
              <w:ind w:left="40"/>
              <w:spacing w:after="0"/>
              <w:rPr>
                <w:sz w:val="20"/>
                <w:szCs w:val="20"/>
                <w:color w:val="auto"/>
              </w:rPr>
            </w:pPr>
            <w:r>
              <w:rPr>
                <w:rFonts w:ascii="Arial" w:cs="Arial" w:eastAsia="Arial" w:hAnsi="Arial"/>
                <w:sz w:val="18"/>
                <w:szCs w:val="18"/>
                <w:b w:val="1"/>
                <w:bCs w:val="1"/>
                <w:color w:val="auto"/>
              </w:rPr>
              <w:t>PROPERTY AND EQUIPMENT:</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Land, buildings, leasehold improvements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613.6</w:t>
            </w:r>
          </w:p>
        </w:tc>
      </w:tr>
      <w:tr>
        <w:trPr>
          <w:trHeight w:val="243"/>
        </w:trPr>
        <w:tc>
          <w:tcPr>
            <w:tcW w:w="8460" w:type="dxa"/>
            <w:vAlign w:val="bottom"/>
            <w:gridSpan w:val="4"/>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454.9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461.0</w:t>
            </w:r>
          </w:p>
        </w:tc>
      </w:tr>
      <w:tr>
        <w:trPr>
          <w:trHeight w:val="27"/>
        </w:trPr>
        <w:tc>
          <w:tcPr>
            <w:tcW w:w="30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460" w:type="dxa"/>
            <w:vAlign w:val="bottom"/>
            <w:tcBorders>
              <w:bottom w:val="single" w:sz="8" w:color="CCEEFF"/>
            </w:tcBorders>
            <w:gridSpan w:val="4"/>
            <w:shd w:val="clear" w:color="auto" w:fill="CCEEFF"/>
          </w:tcPr>
          <w:p>
            <w:pPr>
              <w:ind w:left="680"/>
              <w:spacing w:after="0"/>
              <w:rPr>
                <w:sz w:val="20"/>
                <w:szCs w:val="20"/>
                <w:color w:val="auto"/>
              </w:rPr>
            </w:pPr>
            <w:r>
              <w:rPr>
                <w:rFonts w:ascii="Arial" w:cs="Arial" w:eastAsia="Arial" w:hAnsi="Arial"/>
                <w:sz w:val="18"/>
                <w:szCs w:val="18"/>
                <w:color w:val="auto"/>
              </w:rPr>
              <w:t>Net property and equipment</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152.6</w:t>
            </w:r>
          </w:p>
        </w:tc>
      </w:tr>
      <w:tr>
        <w:trPr>
          <w:trHeight w:val="257"/>
        </w:trPr>
        <w:tc>
          <w:tcPr>
            <w:tcW w:w="8460" w:type="dxa"/>
            <w:vAlign w:val="bottom"/>
            <w:gridSpan w:val="4"/>
          </w:tcPr>
          <w:p>
            <w:pPr>
              <w:ind w:left="86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8,818.4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8,519.8</w:t>
            </w:r>
          </w:p>
        </w:tc>
      </w:tr>
      <w:tr>
        <w:trPr>
          <w:trHeight w:val="20"/>
        </w:trPr>
        <w:tc>
          <w:tcPr>
            <w:tcW w:w="3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67" w:right="239" w:bottom="1440" w:gutter="0" w:footer="0" w:header="0"/>
        </w:sectPr>
      </w:pPr>
    </w:p>
    <w:bookmarkStart w:id="3" w:name="page4"/>
    <w:bookmarkEnd w:id="3"/>
    <w:tbl>
      <w:tblPr>
        <w:tblLayout w:type="fixed"/>
        <w:tblInd w:w="40" w:type="dxa"/>
        <w:tblCellMar>
          <w:top w:w="0" w:type="dxa"/>
          <w:left w:w="0" w:type="dxa"/>
          <w:bottom w:w="0" w:type="dxa"/>
          <w:right w:w="0" w:type="dxa"/>
        </w:tblCellMar>
      </w:tblPr>
      <w:tr>
        <w:trPr>
          <w:trHeight w:val="234"/>
        </w:trPr>
        <w:tc>
          <w:tcPr>
            <w:tcW w:w="8280" w:type="dxa"/>
            <w:vAlign w:val="bottom"/>
          </w:tcPr>
          <w:p>
            <w:pPr>
              <w:jc w:val="center"/>
              <w:ind w:left="2990"/>
              <w:spacing w:after="0"/>
              <w:rPr>
                <w:sz w:val="20"/>
                <w:szCs w:val="20"/>
                <w:color w:val="auto"/>
              </w:rPr>
            </w:pPr>
            <w:r>
              <w:rPr>
                <w:rFonts w:ascii="Arial" w:cs="Arial" w:eastAsia="Arial" w:hAnsi="Arial"/>
                <w:sz w:val="18"/>
                <w:szCs w:val="18"/>
                <w:b w:val="1"/>
                <w:bCs w:val="1"/>
                <w:color w:val="auto"/>
                <w:w w:val="93"/>
              </w:rPr>
              <w:t>ManpowerGroup Inc.</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14"/>
        </w:trPr>
        <w:tc>
          <w:tcPr>
            <w:tcW w:w="8280" w:type="dxa"/>
            <w:vAlign w:val="bottom"/>
          </w:tcPr>
          <w:p>
            <w:pPr>
              <w:jc w:val="center"/>
              <w:ind w:left="2970"/>
              <w:spacing w:after="0"/>
              <w:rPr>
                <w:sz w:val="20"/>
                <w:szCs w:val="20"/>
                <w:color w:val="auto"/>
              </w:rPr>
            </w:pPr>
            <w:r>
              <w:rPr>
                <w:rFonts w:ascii="Arial" w:cs="Arial" w:eastAsia="Arial" w:hAnsi="Arial"/>
                <w:sz w:val="18"/>
                <w:szCs w:val="18"/>
                <w:b w:val="1"/>
                <w:bCs w:val="1"/>
                <w:color w:val="auto"/>
                <w:w w:val="89"/>
              </w:rPr>
              <w:t>Consolidated Balance Sheets (Unaudited)</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4"/>
        </w:trPr>
        <w:tc>
          <w:tcPr>
            <w:tcW w:w="8280" w:type="dxa"/>
            <w:vAlign w:val="bottom"/>
          </w:tcPr>
          <w:p>
            <w:pPr>
              <w:jc w:val="center"/>
              <w:ind w:left="2970"/>
              <w:spacing w:after="0"/>
              <w:rPr>
                <w:sz w:val="20"/>
                <w:szCs w:val="20"/>
                <w:color w:val="auto"/>
              </w:rPr>
            </w:pPr>
            <w:r>
              <w:rPr>
                <w:rFonts w:ascii="Arial" w:cs="Arial" w:eastAsia="Arial" w:hAnsi="Arial"/>
                <w:sz w:val="18"/>
                <w:szCs w:val="18"/>
                <w:b w:val="1"/>
                <w:bCs w:val="1"/>
                <w:color w:val="auto"/>
                <w:w w:val="89"/>
              </w:rPr>
              <w:t>(in millions, except share and per share data)</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8280" w:type="dxa"/>
            <w:vAlign w:val="bottom"/>
          </w:tcPr>
          <w:p>
            <w:pPr>
              <w:jc w:val="center"/>
              <w:ind w:left="297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8"/>
        </w:trPr>
        <w:tc>
          <w:tcPr>
            <w:tcW w:w="8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40" w:type="dxa"/>
            <w:vAlign w:val="bottom"/>
          </w:tcPr>
          <w:p>
            <w:pPr>
              <w:spacing w:after="0"/>
              <w:rPr>
                <w:sz w:val="24"/>
                <w:szCs w:val="24"/>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December 31,</w:t>
            </w:r>
          </w:p>
        </w:tc>
      </w:tr>
      <w:tr>
        <w:trPr>
          <w:trHeight w:val="270"/>
        </w:trPr>
        <w:tc>
          <w:tcPr>
            <w:tcW w:w="8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8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2,300.7</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2,266.7</w:t>
            </w:r>
          </w:p>
        </w:tc>
      </w:tr>
      <w:tr>
        <w:trPr>
          <w:trHeight w:val="27"/>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 compensation payable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185.9</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209.7</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553.5</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411.0</w:t>
            </w:r>
          </w:p>
        </w:tc>
      </w:tr>
      <w:tr>
        <w:trPr>
          <w:trHeight w:val="27"/>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payroll taxes and insurance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633.7</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729.8</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Value added taxes payable</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490.4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508.6</w:t>
            </w:r>
          </w:p>
        </w:tc>
      </w:tr>
      <w:tr>
        <w:trPr>
          <w:trHeight w:val="27"/>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borrowings and current maturities of long-term debt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52.6</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50.1</w:t>
            </w:r>
          </w:p>
        </w:tc>
      </w:tr>
      <w:tr>
        <w:trPr>
          <w:trHeight w:val="237"/>
        </w:trPr>
        <w:tc>
          <w:tcPr>
            <w:tcW w:w="828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4,216.8</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4,175.9</w:t>
            </w:r>
          </w:p>
        </w:tc>
      </w:tr>
      <w:tr>
        <w:trPr>
          <w:trHeight w:val="27"/>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97"/>
        </w:trPr>
        <w:tc>
          <w:tcPr>
            <w:tcW w:w="8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OTHER LIABILITIES: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1,003.3</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1,025.3</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Long-term operating lease liability</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319.5</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628.9</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620.1</w:t>
            </w:r>
          </w:p>
        </w:tc>
      </w:tr>
      <w:tr>
        <w:trPr>
          <w:trHeight w:val="237"/>
        </w:trPr>
        <w:tc>
          <w:tcPr>
            <w:tcW w:w="8280" w:type="dxa"/>
            <w:vAlign w:val="bottom"/>
          </w:tcPr>
          <w:p>
            <w:pPr>
              <w:ind w:left="700"/>
              <w:spacing w:after="0"/>
              <w:rPr>
                <w:sz w:val="20"/>
                <w:szCs w:val="20"/>
                <w:color w:val="auto"/>
              </w:rPr>
            </w:pPr>
            <w:r>
              <w:rPr>
                <w:rFonts w:ascii="Arial" w:cs="Arial" w:eastAsia="Arial" w:hAnsi="Arial"/>
                <w:sz w:val="18"/>
                <w:szCs w:val="18"/>
                <w:color w:val="auto"/>
              </w:rPr>
              <w:t>Total other liabilities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1,951.7</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1,645.4</w:t>
            </w:r>
          </w:p>
        </w:tc>
      </w:tr>
      <w:tr>
        <w:trPr>
          <w:trHeight w:val="27"/>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97"/>
        </w:trPr>
        <w:tc>
          <w:tcPr>
            <w:tcW w:w="8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ManpowerGroup 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160"/>
              <w:spacing w:after="0"/>
              <w:rPr>
                <w:sz w:val="20"/>
                <w:szCs w:val="20"/>
                <w:color w:val="auto"/>
              </w:rPr>
            </w:pPr>
            <w:r>
              <w:rPr>
                <w:rFonts w:ascii="Arial" w:cs="Arial" w:eastAsia="Arial" w:hAnsi="Arial"/>
                <w:sz w:val="18"/>
                <w:szCs w:val="18"/>
                <w:color w:val="auto"/>
              </w:rPr>
              <w:t>Preferred stock, $.01 par value, authorized 25,000,000 shares, none issued</w:t>
            </w:r>
          </w:p>
        </w:tc>
        <w:tc>
          <w:tcPr>
            <w:tcW w:w="240" w:type="dxa"/>
            <w:vAlign w:val="bottom"/>
          </w:tcPr>
          <w:p>
            <w:pPr>
              <w:spacing w:after="0"/>
              <w:rPr>
                <w:sz w:val="21"/>
                <w:szCs w:val="21"/>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$.01 par value, authorized 125,000,000 shares, issued 117,043,224 and</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116,795,899 shares,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r>
      <w:tr>
        <w:trPr>
          <w:trHeight w:val="243"/>
        </w:trPr>
        <w:tc>
          <w:tcPr>
            <w:tcW w:w="8280" w:type="dxa"/>
            <w:vAlign w:val="bottom"/>
          </w:tcPr>
          <w:p>
            <w:pPr>
              <w:ind w:left="160"/>
              <w:spacing w:after="0"/>
              <w:rPr>
                <w:sz w:val="20"/>
                <w:szCs w:val="20"/>
                <w:color w:val="auto"/>
              </w:rPr>
            </w:pPr>
            <w:r>
              <w:rPr>
                <w:rFonts w:ascii="Arial" w:cs="Arial" w:eastAsia="Arial" w:hAnsi="Arial"/>
                <w:sz w:val="18"/>
                <w:szCs w:val="18"/>
                <w:color w:val="auto"/>
              </w:rPr>
              <w:t>Capital in excess of par value</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3,343.0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3,337.5</w:t>
            </w:r>
          </w:p>
        </w:tc>
      </w:tr>
      <w:tr>
        <w:trPr>
          <w:trHeight w:val="27"/>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3,211.2</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3,157.7</w:t>
            </w:r>
          </w:p>
        </w:tc>
      </w:tr>
      <w:tr>
        <w:trPr>
          <w:trHeight w:val="243"/>
        </w:trPr>
        <w:tc>
          <w:tcPr>
            <w:tcW w:w="8280" w:type="dxa"/>
            <w:vAlign w:val="bottom"/>
          </w:tcPr>
          <w:p>
            <w:pPr>
              <w:ind w:left="14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(401.8)</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(399.8)</w:t>
            </w:r>
          </w:p>
        </w:tc>
      </w:tr>
      <w:tr>
        <w:trPr>
          <w:trHeight w:val="27"/>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Treasury stock at cost, 57,308,380 and 56,044,485 shares, respectively</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(3,578.0)</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(3,471.7)</w:t>
            </w:r>
          </w:p>
        </w:tc>
      </w:tr>
      <w:tr>
        <w:trPr>
          <w:trHeight w:val="237"/>
        </w:trPr>
        <w:tc>
          <w:tcPr>
            <w:tcW w:w="8280" w:type="dxa"/>
            <w:vAlign w:val="bottom"/>
          </w:tcPr>
          <w:p>
            <w:pPr>
              <w:ind w:left="380"/>
              <w:spacing w:after="0"/>
              <w:rPr>
                <w:sz w:val="20"/>
                <w:szCs w:val="20"/>
                <w:color w:val="auto"/>
              </w:rPr>
            </w:pPr>
            <w:r>
              <w:rPr>
                <w:rFonts w:ascii="Arial" w:cs="Arial" w:eastAsia="Arial" w:hAnsi="Arial"/>
                <w:sz w:val="18"/>
                <w:szCs w:val="18"/>
                <w:color w:val="auto"/>
              </w:rPr>
              <w:t>Total ManpowerGroup shareholders’ equity</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2,575.6</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2,624.9</w:t>
            </w:r>
          </w:p>
        </w:tc>
      </w:tr>
      <w:tr>
        <w:trPr>
          <w:trHeight w:val="27"/>
        </w:trPr>
        <w:tc>
          <w:tcPr>
            <w:tcW w:w="8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74.3</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73.6</w:t>
            </w:r>
          </w:p>
        </w:tc>
      </w:tr>
      <w:tr>
        <w:trPr>
          <w:trHeight w:val="237"/>
        </w:trPr>
        <w:tc>
          <w:tcPr>
            <w:tcW w:w="8280" w:type="dxa"/>
            <w:vAlign w:val="bottom"/>
          </w:tcPr>
          <w:p>
            <w:pPr>
              <w:ind w:left="70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2,649.9</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2,698.5</w:t>
            </w:r>
          </w:p>
        </w:tc>
      </w:tr>
      <w:tr>
        <w:trPr>
          <w:trHeight w:val="27"/>
        </w:trPr>
        <w:tc>
          <w:tcPr>
            <w:tcW w:w="8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82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8,818.4</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8,519.8</w:t>
            </w:r>
          </w:p>
        </w:tc>
      </w:tr>
      <w:tr>
        <w:trPr>
          <w:trHeight w:val="20"/>
        </w:trPr>
        <w:tc>
          <w:tcPr>
            <w:tcW w:w="8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364"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ManpowerGroup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92"/>
              </w:rPr>
              <w:t>3 Months Ended</w:t>
            </w:r>
          </w:p>
        </w:tc>
        <w:tc>
          <w:tcPr>
            <w:tcW w:w="0" w:type="dxa"/>
            <w:vAlign w:val="bottom"/>
          </w:tcPr>
          <w:p>
            <w:pPr>
              <w:spacing w:after="0"/>
              <w:rPr>
                <w:sz w:val="1"/>
                <w:szCs w:val="1"/>
                <w:color w:val="auto"/>
              </w:rPr>
            </w:pPr>
          </w:p>
        </w:tc>
      </w:tr>
      <w:tr>
        <w:trPr>
          <w:trHeight w:val="270"/>
        </w:trPr>
        <w:tc>
          <w:tcPr>
            <w:tcW w:w="8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93"/>
              </w:rPr>
              <w:t>March 31,</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27"/>
        </w:trPr>
        <w:tc>
          <w:tcPr>
            <w:tcW w:w="8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Revenues from services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5,044.9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5,522.4</w:t>
            </w:r>
          </w:p>
        </w:tc>
        <w:tc>
          <w:tcPr>
            <w:tcW w:w="0" w:type="dxa"/>
            <w:vAlign w:val="bottom"/>
          </w:tcPr>
          <w:p>
            <w:pPr>
              <w:spacing w:after="0"/>
              <w:rPr>
                <w:sz w:val="1"/>
                <w:szCs w:val="1"/>
                <w:color w:val="auto"/>
              </w:rPr>
            </w:pPr>
          </w:p>
        </w:tc>
      </w:tr>
      <w:tr>
        <w:trPr>
          <w:trHeight w:val="243"/>
        </w:trPr>
        <w:tc>
          <w:tcPr>
            <w:tcW w:w="9040" w:type="dxa"/>
            <w:vAlign w:val="bottom"/>
            <w:gridSpan w:val="3"/>
          </w:tcPr>
          <w:p>
            <w:pPr>
              <w:ind w:left="40"/>
              <w:spacing w:after="0"/>
              <w:rPr>
                <w:sz w:val="20"/>
                <w:szCs w:val="20"/>
                <w:color w:val="auto"/>
              </w:rPr>
            </w:pPr>
            <w:r>
              <w:rPr>
                <w:rFonts w:ascii="Arial" w:cs="Arial" w:eastAsia="Arial" w:hAnsi="Arial"/>
                <w:sz w:val="18"/>
                <w:szCs w:val="18"/>
                <w:color w:val="auto"/>
              </w:rPr>
              <w:t>Cost of services</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4,240.1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4,637.0</w:t>
            </w:r>
          </w:p>
        </w:tc>
        <w:tc>
          <w:tcPr>
            <w:tcW w:w="0" w:type="dxa"/>
            <w:vAlign w:val="bottom"/>
          </w:tcPr>
          <w:p>
            <w:pPr>
              <w:spacing w:after="0"/>
              <w:rPr>
                <w:sz w:val="1"/>
                <w:szCs w:val="1"/>
                <w:color w:val="auto"/>
              </w:rPr>
            </w:pPr>
          </w:p>
        </w:tc>
      </w:tr>
      <w:tr>
        <w:trPr>
          <w:trHeight w:val="27"/>
        </w:trPr>
        <w:tc>
          <w:tcPr>
            <w:tcW w:w="8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40" w:type="dxa"/>
            <w:vAlign w:val="bottom"/>
            <w:tcBorders>
              <w:bottom w:val="single" w:sz="8" w:color="CCEEFF"/>
            </w:tcBorders>
            <w:gridSpan w:val="3"/>
            <w:shd w:val="clear" w:color="auto" w:fill="CCEEFF"/>
          </w:tcPr>
          <w:p>
            <w:pPr>
              <w:ind w:left="56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885.4</w:t>
            </w:r>
          </w:p>
        </w:tc>
        <w:tc>
          <w:tcPr>
            <w:tcW w:w="0" w:type="dxa"/>
            <w:vAlign w:val="bottom"/>
          </w:tcPr>
          <w:p>
            <w:pPr>
              <w:spacing w:after="0"/>
              <w:rPr>
                <w:sz w:val="1"/>
                <w:szCs w:val="1"/>
                <w:color w:val="auto"/>
              </w:rPr>
            </w:pPr>
          </w:p>
        </w:tc>
      </w:tr>
      <w:tr>
        <w:trPr>
          <w:trHeight w:val="243"/>
        </w:trPr>
        <w:tc>
          <w:tcPr>
            <w:tcW w:w="9040" w:type="dxa"/>
            <w:vAlign w:val="bottom"/>
            <w:gridSpan w:val="3"/>
          </w:tcPr>
          <w:p>
            <w:pPr>
              <w:ind w:left="40"/>
              <w:spacing w:after="0"/>
              <w:rPr>
                <w:sz w:val="20"/>
                <w:szCs w:val="20"/>
                <w:color w:val="auto"/>
              </w:rPr>
            </w:pPr>
            <w:r>
              <w:rPr>
                <w:rFonts w:ascii="Arial" w:cs="Arial" w:eastAsia="Arial" w:hAnsi="Arial"/>
                <w:sz w:val="18"/>
                <w:szCs w:val="18"/>
                <w:color w:val="auto"/>
              </w:rPr>
              <w:t>Selling and administrative expenses</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699.3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731.6</w:t>
            </w:r>
          </w:p>
        </w:tc>
        <w:tc>
          <w:tcPr>
            <w:tcW w:w="0" w:type="dxa"/>
            <w:vAlign w:val="bottom"/>
          </w:tcPr>
          <w:p>
            <w:pPr>
              <w:spacing w:after="0"/>
              <w:rPr>
                <w:sz w:val="1"/>
                <w:szCs w:val="1"/>
                <w:color w:val="auto"/>
              </w:rPr>
            </w:pPr>
          </w:p>
        </w:tc>
      </w:tr>
      <w:tr>
        <w:trPr>
          <w:trHeight w:val="27"/>
        </w:trPr>
        <w:tc>
          <w:tcPr>
            <w:tcW w:w="8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40" w:type="dxa"/>
            <w:vAlign w:val="bottom"/>
            <w:tcBorders>
              <w:bottom w:val="single" w:sz="8" w:color="CCEEFF"/>
            </w:tcBorders>
            <w:gridSpan w:val="3"/>
            <w:shd w:val="clear" w:color="auto" w:fill="CCEEFF"/>
          </w:tcPr>
          <w:p>
            <w:pPr>
              <w:ind w:left="560"/>
              <w:spacing w:after="0"/>
              <w:rPr>
                <w:sz w:val="20"/>
                <w:szCs w:val="20"/>
                <w:color w:val="auto"/>
              </w:rPr>
            </w:pPr>
            <w:r>
              <w:rPr>
                <w:rFonts w:ascii="Arial" w:cs="Arial" w:eastAsia="Arial" w:hAnsi="Arial"/>
                <w:sz w:val="18"/>
                <w:szCs w:val="18"/>
                <w:color w:val="auto"/>
              </w:rPr>
              <w:t>Operating profit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43"/>
        </w:trPr>
        <w:tc>
          <w:tcPr>
            <w:tcW w:w="9040" w:type="dxa"/>
            <w:vAlign w:val="bottom"/>
            <w:gridSpan w:val="3"/>
          </w:tcPr>
          <w:p>
            <w:pPr>
              <w:ind w:left="40"/>
              <w:spacing w:after="0"/>
              <w:rPr>
                <w:sz w:val="20"/>
                <w:szCs w:val="20"/>
                <w:color w:val="auto"/>
              </w:rPr>
            </w:pPr>
            <w:r>
              <w:rPr>
                <w:rFonts w:ascii="Arial" w:cs="Arial" w:eastAsia="Arial" w:hAnsi="Arial"/>
                <w:sz w:val="18"/>
                <w:szCs w:val="18"/>
                <w:color w:val="auto"/>
              </w:rPr>
              <w:t>Interest and other expenses</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8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40" w:type="dxa"/>
            <w:vAlign w:val="bottom"/>
            <w:tcBorders>
              <w:bottom w:val="single" w:sz="8" w:color="CCEEFF"/>
            </w:tcBorders>
            <w:gridSpan w:val="3"/>
            <w:shd w:val="clear" w:color="auto" w:fill="CCEEFF"/>
          </w:tcPr>
          <w:p>
            <w:pPr>
              <w:ind w:left="560"/>
              <w:spacing w:after="0"/>
              <w:rPr>
                <w:sz w:val="20"/>
                <w:szCs w:val="20"/>
                <w:color w:val="auto"/>
              </w:rPr>
            </w:pPr>
            <w:r>
              <w:rPr>
                <w:rFonts w:ascii="Arial" w:cs="Arial" w:eastAsia="Arial" w:hAnsi="Arial"/>
                <w:sz w:val="18"/>
                <w:szCs w:val="18"/>
                <w:color w:val="auto"/>
              </w:rPr>
              <w:t>Earnings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43"/>
        </w:trPr>
        <w:tc>
          <w:tcPr>
            <w:tcW w:w="9040" w:type="dxa"/>
            <w:vAlign w:val="bottom"/>
            <w:gridSpan w:val="3"/>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7"/>
        </w:trPr>
        <w:tc>
          <w:tcPr>
            <w:tcW w:w="8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0"/>
        </w:trPr>
        <w:tc>
          <w:tcPr>
            <w:tcW w:w="8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0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Net earnings per share – basic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0.88</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51"/>
        </w:trPr>
        <w:tc>
          <w:tcPr>
            <w:tcW w:w="9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earnings per share – 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8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0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Weighted average shares – basic</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51"/>
        </w:trPr>
        <w:tc>
          <w:tcPr>
            <w:tcW w:w="9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 average shares – diluted</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0"/>
        </w:trPr>
        <w:tc>
          <w:tcPr>
            <w:tcW w:w="9040" w:type="dxa"/>
            <w:vAlign w:val="bottom"/>
            <w:gridSpan w:val="3"/>
            <w:vMerge w:val="restart"/>
          </w:tcPr>
          <w:p>
            <w:pPr>
              <w:jc w:val="center"/>
              <w:ind w:left="2310"/>
              <w:spacing w:after="0"/>
              <w:rPr>
                <w:sz w:val="20"/>
                <w:szCs w:val="20"/>
                <w:color w:val="auto"/>
              </w:rPr>
            </w:pPr>
            <w:r>
              <w:rPr>
                <w:rFonts w:ascii="Arial" w:cs="Arial" w:eastAsia="Arial" w:hAnsi="Arial"/>
                <w:sz w:val="18"/>
                <w:szCs w:val="18"/>
                <w:b w:val="1"/>
                <w:bCs w:val="1"/>
                <w:color w:val="auto"/>
                <w:w w:val="93"/>
              </w:rPr>
              <w:t>ManpowerGroup Inc.</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904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040" w:type="dxa"/>
            <w:vAlign w:val="bottom"/>
            <w:gridSpan w:val="3"/>
          </w:tcPr>
          <w:p>
            <w:pPr>
              <w:jc w:val="center"/>
              <w:ind w:left="2290"/>
              <w:spacing w:after="0"/>
              <w:rPr>
                <w:sz w:val="20"/>
                <w:szCs w:val="20"/>
                <w:color w:val="auto"/>
              </w:rPr>
            </w:pPr>
            <w:r>
              <w:rPr>
                <w:rFonts w:ascii="Arial" w:cs="Arial" w:eastAsia="Arial" w:hAnsi="Arial"/>
                <w:sz w:val="18"/>
                <w:szCs w:val="18"/>
                <w:b w:val="1"/>
                <w:bCs w:val="1"/>
                <w:color w:val="auto"/>
                <w:w w:val="89"/>
              </w:rPr>
              <w:t>Consolidated Statements of Comprehensive Income (Unaudited)</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040" w:type="dxa"/>
            <w:vAlign w:val="bottom"/>
            <w:gridSpan w:val="3"/>
          </w:tcPr>
          <w:p>
            <w:pPr>
              <w:jc w:val="center"/>
              <w:ind w:left="2310"/>
              <w:spacing w:after="0"/>
              <w:rPr>
                <w:sz w:val="20"/>
                <w:szCs w:val="20"/>
                <w:color w:val="auto"/>
              </w:rPr>
            </w:pPr>
            <w:r>
              <w:rPr>
                <w:rFonts w:ascii="Arial" w:cs="Arial" w:eastAsia="Arial" w:hAnsi="Arial"/>
                <w:sz w:val="18"/>
                <w:szCs w:val="18"/>
                <w:b w:val="1"/>
                <w:bCs w:val="1"/>
                <w:color w:val="auto"/>
                <w:w w:val="91"/>
              </w:rPr>
              <w:t>(in millions)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8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92"/>
              </w:rPr>
              <w:t>3 Months Ended</w:t>
            </w:r>
          </w:p>
        </w:tc>
        <w:tc>
          <w:tcPr>
            <w:tcW w:w="0" w:type="dxa"/>
            <w:vAlign w:val="bottom"/>
          </w:tcPr>
          <w:p>
            <w:pPr>
              <w:spacing w:after="0"/>
              <w:rPr>
                <w:sz w:val="1"/>
                <w:szCs w:val="1"/>
                <w:color w:val="auto"/>
              </w:rPr>
            </w:pPr>
          </w:p>
        </w:tc>
      </w:tr>
      <w:tr>
        <w:trPr>
          <w:trHeight w:val="270"/>
        </w:trPr>
        <w:tc>
          <w:tcPr>
            <w:tcW w:w="8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96"/>
              </w:rPr>
              <w:t>March 31,</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43"/>
        </w:trPr>
        <w:tc>
          <w:tcPr>
            <w:tcW w:w="9040" w:type="dxa"/>
            <w:vAlign w:val="bottom"/>
            <w:gridSpan w:val="3"/>
          </w:tcPr>
          <w:p>
            <w:pPr>
              <w:ind w:left="40"/>
              <w:spacing w:after="0"/>
              <w:rPr>
                <w:sz w:val="20"/>
                <w:szCs w:val="20"/>
                <w:color w:val="auto"/>
              </w:rPr>
            </w:pPr>
            <w:r>
              <w:rPr>
                <w:rFonts w:ascii="Arial" w:cs="Arial" w:eastAsia="Arial" w:hAnsi="Arial"/>
                <w:sz w:val="18"/>
                <w:szCs w:val="18"/>
                <w:color w:val="auto"/>
              </w:rPr>
              <w:t>Other comprehensive (loss) income:</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gridSpan w:val="3"/>
            <w:shd w:val="clear" w:color="auto" w:fill="CCEEFF"/>
          </w:tcPr>
          <w:p>
            <w:pPr>
              <w:ind w:left="56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43"/>
        </w:trPr>
        <w:tc>
          <w:tcPr>
            <w:tcW w:w="9040" w:type="dxa"/>
            <w:vAlign w:val="bottom"/>
            <w:gridSpan w:val="3"/>
          </w:tcPr>
          <w:p>
            <w:pPr>
              <w:ind w:left="560"/>
              <w:spacing w:after="0"/>
              <w:rPr>
                <w:sz w:val="20"/>
                <w:szCs w:val="20"/>
                <w:color w:val="auto"/>
              </w:rPr>
            </w:pPr>
            <w:r>
              <w:rPr>
                <w:rFonts w:ascii="Arial" w:cs="Arial" w:eastAsia="Arial" w:hAnsi="Arial"/>
                <w:sz w:val="18"/>
                <w:szCs w:val="18"/>
                <w:color w:val="auto"/>
              </w:rPr>
              <w:t>Translation adjustments on net investment hedge, net of income taxes of $5.1 and $(4.8), respectively</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9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gridSpan w:val="3"/>
            <w:shd w:val="clear" w:color="auto" w:fill="CCEEFF"/>
          </w:tcPr>
          <w:p>
            <w:pPr>
              <w:ind w:left="560"/>
              <w:spacing w:after="0"/>
              <w:rPr>
                <w:sz w:val="20"/>
                <w:szCs w:val="20"/>
                <w:color w:val="auto"/>
              </w:rPr>
            </w:pPr>
            <w:r>
              <w:rPr>
                <w:rFonts w:ascii="Arial" w:cs="Arial" w:eastAsia="Arial" w:hAnsi="Arial"/>
                <w:sz w:val="18"/>
                <w:szCs w:val="18"/>
                <w:color w:val="auto"/>
              </w:rPr>
              <w:t>Translation adjustments of long-term intercompany loans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9040" w:type="dxa"/>
            <w:vAlign w:val="bottom"/>
            <w:gridSpan w:val="3"/>
          </w:tcPr>
          <w:p>
            <w:pPr>
              <w:ind w:left="560"/>
              <w:spacing w:after="0"/>
              <w:rPr>
                <w:sz w:val="20"/>
                <w:szCs w:val="20"/>
                <w:color w:val="auto"/>
              </w:rPr>
            </w:pPr>
            <w:r>
              <w:rPr>
                <w:rFonts w:ascii="Arial" w:cs="Arial" w:eastAsia="Arial" w:hAnsi="Arial"/>
                <w:sz w:val="18"/>
                <w:szCs w:val="18"/>
                <w:color w:val="auto"/>
                <w:w w:val="97"/>
              </w:rPr>
              <w:t>Defined benefit pension plans and retiree health care plan, net of income taxes of $0.1 and $0.2, respectively</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comprehensive (loss) income</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57"/>
        </w:trPr>
        <w:tc>
          <w:tcPr>
            <w:tcW w:w="9020" w:type="dxa"/>
            <w:vAlign w:val="bottom"/>
            <w:gridSpan w:val="2"/>
          </w:tcPr>
          <w:p>
            <w:pPr>
              <w:ind w:left="40"/>
              <w:spacing w:after="0"/>
              <w:rPr>
                <w:sz w:val="20"/>
                <w:szCs w:val="20"/>
                <w:color w:val="auto"/>
              </w:rPr>
            </w:pPr>
            <w:r>
              <w:rPr>
                <w:rFonts w:ascii="Arial" w:cs="Arial" w:eastAsia="Arial" w:hAnsi="Arial"/>
                <w:sz w:val="18"/>
                <w:szCs w:val="18"/>
                <w:color w:val="auto"/>
              </w:rPr>
              <w:t>Comprehensive income</w:t>
            </w:r>
          </w:p>
        </w:tc>
        <w:tc>
          <w:tcPr>
            <w:tcW w:w="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0"/>
        </w:trPr>
        <w:tc>
          <w:tcPr>
            <w:tcW w:w="8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96"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ManpowerGroup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3 Months Ended</w:t>
            </w:r>
          </w:p>
        </w:tc>
        <w:tc>
          <w:tcPr>
            <w:tcW w:w="0" w:type="dxa"/>
            <w:vAlign w:val="bottom"/>
          </w:tcPr>
          <w:p>
            <w:pPr>
              <w:spacing w:after="0"/>
              <w:rPr>
                <w:sz w:val="1"/>
                <w:szCs w:val="1"/>
                <w:color w:val="auto"/>
              </w:rPr>
            </w:pPr>
          </w:p>
        </w:tc>
      </w:tr>
      <w:tr>
        <w:trPr>
          <w:trHeight w:val="270"/>
        </w:trPr>
        <w:tc>
          <w:tcPr>
            <w:tcW w:w="9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4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7"/>
        </w:trPr>
        <w:tc>
          <w:tcPr>
            <w:tcW w:w="9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92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Adjustments to reconcile net earnings to net cash provided by (used in) operating activities:</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43"/>
        </w:trPr>
        <w:tc>
          <w:tcPr>
            <w:tcW w:w="9240" w:type="dxa"/>
            <w:vAlign w:val="bottom"/>
          </w:tcPr>
          <w:p>
            <w:pPr>
              <w:ind w:left="200"/>
              <w:spacing w:after="0"/>
              <w:rPr>
                <w:sz w:val="20"/>
                <w:szCs w:val="20"/>
                <w:color w:val="auto"/>
              </w:rPr>
            </w:pPr>
            <w:r>
              <w:rPr>
                <w:rFonts w:ascii="Arial" w:cs="Arial" w:eastAsia="Arial" w:hAnsi="Arial"/>
                <w:sz w:val="18"/>
                <w:szCs w:val="18"/>
                <w:color w:val="auto"/>
              </w:rPr>
              <w:t>Non-cash lease expense</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9240" w:type="dxa"/>
            <w:vAlign w:val="bottom"/>
          </w:tcPr>
          <w:p>
            <w:pPr>
              <w:ind w:left="200"/>
              <w:spacing w:after="0"/>
              <w:rPr>
                <w:sz w:val="20"/>
                <w:szCs w:val="20"/>
                <w:color w:val="auto"/>
              </w:rPr>
            </w:pPr>
            <w:r>
              <w:rPr>
                <w:rFonts w:ascii="Arial" w:cs="Arial" w:eastAsia="Arial" w:hAnsi="Arial"/>
                <w:sz w:val="18"/>
                <w:szCs w:val="18"/>
                <w:color w:val="auto"/>
              </w:rPr>
              <w:t>Provision for doubtful accounts</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Share-based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924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 excluding the impact of acquisitions:</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43"/>
        </w:trPr>
        <w:tc>
          <w:tcPr>
            <w:tcW w:w="9240" w:type="dxa"/>
            <w:vAlign w:val="bottom"/>
          </w:tcPr>
          <w:p>
            <w:pPr>
              <w:ind w:left="40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37"/>
        </w:trPr>
        <w:tc>
          <w:tcPr>
            <w:tcW w:w="9240" w:type="dxa"/>
            <w:vAlign w:val="bottom"/>
          </w:tcPr>
          <w:p>
            <w:pPr>
              <w:ind w:left="680"/>
              <w:spacing w:after="0"/>
              <w:rPr>
                <w:sz w:val="20"/>
                <w:szCs w:val="20"/>
                <w:color w:val="auto"/>
              </w:rPr>
            </w:pPr>
            <w:r>
              <w:rPr>
                <w:rFonts w:ascii="Arial" w:cs="Arial" w:eastAsia="Arial" w:hAnsi="Arial"/>
                <w:sz w:val="18"/>
                <w:szCs w:val="18"/>
                <w:color w:val="auto"/>
              </w:rPr>
              <w:t>Cash provided by (used in) operating activities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7"/>
        </w:trPr>
        <w:tc>
          <w:tcPr>
            <w:tcW w:w="9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9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Acquisitions of businesses, net of cash acquired</w:t>
            </w: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the sale of investments, property and equipment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7"/>
        </w:trPr>
        <w:tc>
          <w:tcPr>
            <w:tcW w:w="9240" w:type="dxa"/>
            <w:vAlign w:val="bottom"/>
          </w:tcPr>
          <w:p>
            <w:pPr>
              <w:ind w:left="680"/>
              <w:spacing w:after="0"/>
              <w:rPr>
                <w:sz w:val="20"/>
                <w:szCs w:val="20"/>
                <w:color w:val="auto"/>
              </w:rPr>
            </w:pPr>
            <w:r>
              <w:rPr>
                <w:rFonts w:ascii="Arial" w:cs="Arial" w:eastAsia="Arial" w:hAnsi="Arial"/>
                <w:sz w:val="18"/>
                <w:szCs w:val="18"/>
                <w:color w:val="auto"/>
              </w:rPr>
              <w:t>Cash used in investing activities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9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9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short-term borrowings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Proceeds from long-term debt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Payments of contingent consideration for acquisitions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share-based awards and other equity transactions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Payments to noncontrolling interests</w:t>
            </w: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share-based award transactions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Repurchases of common stock</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7"/>
        </w:trPr>
        <w:tc>
          <w:tcPr>
            <w:tcW w:w="9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Cash used in financing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91"/>
        </w:trPr>
        <w:tc>
          <w:tcPr>
            <w:tcW w:w="92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7"/>
        </w:trPr>
        <w:tc>
          <w:tcPr>
            <w:tcW w:w="9240" w:type="dxa"/>
            <w:vAlign w:val="bottom"/>
          </w:tcPr>
          <w:p>
            <w:pPr>
              <w:ind w:left="40"/>
              <w:spacing w:after="0"/>
              <w:rPr>
                <w:sz w:val="20"/>
                <w:szCs w:val="20"/>
                <w:color w:val="auto"/>
              </w:rPr>
            </w:pPr>
            <w:r>
              <w:rPr>
                <w:rFonts w:ascii="Arial" w:cs="Arial" w:eastAsia="Arial" w:hAnsi="Arial"/>
                <w:sz w:val="18"/>
                <w:szCs w:val="18"/>
                <w:color w:val="auto"/>
              </w:rPr>
              <w:t>Change in cash and cash equivalents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689.0</w:t>
            </w:r>
          </w:p>
        </w:tc>
        <w:tc>
          <w:tcPr>
            <w:tcW w:w="0" w:type="dxa"/>
            <w:vAlign w:val="bottom"/>
          </w:tcPr>
          <w:p>
            <w:pPr>
              <w:spacing w:after="0"/>
              <w:rPr>
                <w:sz w:val="1"/>
                <w:szCs w:val="1"/>
                <w:color w:val="auto"/>
              </w:rPr>
            </w:pPr>
          </w:p>
        </w:tc>
      </w:tr>
      <w:tr>
        <w:trPr>
          <w:trHeight w:val="297"/>
        </w:trPr>
        <w:tc>
          <w:tcPr>
            <w:tcW w:w="9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566.3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552.2</w:t>
            </w:r>
          </w:p>
        </w:tc>
        <w:tc>
          <w:tcPr>
            <w:tcW w:w="0" w:type="dxa"/>
            <w:vAlign w:val="bottom"/>
          </w:tcPr>
          <w:p>
            <w:pPr>
              <w:spacing w:after="0"/>
              <w:rPr>
                <w:sz w:val="1"/>
                <w:szCs w:val="1"/>
                <w:color w:val="auto"/>
              </w:rPr>
            </w:pPr>
          </w:p>
        </w:tc>
      </w:tr>
      <w:tr>
        <w:trPr>
          <w:trHeight w:val="284"/>
        </w:trPr>
        <w:tc>
          <w:tcPr>
            <w:tcW w:w="9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taxes paid, net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189"/>
        </w:trPr>
        <w:tc>
          <w:tcPr>
            <w:tcW w:w="92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Non-cash operating activity:</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9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796"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ManpowerGroup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60" w:type="dxa"/>
            <w:vAlign w:val="bottom"/>
            <w:gridSpan w:val="5"/>
          </w:tcPr>
          <w:p>
            <w:pPr>
              <w:jc w:val="center"/>
              <w:spacing w:after="0"/>
              <w:rPr>
                <w:sz w:val="20"/>
                <w:szCs w:val="20"/>
                <w:color w:val="auto"/>
              </w:rPr>
            </w:pPr>
            <w:r>
              <w:rPr>
                <w:rFonts w:ascii="Arial" w:cs="Arial" w:eastAsia="Arial" w:hAnsi="Arial"/>
                <w:sz w:val="16"/>
                <w:szCs w:val="16"/>
                <w:color w:val="auto"/>
                <w:w w:val="92"/>
              </w:rPr>
              <w:t>ManpowerGroup Shareholders</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420" w:type="dxa"/>
            <w:vAlign w:val="bottom"/>
          </w:tcPr>
          <w:p>
            <w:pPr>
              <w:spacing w:after="0"/>
              <w:rPr>
                <w:sz w:val="20"/>
                <w:szCs w:val="20"/>
                <w:color w:val="auto"/>
              </w:rPr>
            </w:pPr>
          </w:p>
        </w:tc>
        <w:tc>
          <w:tcPr>
            <w:tcW w:w="1660" w:type="dxa"/>
            <w:vAlign w:val="bottom"/>
            <w:gridSpan w:val="3"/>
          </w:tcPr>
          <w:p>
            <w:pPr>
              <w:ind w:left="540"/>
              <w:spacing w:after="0"/>
              <w:rPr>
                <w:sz w:val="20"/>
                <w:szCs w:val="20"/>
                <w:color w:val="auto"/>
              </w:rPr>
            </w:pPr>
            <w:r>
              <w:rPr>
                <w:rFonts w:ascii="Arial" w:cs="Arial" w:eastAsia="Arial" w:hAnsi="Arial"/>
                <w:sz w:val="16"/>
                <w:szCs w:val="16"/>
                <w:color w:val="auto"/>
              </w:rPr>
              <w:t>Common Stock</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6"/>
                <w:szCs w:val="16"/>
                <w:color w:val="auto"/>
                <w:w w:val="95"/>
              </w:rPr>
              <w:t>Capital in</w:t>
            </w: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3"/>
            <w:vMerge w:val="restart"/>
          </w:tcPr>
          <w:p>
            <w:pPr>
              <w:ind w:left="40"/>
              <w:spacing w:after="0"/>
              <w:rPr>
                <w:sz w:val="20"/>
                <w:szCs w:val="20"/>
                <w:color w:val="auto"/>
              </w:rPr>
            </w:pPr>
            <w:r>
              <w:rPr>
                <w:rFonts w:ascii="Arial" w:cs="Arial" w:eastAsia="Arial" w:hAnsi="Arial"/>
                <w:sz w:val="16"/>
                <w:szCs w:val="16"/>
                <w:color w:val="auto"/>
              </w:rPr>
              <w:t>Accumulated Other</w:t>
            </w: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6"/>
                <w:szCs w:val="16"/>
                <w:color w:val="auto"/>
                <w:w w:val="97"/>
              </w:rPr>
              <w:t>Non-</w:t>
            </w: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6"/>
                <w:szCs w:val="16"/>
                <w:color w:val="auto"/>
                <w:w w:val="89"/>
              </w:rPr>
              <w:t>Excess of Par</w:t>
            </w:r>
          </w:p>
        </w:tc>
        <w:tc>
          <w:tcPr>
            <w:tcW w:w="18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color w:val="auto"/>
              </w:rPr>
              <w:t>Retained</w:t>
            </w:r>
          </w:p>
        </w:tc>
        <w:tc>
          <w:tcPr>
            <w:tcW w:w="14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Comprehensive</w:t>
            </w:r>
          </w:p>
        </w:tc>
        <w:tc>
          <w:tcPr>
            <w:tcW w:w="14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Treasury</w:t>
            </w: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color w:val="auto"/>
                <w:w w:val="96"/>
              </w:rPr>
              <w:t>Controlling</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420" w:type="dxa"/>
            <w:vAlign w:val="bottom"/>
          </w:tcPr>
          <w:p>
            <w:pPr>
              <w:spacing w:after="0"/>
              <w:rPr>
                <w:sz w:val="17"/>
                <w:szCs w:val="17"/>
                <w:color w:val="auto"/>
              </w:rPr>
            </w:pPr>
          </w:p>
        </w:tc>
        <w:tc>
          <w:tcPr>
            <w:tcW w:w="1380" w:type="dxa"/>
            <w:vAlign w:val="bottom"/>
            <w:gridSpan w:val="2"/>
          </w:tcPr>
          <w:p>
            <w:pPr>
              <w:ind w:left="180"/>
              <w:spacing w:after="0"/>
              <w:rPr>
                <w:sz w:val="20"/>
                <w:szCs w:val="20"/>
                <w:color w:val="auto"/>
              </w:rPr>
            </w:pPr>
            <w:r>
              <w:rPr>
                <w:rFonts w:ascii="Arial" w:cs="Arial" w:eastAsia="Arial" w:hAnsi="Arial"/>
                <w:sz w:val="16"/>
                <w:szCs w:val="16"/>
                <w:color w:val="auto"/>
              </w:rPr>
              <w:t>Shares Issued</w:t>
            </w:r>
          </w:p>
        </w:tc>
        <w:tc>
          <w:tcPr>
            <w:tcW w:w="700" w:type="dxa"/>
            <w:vAlign w:val="bottom"/>
            <w:gridSpan w:val="2"/>
          </w:tcPr>
          <w:p>
            <w:pPr>
              <w:ind w:left="40"/>
              <w:spacing w:after="0"/>
              <w:rPr>
                <w:sz w:val="20"/>
                <w:szCs w:val="20"/>
                <w:color w:val="auto"/>
              </w:rPr>
            </w:pPr>
            <w:r>
              <w:rPr>
                <w:rFonts w:ascii="Arial" w:cs="Arial" w:eastAsia="Arial" w:hAnsi="Arial"/>
                <w:sz w:val="16"/>
                <w:szCs w:val="16"/>
                <w:color w:val="auto"/>
                <w:w w:val="91"/>
              </w:rPr>
              <w:t>Par Value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color w:val="auto"/>
                <w:w w:val="92"/>
              </w:rPr>
              <w:t>Value</w:t>
            </w:r>
          </w:p>
        </w:tc>
        <w:tc>
          <w:tcPr>
            <w:tcW w:w="18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color w:val="auto"/>
              </w:rPr>
              <w:t>Earnings</w:t>
            </w:r>
          </w:p>
        </w:tc>
        <w:tc>
          <w:tcPr>
            <w:tcW w:w="14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color w:val="auto"/>
                <w:w w:val="88"/>
              </w:rPr>
              <w:t>Loss</w:t>
            </w:r>
          </w:p>
        </w:tc>
        <w:tc>
          <w:tcPr>
            <w:tcW w:w="14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color w:val="auto"/>
                <w:w w:val="94"/>
              </w:rPr>
              <w:t>Stock</w:t>
            </w: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color w:val="auto"/>
                <w:w w:val="87"/>
              </w:rPr>
              <w:t>Interests</w:t>
            </w:r>
          </w:p>
        </w:tc>
        <w:tc>
          <w:tcPr>
            <w:tcW w:w="200" w:type="dxa"/>
            <w:vAlign w:val="bottom"/>
          </w:tcPr>
          <w:p>
            <w:pPr>
              <w:spacing w:after="0"/>
              <w:rPr>
                <w:sz w:val="17"/>
                <w:szCs w:val="17"/>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33"/>
        </w:trPr>
        <w:tc>
          <w:tcPr>
            <w:tcW w:w="2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December 31, 2018</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116,795,899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3,337.5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2,698.5</w:t>
            </w:r>
          </w:p>
        </w:tc>
        <w:tc>
          <w:tcPr>
            <w:tcW w:w="0" w:type="dxa"/>
            <w:vAlign w:val="bottom"/>
          </w:tcPr>
          <w:p>
            <w:pPr>
              <w:spacing w:after="0"/>
              <w:rPr>
                <w:sz w:val="1"/>
                <w:szCs w:val="1"/>
                <w:color w:val="auto"/>
              </w:rPr>
            </w:pPr>
          </w:p>
        </w:tc>
      </w:tr>
      <w:tr>
        <w:trPr>
          <w:trHeight w:val="237"/>
        </w:trPr>
        <w:tc>
          <w:tcPr>
            <w:tcW w:w="2420" w:type="dxa"/>
            <w:vAlign w:val="bottom"/>
          </w:tcPr>
          <w:p>
            <w:pPr>
              <w:ind w:left="180"/>
              <w:spacing w:after="0"/>
              <w:rPr>
                <w:sz w:val="20"/>
                <w:szCs w:val="20"/>
                <w:color w:val="auto"/>
              </w:rPr>
            </w:pPr>
            <w:r>
              <w:rPr>
                <w:rFonts w:ascii="Arial" w:cs="Arial" w:eastAsia="Arial" w:hAnsi="Arial"/>
                <w:sz w:val="16"/>
                <w:szCs w:val="16"/>
                <w:color w:val="auto"/>
              </w:rPr>
              <w:t>Net earnings</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comprehensive loss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7"/>
        </w:trPr>
        <w:tc>
          <w:tcPr>
            <w:tcW w:w="2420" w:type="dxa"/>
            <w:vAlign w:val="bottom"/>
          </w:tcPr>
          <w:p>
            <w:pPr>
              <w:ind w:left="180"/>
              <w:spacing w:after="0"/>
              <w:rPr>
                <w:sz w:val="20"/>
                <w:szCs w:val="20"/>
                <w:color w:val="auto"/>
              </w:rPr>
            </w:pPr>
            <w:r>
              <w:rPr>
                <w:rFonts w:ascii="Arial" w:cs="Arial" w:eastAsia="Arial" w:hAnsi="Arial"/>
                <w:sz w:val="16"/>
                <w:szCs w:val="16"/>
                <w:color w:val="auto"/>
              </w:rPr>
              <w:t>Issuances under equity plans</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247,325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Share-based compensation</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expense</w:t>
            </w: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37"/>
        </w:trPr>
        <w:tc>
          <w:tcPr>
            <w:tcW w:w="2420" w:type="dxa"/>
            <w:vAlign w:val="bottom"/>
          </w:tcPr>
          <w:p>
            <w:pPr>
              <w:ind w:left="180"/>
              <w:spacing w:after="0"/>
              <w:rPr>
                <w:sz w:val="20"/>
                <w:szCs w:val="20"/>
                <w:color w:val="auto"/>
              </w:rPr>
            </w:pPr>
            <w:r>
              <w:rPr>
                <w:rFonts w:ascii="Arial" w:cs="Arial" w:eastAsia="Arial" w:hAnsi="Arial"/>
                <w:sz w:val="16"/>
                <w:szCs w:val="16"/>
                <w:color w:val="auto"/>
              </w:rPr>
              <w:t>Repurchases of common stock</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(101.0)</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Noncontrolling interest</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transactions</w:t>
            </w: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1"/>
        </w:trPr>
        <w:tc>
          <w:tcPr>
            <w:tcW w:w="24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Balance, March 31, 2019</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117,043,224</w:t>
            </w: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w:t>
            </w:r>
          </w:p>
        </w:tc>
        <w:tc>
          <w:tcPr>
            <w:tcW w:w="2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3,343.0</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3,211.2</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(401.8)</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(3,578.0)</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74.3</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2,649.9</w:t>
            </w:r>
          </w:p>
        </w:tc>
        <w:tc>
          <w:tcPr>
            <w:tcW w:w="0" w:type="dxa"/>
            <w:vAlign w:val="bottom"/>
          </w:tcPr>
          <w:p>
            <w:pPr>
              <w:spacing w:after="0"/>
              <w:rPr>
                <w:sz w:val="1"/>
                <w:szCs w:val="1"/>
                <w:color w:val="auto"/>
              </w:rPr>
            </w:pPr>
          </w:p>
        </w:tc>
      </w:tr>
      <w:tr>
        <w:trPr>
          <w:trHeight w:val="33"/>
        </w:trPr>
        <w:tc>
          <w:tcPr>
            <w:tcW w:w="2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6"/>
        </w:trPr>
        <w:tc>
          <w:tcPr>
            <w:tcW w:w="2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60" w:type="dxa"/>
            <w:vAlign w:val="bottom"/>
            <w:gridSpan w:val="5"/>
          </w:tcPr>
          <w:p>
            <w:pPr>
              <w:jc w:val="center"/>
              <w:spacing w:after="0"/>
              <w:rPr>
                <w:sz w:val="20"/>
                <w:szCs w:val="20"/>
                <w:color w:val="auto"/>
              </w:rPr>
            </w:pPr>
            <w:r>
              <w:rPr>
                <w:rFonts w:ascii="Arial" w:cs="Arial" w:eastAsia="Arial" w:hAnsi="Arial"/>
                <w:sz w:val="16"/>
                <w:szCs w:val="16"/>
                <w:color w:val="auto"/>
                <w:w w:val="92"/>
              </w:rPr>
              <w:t>ManpowerGroup Shareholders</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420" w:type="dxa"/>
            <w:vAlign w:val="bottom"/>
          </w:tcPr>
          <w:p>
            <w:pPr>
              <w:spacing w:after="0"/>
              <w:rPr>
                <w:sz w:val="20"/>
                <w:szCs w:val="20"/>
                <w:color w:val="auto"/>
              </w:rPr>
            </w:pPr>
          </w:p>
        </w:tc>
        <w:tc>
          <w:tcPr>
            <w:tcW w:w="1660" w:type="dxa"/>
            <w:vAlign w:val="bottom"/>
            <w:gridSpan w:val="3"/>
          </w:tcPr>
          <w:p>
            <w:pPr>
              <w:ind w:left="540"/>
              <w:spacing w:after="0"/>
              <w:rPr>
                <w:sz w:val="20"/>
                <w:szCs w:val="20"/>
                <w:color w:val="auto"/>
              </w:rPr>
            </w:pPr>
            <w:r>
              <w:rPr>
                <w:rFonts w:ascii="Arial" w:cs="Arial" w:eastAsia="Arial" w:hAnsi="Arial"/>
                <w:sz w:val="16"/>
                <w:szCs w:val="16"/>
                <w:color w:val="auto"/>
              </w:rPr>
              <w:t>Common Stock</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6"/>
                <w:szCs w:val="16"/>
                <w:color w:val="auto"/>
                <w:w w:val="95"/>
              </w:rPr>
              <w:t>Capital in</w:t>
            </w: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3"/>
            <w:vMerge w:val="restart"/>
          </w:tcPr>
          <w:p>
            <w:pPr>
              <w:ind w:left="40"/>
              <w:spacing w:after="0"/>
              <w:rPr>
                <w:sz w:val="20"/>
                <w:szCs w:val="20"/>
                <w:color w:val="auto"/>
              </w:rPr>
            </w:pPr>
            <w:r>
              <w:rPr>
                <w:rFonts w:ascii="Arial" w:cs="Arial" w:eastAsia="Arial" w:hAnsi="Arial"/>
                <w:sz w:val="16"/>
                <w:szCs w:val="16"/>
                <w:color w:val="auto"/>
              </w:rPr>
              <w:t>Accumulated Other</w:t>
            </w: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6"/>
                <w:szCs w:val="16"/>
                <w:color w:val="auto"/>
                <w:w w:val="97"/>
              </w:rPr>
              <w:t>Non-</w:t>
            </w: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6"/>
                <w:szCs w:val="16"/>
                <w:color w:val="auto"/>
                <w:w w:val="89"/>
              </w:rPr>
              <w:t>Excess of Par</w:t>
            </w:r>
          </w:p>
        </w:tc>
        <w:tc>
          <w:tcPr>
            <w:tcW w:w="18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color w:val="auto"/>
              </w:rPr>
              <w:t>Retained</w:t>
            </w:r>
          </w:p>
        </w:tc>
        <w:tc>
          <w:tcPr>
            <w:tcW w:w="14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Comprehensive</w:t>
            </w:r>
          </w:p>
        </w:tc>
        <w:tc>
          <w:tcPr>
            <w:tcW w:w="14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Treasury</w:t>
            </w: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color w:val="auto"/>
                <w:w w:val="96"/>
              </w:rPr>
              <w:t>Controlling</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420" w:type="dxa"/>
            <w:vAlign w:val="bottom"/>
          </w:tcPr>
          <w:p>
            <w:pPr>
              <w:spacing w:after="0"/>
              <w:rPr>
                <w:sz w:val="17"/>
                <w:szCs w:val="17"/>
                <w:color w:val="auto"/>
              </w:rPr>
            </w:pPr>
          </w:p>
        </w:tc>
        <w:tc>
          <w:tcPr>
            <w:tcW w:w="1380" w:type="dxa"/>
            <w:vAlign w:val="bottom"/>
            <w:gridSpan w:val="2"/>
          </w:tcPr>
          <w:p>
            <w:pPr>
              <w:ind w:left="180"/>
              <w:spacing w:after="0"/>
              <w:rPr>
                <w:sz w:val="20"/>
                <w:szCs w:val="20"/>
                <w:color w:val="auto"/>
              </w:rPr>
            </w:pPr>
            <w:r>
              <w:rPr>
                <w:rFonts w:ascii="Arial" w:cs="Arial" w:eastAsia="Arial" w:hAnsi="Arial"/>
                <w:sz w:val="16"/>
                <w:szCs w:val="16"/>
                <w:color w:val="auto"/>
              </w:rPr>
              <w:t>Shares Issued</w:t>
            </w:r>
          </w:p>
        </w:tc>
        <w:tc>
          <w:tcPr>
            <w:tcW w:w="700" w:type="dxa"/>
            <w:vAlign w:val="bottom"/>
            <w:gridSpan w:val="2"/>
          </w:tcPr>
          <w:p>
            <w:pPr>
              <w:ind w:left="40"/>
              <w:spacing w:after="0"/>
              <w:rPr>
                <w:sz w:val="20"/>
                <w:szCs w:val="20"/>
                <w:color w:val="auto"/>
              </w:rPr>
            </w:pPr>
            <w:r>
              <w:rPr>
                <w:rFonts w:ascii="Arial" w:cs="Arial" w:eastAsia="Arial" w:hAnsi="Arial"/>
                <w:sz w:val="16"/>
                <w:szCs w:val="16"/>
                <w:color w:val="auto"/>
                <w:w w:val="91"/>
              </w:rPr>
              <w:t>Par Value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color w:val="auto"/>
                <w:w w:val="92"/>
              </w:rPr>
              <w:t>Value</w:t>
            </w:r>
          </w:p>
        </w:tc>
        <w:tc>
          <w:tcPr>
            <w:tcW w:w="18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color w:val="auto"/>
              </w:rPr>
              <w:t>Earnings</w:t>
            </w:r>
          </w:p>
        </w:tc>
        <w:tc>
          <w:tcPr>
            <w:tcW w:w="14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(Loss) Income</w:t>
            </w:r>
          </w:p>
        </w:tc>
        <w:tc>
          <w:tcPr>
            <w:tcW w:w="14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color w:val="auto"/>
                <w:w w:val="94"/>
              </w:rPr>
              <w:t>Stock</w:t>
            </w: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color w:val="auto"/>
                <w:w w:val="87"/>
              </w:rPr>
              <w:t>Interests</w:t>
            </w:r>
          </w:p>
        </w:tc>
        <w:tc>
          <w:tcPr>
            <w:tcW w:w="200" w:type="dxa"/>
            <w:vAlign w:val="bottom"/>
          </w:tcPr>
          <w:p>
            <w:pPr>
              <w:spacing w:after="0"/>
              <w:rPr>
                <w:sz w:val="17"/>
                <w:szCs w:val="17"/>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33"/>
        </w:trPr>
        <w:tc>
          <w:tcPr>
            <w:tcW w:w="2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December 31, 2017</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116,303,729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3,302.6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(2,953.7)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2,857.6</w:t>
            </w:r>
          </w:p>
        </w:tc>
        <w:tc>
          <w:tcPr>
            <w:tcW w:w="0" w:type="dxa"/>
            <w:vAlign w:val="bottom"/>
          </w:tcPr>
          <w:p>
            <w:pPr>
              <w:spacing w:after="0"/>
              <w:rPr>
                <w:sz w:val="1"/>
                <w:szCs w:val="1"/>
                <w:color w:val="auto"/>
              </w:rPr>
            </w:pPr>
          </w:p>
        </w:tc>
      </w:tr>
      <w:tr>
        <w:trPr>
          <w:trHeight w:val="220"/>
        </w:trPr>
        <w:tc>
          <w:tcPr>
            <w:tcW w:w="2420" w:type="dxa"/>
            <w:vAlign w:val="bottom"/>
          </w:tcPr>
          <w:p>
            <w:pPr>
              <w:ind w:left="180"/>
              <w:spacing w:after="0"/>
              <w:rPr>
                <w:sz w:val="20"/>
                <w:szCs w:val="20"/>
                <w:color w:val="auto"/>
              </w:rPr>
            </w:pPr>
            <w:r>
              <w:rPr>
                <w:rFonts w:ascii="Arial" w:cs="Arial" w:eastAsia="Arial" w:hAnsi="Arial"/>
                <w:sz w:val="16"/>
                <w:szCs w:val="16"/>
                <w:color w:val="auto"/>
                <w:w w:val="97"/>
              </w:rPr>
              <w:t>Unrealized gain reclassified due</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420" w:type="dxa"/>
            <w:vAlign w:val="bottom"/>
          </w:tcPr>
          <w:p>
            <w:pPr>
              <w:ind w:left="180"/>
              <w:spacing w:after="0"/>
              <w:rPr>
                <w:sz w:val="20"/>
                <w:szCs w:val="20"/>
                <w:color w:val="auto"/>
              </w:rPr>
            </w:pPr>
            <w:r>
              <w:rPr>
                <w:rFonts w:ascii="Arial" w:cs="Arial" w:eastAsia="Arial" w:hAnsi="Arial"/>
                <w:sz w:val="16"/>
                <w:szCs w:val="16"/>
                <w:color w:val="auto"/>
              </w:rPr>
              <w:t>to new accounting guidance on</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420" w:type="dxa"/>
            <w:vAlign w:val="bottom"/>
          </w:tcPr>
          <w:p>
            <w:pPr>
              <w:ind w:left="180"/>
              <w:spacing w:after="0"/>
              <w:rPr>
                <w:sz w:val="20"/>
                <w:szCs w:val="20"/>
                <w:color w:val="auto"/>
              </w:rPr>
            </w:pPr>
            <w:r>
              <w:rPr>
                <w:rFonts w:ascii="Arial" w:cs="Arial" w:eastAsia="Arial" w:hAnsi="Arial"/>
                <w:sz w:val="16"/>
                <w:szCs w:val="16"/>
                <w:color w:val="auto"/>
              </w:rPr>
              <w:t>investments</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earnings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97.0</w:t>
            </w:r>
          </w:p>
        </w:tc>
        <w:tc>
          <w:tcPr>
            <w:tcW w:w="0" w:type="dxa"/>
            <w:vAlign w:val="bottom"/>
          </w:tcPr>
          <w:p>
            <w:pPr>
              <w:spacing w:after="0"/>
              <w:rPr>
                <w:sz w:val="1"/>
                <w:szCs w:val="1"/>
                <w:color w:val="auto"/>
              </w:rPr>
            </w:pPr>
          </w:p>
        </w:tc>
      </w:tr>
      <w:tr>
        <w:trPr>
          <w:trHeight w:val="237"/>
        </w:trPr>
        <w:tc>
          <w:tcPr>
            <w:tcW w:w="2420" w:type="dxa"/>
            <w:vAlign w:val="bottom"/>
          </w:tcPr>
          <w:p>
            <w:pPr>
              <w:ind w:left="180"/>
              <w:spacing w:after="0"/>
              <w:rPr>
                <w:sz w:val="20"/>
                <w:szCs w:val="20"/>
                <w:color w:val="auto"/>
              </w:rPr>
            </w:pPr>
            <w:r>
              <w:rPr>
                <w:rFonts w:ascii="Arial" w:cs="Arial" w:eastAsia="Arial" w:hAnsi="Arial"/>
                <w:sz w:val="16"/>
                <w:szCs w:val="16"/>
                <w:color w:val="auto"/>
              </w:rPr>
              <w:t>Other comprehensive income</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Issuances under equity plans</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437,703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20"/>
        </w:trPr>
        <w:tc>
          <w:tcPr>
            <w:tcW w:w="2420" w:type="dxa"/>
            <w:vAlign w:val="bottom"/>
          </w:tcPr>
          <w:p>
            <w:pPr>
              <w:ind w:left="180"/>
              <w:spacing w:after="0"/>
              <w:rPr>
                <w:sz w:val="20"/>
                <w:szCs w:val="20"/>
                <w:color w:val="auto"/>
              </w:rPr>
            </w:pPr>
            <w:r>
              <w:rPr>
                <w:rFonts w:ascii="Arial" w:cs="Arial" w:eastAsia="Arial" w:hAnsi="Arial"/>
                <w:sz w:val="16"/>
                <w:szCs w:val="16"/>
                <w:color w:val="auto"/>
              </w:rPr>
              <w:t>Share-based compensation</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420" w:type="dxa"/>
            <w:vAlign w:val="bottom"/>
          </w:tcPr>
          <w:p>
            <w:pPr>
              <w:ind w:left="180"/>
              <w:spacing w:after="0"/>
              <w:rPr>
                <w:sz w:val="20"/>
                <w:szCs w:val="20"/>
                <w:color w:val="auto"/>
              </w:rPr>
            </w:pPr>
            <w:r>
              <w:rPr>
                <w:rFonts w:ascii="Arial" w:cs="Arial" w:eastAsia="Arial" w:hAnsi="Arial"/>
                <w:sz w:val="16"/>
                <w:szCs w:val="16"/>
                <w:color w:val="auto"/>
              </w:rPr>
              <w:t>expense</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Repurchases of common stock</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220"/>
        </w:trPr>
        <w:tc>
          <w:tcPr>
            <w:tcW w:w="2420" w:type="dxa"/>
            <w:vAlign w:val="bottom"/>
          </w:tcPr>
          <w:p>
            <w:pPr>
              <w:ind w:left="180"/>
              <w:spacing w:after="0"/>
              <w:rPr>
                <w:sz w:val="20"/>
                <w:szCs w:val="20"/>
                <w:color w:val="auto"/>
              </w:rPr>
            </w:pPr>
            <w:r>
              <w:rPr>
                <w:rFonts w:ascii="Arial" w:cs="Arial" w:eastAsia="Arial" w:hAnsi="Arial"/>
                <w:sz w:val="16"/>
                <w:szCs w:val="16"/>
                <w:color w:val="auto"/>
              </w:rPr>
              <w:t>Noncontrolling interest</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420" w:type="dxa"/>
            <w:vAlign w:val="bottom"/>
          </w:tcPr>
          <w:p>
            <w:pPr>
              <w:ind w:left="180"/>
              <w:spacing w:after="0"/>
              <w:rPr>
                <w:sz w:val="20"/>
                <w:szCs w:val="20"/>
                <w:color w:val="auto"/>
              </w:rPr>
            </w:pPr>
            <w:r>
              <w:rPr>
                <w:rFonts w:ascii="Arial" w:cs="Arial" w:eastAsia="Arial" w:hAnsi="Arial"/>
                <w:sz w:val="16"/>
                <w:szCs w:val="16"/>
                <w:color w:val="auto"/>
              </w:rPr>
              <w:t>transactions</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2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March 31, 2018</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116,741,432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3,313.3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2,939.0</w:t>
            </w:r>
          </w:p>
        </w:tc>
        <w:tc>
          <w:tcPr>
            <w:tcW w:w="0" w:type="dxa"/>
            <w:vAlign w:val="bottom"/>
          </w:tcPr>
          <w:p>
            <w:pPr>
              <w:spacing w:after="0"/>
              <w:rPr>
                <w:sz w:val="1"/>
                <w:szCs w:val="1"/>
                <w:color w:val="auto"/>
              </w:rPr>
            </w:pPr>
          </w:p>
        </w:tc>
      </w:tr>
      <w:tr>
        <w:trPr>
          <w:trHeight w:val="20"/>
        </w:trPr>
        <w:tc>
          <w:tcPr>
            <w:tcW w:w="24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00" w:lineRule="exact"/>
        <w:rPr>
          <w:sz w:val="20"/>
          <w:szCs w:val="20"/>
          <w:color w:val="auto"/>
        </w:rPr>
      </w:pPr>
    </w:p>
    <w:p>
      <w:pPr>
        <w:spacing w:after="0" w:line="227"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Certain information and footnote disclosures normally included in the financial statements prepared in accordance with United States Generally Accepted Accounting Principles ("GAAP")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2018 Annual Report on Form 10-K.</w:t>
      </w:r>
    </w:p>
    <w:p>
      <w:pPr>
        <w:spacing w:after="0" w:line="171"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The information furnished reflects all adjustments that, in the opinion of management, were necessary for a fair statement of the Consolidated Financial Statements for the periods presented. Such adjustments were of a normal recurring nature, unless otherwise disclosed.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We determine whether a contract is or contains a lease at contract inception. Right-of-use (“ROU”) assets and long-term lease liabilities are presented as separate line items on our Consolidated Balance Sheets. Current operating lease liabilities are included in accrued expenses on our Consolidated Balance Sheets.</w:t>
      </w:r>
    </w:p>
    <w:p>
      <w:pPr>
        <w:spacing w:after="0" w:line="18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Lease liabilities are recognized at commencement date based on the present value of remaining lease payments over the lease term. As the rate implicit in the lease is not readily determinable in most of our leases, we use our incremental borrowing rate. We determine our incremental borrowing rate at the commencement date using our unsecured borrowing rate, adjusted for collaterization, lease term, economic environment, currency and other factors. ROU assets are recognized at commencement date at the value of the related lease liabilities, adjusted for any prepayments, lease incentives received, and initial direct costs incurred. Our lease terms include options to renew or not terminate the lease when it is reasonably certain that we will exercise that option.</w:t>
      </w:r>
    </w:p>
    <w:p>
      <w:pPr>
        <w:spacing w:after="0" w:line="16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Lease expenses for operating leases are recognized on a straight-line basis over the lease term and recorded in selling and administrative expenses on the Consolidated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April 3, 2019, we acquired the remaining 51% controlling interest in our Swiss franchise (“Manpower Switzerland”) to obtain full ownership of the entity. Additionally, as part of the purchase agreement we acquired the remaining 20% interest in Experis AG. Manpower Switzerland provides contingent staffing services under our Manpower brand in the four main language regions in Switzerland. Both Manpower Switzerland and Experis AG are reported in our Southern Europe segment. The aggregate cash consideration paid was $212.7 and was funded through cash on hand. Of the total consideration paid, $58.3 was for the acquired interests and the remaining $154.4 was for cash and cash equivalents.</w:t>
      </w:r>
    </w:p>
    <w:p>
      <w:pPr>
        <w:spacing w:after="0" w:line="17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Our investment in Manpower Switzerland prior to the acquisition was accounted for under the equity method of accounting and we recorded our share of equity income or loss in interest and other expenses on the Consolidated Statements of Operations.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acquisition of the remaining controlling interest in Manpower Switzerland will be accounted for as a business combination and the assets and liabilities of Manpower Switzerland will be included in the Consolidated Balance Sheets as of the acquisition date, and its performance will be included in the Consolidated Statements of Operations subsequent to the acquisition date. The major classes of assets and liabilities of Manpower Switzerland are expected to be cash and cash equivalents, accounts receivable, current and long-term liabilities, goodwill and other intangible assets (amortizable and non-amortizable) and the funded status of its defined benefit pension plan.</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acquisition of the remaining interest of Experis AG will be accounted for as the purchase of a noncontrolling interest as we previously consolidated the entity.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4" w:right="239" w:bottom="1440" w:gutter="0" w:footer="0" w:header="0"/>
        </w:sectPr>
      </w:pPr>
    </w:p>
    <w:bookmarkStart w:id="8" w:name="page9"/>
    <w:bookmarkEnd w:id="8"/>
    <w:p>
      <w:pPr>
        <w:ind w:right="20"/>
        <w:spacing w:after="0" w:line="259" w:lineRule="auto"/>
        <w:rPr>
          <w:sz w:val="20"/>
          <w:szCs w:val="20"/>
          <w:color w:val="auto"/>
        </w:rPr>
      </w:pPr>
      <w:r>
        <w:rPr>
          <w:rFonts w:ascii="Arial" w:cs="Arial" w:eastAsia="Arial" w:hAnsi="Arial"/>
          <w:sz w:val="18"/>
          <w:szCs w:val="18"/>
          <w:color w:val="auto"/>
        </w:rPr>
        <w:t>On April 11, 2019, we sold a portion of our French payroll tax credits earned in 2018 for net proceeds of $103.5 (€92.0). We derecognized these receivables and the additional interest upon the sale date as the terms of the agreement are such that the transaction qualifies for sale treatment according to the accounting guidance on the transfer and servicing of assets. The discount on the sale of these receivables was recorded in cost of services as a reduction of the payroll tax credits.</w:t>
      </w:r>
    </w:p>
    <w:p>
      <w:pPr>
        <w:spacing w:after="0" w:line="187"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We have evaluated all other events and transactions occurring after the balance sheet date through our filing date and have accrued or disclosed, if appropriate.</w:t>
      </w:r>
    </w:p>
    <w:p>
      <w:pPr>
        <w:spacing w:after="0" w:line="170"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Recent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Effective as of January 1, 2019</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February 2016, the Financial Accounting Standards Board ("FASB") issued new accounting guidance on leases, ASU No. 2016-02, Leases (Topic 842), which we adopted on January 1, 2019. The new guidance requires that a lessee recognize ROU assets and lease liabilities on the balance sheet for leases with lease terms longer than 12 months. The recognition, measurement and presentation of lease expenses and cash flows depend on the classification by the lessee as a finance or operating lease. We determined that no cumulative effect adjustment to retained earnings was necessary upon adoption. As of the transition date, the ROU asset and total lease liability (current and long-term) were $458.1 and $458.7, respectively.</w:t>
      </w:r>
    </w:p>
    <w:p>
      <w:pPr>
        <w:spacing w:after="0" w:line="17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elected the package of three practical expedients which lessened the transitional burden of implementing the new guidance. Accordingly, we did not reassess: 1) whether any expired or existing contracts are or contain leases; 2) the lease classification for any expired or existing leases; or 3) the initial direct costs for any existing leases. We have elected the practical expedient to not separate lease and non-lease components.</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August 2017, the FASB issued new guidance on hedge accounting. The amendments in this guidance include the elimination of the concept of recognizing periodic hedge ineffectiveness for cash flow and net investment hedges, recognition and presentation of changes in the fair value of the hedging instrument, recognition and presentation of components excluded from an entity's hedge effectiveness assessment, addition of the ability to elect to perform subsequent effectiveness assessments qualitatively, and addition of new disclosure requirements. We adopted this guidance effective January 1, 2019. There was no impact of this adoption on our Consolidated Financial Statements. See Note 14 for the modified disclosures.</w:t>
      </w:r>
    </w:p>
    <w:p>
      <w:pPr>
        <w:spacing w:after="0" w:line="1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February 2018, the FASB issued new guidance on reporting comprehensive income. The new guidance allows a reclassification from accumulated other comprehensive income to retained earnings for stranded tax effects resulting from the United States Tax Cuts and Jobs Act of 2017 ("Tax Act"). The guidance was effective for us as of January 1, 2019. We elected not to adopt this optional reclassification.</w:t>
      </w:r>
    </w:p>
    <w:p>
      <w:pPr>
        <w:spacing w:after="0" w:line="181" w:lineRule="exact"/>
        <w:rPr>
          <w:sz w:val="20"/>
          <w:szCs w:val="20"/>
          <w:color w:val="auto"/>
        </w:rPr>
      </w:pPr>
    </w:p>
    <w:p>
      <w:pPr>
        <w:jc w:val="both"/>
        <w:ind w:right="600"/>
        <w:spacing w:after="0" w:line="312" w:lineRule="auto"/>
        <w:rPr>
          <w:sz w:val="20"/>
          <w:szCs w:val="20"/>
          <w:color w:val="auto"/>
        </w:rPr>
      </w:pPr>
      <w:r>
        <w:rPr>
          <w:rFonts w:ascii="Arial" w:cs="Arial" w:eastAsia="Arial" w:hAnsi="Arial"/>
          <w:sz w:val="16"/>
          <w:szCs w:val="16"/>
          <w:color w:val="282A32"/>
        </w:rPr>
        <w:t>In June 2018, the FASB issued new guidance on the accounting for share-based payment awards. The guidance makes the accounting for share-based payment awards issued to nonemployees largely consistent with the accounting for share-based payment awards issued to employees. We adopted this guidance effective January 1, 2019. There was no impact of this adoption on our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282A32"/>
        </w:rPr>
        <w:t>Recently Issued Accounting Standards</w:t>
      </w:r>
    </w:p>
    <w:p>
      <w:pPr>
        <w:spacing w:after="0" w:line="225"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282A32"/>
        </w:rPr>
        <w:t>In August 2018, the FASB issued new guidance on disclosures related to fair value measurements. The guidance is intended to improve the effectiveness of the notes to financial statements by facilitating clearer communication, and it includes multiple new, eliminated and modified disclosure requirements. The guidance is effective for us in 2020. The adoption of this guidance will have no impact on our Consolidated Financial Statements.</w:t>
      </w:r>
    </w:p>
    <w:p>
      <w:pPr>
        <w:spacing w:after="0" w:line="14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282A32"/>
        </w:rPr>
        <w:t xml:space="preserve">In August 2018, the FASB issued new guidance on the accounting for internal-use software. </w:t>
      </w:r>
      <w:r>
        <w:rPr>
          <w:rFonts w:ascii="Arial" w:cs="Arial" w:eastAsia="Arial" w:hAnsi="Arial"/>
          <w:sz w:val="18"/>
          <w:szCs w:val="18"/>
          <w:color w:val="000000"/>
        </w:rPr>
        <w:t>The guidance aligns the accounting for costs incurred to</w:t>
      </w:r>
      <w:r>
        <w:rPr>
          <w:rFonts w:ascii="Arial" w:cs="Arial" w:eastAsia="Arial" w:hAnsi="Arial"/>
          <w:sz w:val="18"/>
          <w:szCs w:val="18"/>
          <w:color w:val="282A32"/>
        </w:rPr>
        <w:t xml:space="preserve"> </w:t>
      </w:r>
      <w:r>
        <w:rPr>
          <w:rFonts w:ascii="Arial" w:cs="Arial" w:eastAsia="Arial" w:hAnsi="Arial"/>
          <w:sz w:val="18"/>
          <w:szCs w:val="18"/>
          <w:color w:val="000000"/>
        </w:rPr>
        <w:t xml:space="preserve">implement a cloud computing arrangement that is a service arrangement with the guidance on capitalizing costs associated with developing or obtaining internal-use software. The guidance is effective for us in 2020. </w:t>
      </w:r>
      <w:r>
        <w:rPr>
          <w:rFonts w:ascii="Arial" w:cs="Arial" w:eastAsia="Arial" w:hAnsi="Arial"/>
          <w:sz w:val="18"/>
          <w:szCs w:val="18"/>
          <w:color w:val="282A32"/>
        </w:rPr>
        <w:t>We are assessing the impact of the adoption of this guidance on our Consolidated Financial</w:t>
      </w:r>
      <w:r>
        <w:rPr>
          <w:rFonts w:ascii="Arial" w:cs="Arial" w:eastAsia="Arial" w:hAnsi="Arial"/>
          <w:sz w:val="18"/>
          <w:szCs w:val="18"/>
          <w:color w:val="000000"/>
        </w:rPr>
        <w:t xml:space="preserve"> </w:t>
      </w:r>
      <w:r>
        <w:rPr>
          <w:rFonts w:ascii="Arial" w:cs="Arial" w:eastAsia="Arial" w:hAnsi="Arial"/>
          <w:sz w:val="18"/>
          <w:szCs w:val="18"/>
          <w:color w:val="282A32"/>
        </w:rPr>
        <w:t>Statements.</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282A32"/>
        </w:rPr>
        <w:t>In August 2018, the FASB issued new guidance on disclosures related to defined benefit plans. The guidance amends the current disclosure requirements to add, remove and clarify disclosure requirements for defined benefit pension and other postretirement plans. The guidance is effective for us in 2021. The adoption of this guidance will have no impact on our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8" w:right="239" w:bottom="1440" w:gutter="0" w:footer="0" w:header="0"/>
        </w:sectPr>
      </w:pPr>
    </w:p>
    <w:bookmarkStart w:id="9" w:name="page10"/>
    <w:bookmarkEnd w:id="9"/>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certain client contracts where we recognize revenues over time, we recognize the amount that we have the right to invoice, which corresponds directly to the value provided to the client of our performance to date.</w:t>
      </w:r>
    </w:p>
    <w:p>
      <w:pPr>
        <w:spacing w:after="0" w:line="170"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We do not disclose the amount of unsatisfied performance obligations for client contracts with an original expected length of one year or less and those client contracts for which we recognize revenues at the amount to which we have the right to invoice for services performed. We have other contracts with revenues expected to be recognized subsequent to March 31, 2019 related to remaining performance obligations, which are not material.</w:t>
      </w:r>
    </w:p>
    <w:p>
      <w:pPr>
        <w:spacing w:after="0" w:line="16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record accounts receivable when our right to consideration becomes unconditional. Contract assets primarily relate to our rights to consideration for services provided that they are conditional on satisfaction of future performance obligations. We record contract liabilities (deferred revenue) when payments are made or due prior to the related performance obligations being satisfied. The current portion of our contract liabilities is included in accrued liabilities in our Consolidated Balance Sheets. We do not have any material contract assets or long-term contract liabilities.</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deferred revenue was $39.2 at March 31, 2019 and $42.8 at December 31, 2018. The decrease is due to $23.6 of revenues recognized related to amounts that were included in the December 31, 2018 balance, partially offset by payments or amounts due in advance of satisfying our performance obligations in the first three months of 2019.</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the following table, revenue is disaggregated by service types for each of our reportable segments. See Note 2 to the consolidated financial statements in our 2018 Annual Report on Form10-K for descriptions of revenue service types:</w:t>
      </w:r>
    </w:p>
    <w:p>
      <w:pPr>
        <w:spacing w:after="0" w:line="130" w:lineRule="exact"/>
        <w:rPr>
          <w:sz w:val="20"/>
          <w:szCs w:val="20"/>
          <w:color w:val="auto"/>
        </w:rPr>
      </w:pPr>
    </w:p>
    <w:p>
      <w:pPr>
        <w:jc w:val="center"/>
        <w:ind w:left="1520"/>
        <w:spacing w:after="0"/>
        <w:rPr>
          <w:sz w:val="20"/>
          <w:szCs w:val="20"/>
          <w:color w:val="auto"/>
        </w:rPr>
      </w:pPr>
      <w:r>
        <w:rPr>
          <w:rFonts w:ascii="Arial" w:cs="Arial" w:eastAsia="Arial" w:hAnsi="Arial"/>
          <w:sz w:val="16"/>
          <w:szCs w:val="16"/>
          <w:b w:val="1"/>
          <w:bCs w:val="1"/>
          <w:color w:val="auto"/>
        </w:rPr>
        <w:t>3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37465</wp:posOffset>
            </wp:positionV>
            <wp:extent cx="63030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80" w:lineRule="exact"/>
        <w:rPr>
          <w:sz w:val="20"/>
          <w:szCs w:val="20"/>
          <w:color w:val="auto"/>
        </w:rPr>
      </w:pPr>
    </w:p>
    <w:p>
      <w:pPr>
        <w:ind w:left="3860"/>
        <w:spacing w:after="0"/>
        <w:tabs>
          <w:tab w:leader="none" w:pos="884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37465</wp:posOffset>
            </wp:positionV>
            <wp:extent cx="63030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p>
      <w:pPr>
        <w:spacing w:after="0" w:line="90" w:lineRule="exact"/>
        <w:rPr>
          <w:sz w:val="20"/>
          <w:szCs w:val="20"/>
          <w:color w:val="auto"/>
        </w:rPr>
      </w:pPr>
    </w:p>
    <w:p>
      <w:pPr>
        <w:ind w:left="2480"/>
        <w:spacing w:after="0"/>
        <w:rPr>
          <w:sz w:val="20"/>
          <w:szCs w:val="20"/>
          <w:color w:val="auto"/>
        </w:rPr>
      </w:pPr>
      <w:r>
        <w:rPr>
          <w:rFonts w:ascii="Arial" w:cs="Arial" w:eastAsia="Arial" w:hAnsi="Arial"/>
          <w:sz w:val="16"/>
          <w:szCs w:val="16"/>
          <w:color w:val="auto"/>
        </w:rPr>
        <w:t>Outcome-Based</w:t>
      </w:r>
    </w:p>
    <w:p>
      <w:pPr>
        <w:spacing w:after="0" w:line="22" w:lineRule="exact"/>
        <w:rPr>
          <w:sz w:val="20"/>
          <w:szCs w:val="20"/>
          <w:color w:val="auto"/>
        </w:rPr>
      </w:pPr>
    </w:p>
    <w:p>
      <w:pPr>
        <w:ind w:left="1560"/>
        <w:spacing w:after="0"/>
        <w:tabs>
          <w:tab w:leader="none" w:pos="2540" w:val="left"/>
          <w:tab w:leader="none" w:pos="3860" w:val="left"/>
        </w:tabs>
        <w:rPr>
          <w:sz w:val="20"/>
          <w:szCs w:val="20"/>
          <w:color w:val="auto"/>
        </w:rPr>
      </w:pPr>
      <w:r>
        <w:rPr>
          <w:rFonts w:ascii="Arial" w:cs="Arial" w:eastAsia="Arial" w:hAnsi="Arial"/>
          <w:sz w:val="16"/>
          <w:szCs w:val="16"/>
          <w:color w:val="auto"/>
        </w:rPr>
        <w:t>Staffing and</w:t>
        <w:tab/>
        <w:t>Solutions and</w:t>
      </w:r>
      <w:r>
        <w:rPr>
          <w:sz w:val="20"/>
          <w:szCs w:val="20"/>
          <w:color w:val="auto"/>
        </w:rPr>
        <w:tab/>
      </w:r>
      <w:r>
        <w:rPr>
          <w:rFonts w:ascii="Arial" w:cs="Arial" w:eastAsia="Arial" w:hAnsi="Arial"/>
          <w:sz w:val="14"/>
          <w:szCs w:val="14"/>
          <w:color w:val="auto"/>
        </w:rPr>
        <w:t>Permanent</w:t>
      </w:r>
    </w:p>
    <w:p>
      <w:pPr>
        <w:spacing w:after="0" w:line="19" w:lineRule="exact"/>
        <w:rPr>
          <w:sz w:val="20"/>
          <w:szCs w:val="20"/>
          <w:color w:val="auto"/>
        </w:rPr>
      </w:pPr>
    </w:p>
    <w:p>
      <w:pPr>
        <w:ind w:left="1720"/>
        <w:spacing w:after="0"/>
        <w:tabs>
          <w:tab w:leader="none" w:pos="2640" w:val="left"/>
          <w:tab w:leader="none" w:pos="3800" w:val="left"/>
          <w:tab w:leader="none" w:pos="5020" w:val="left"/>
          <w:tab w:leader="none" w:pos="5860" w:val="left"/>
        </w:tabs>
        <w:rPr>
          <w:sz w:val="20"/>
          <w:szCs w:val="20"/>
          <w:color w:val="auto"/>
        </w:rPr>
      </w:pPr>
      <w:r>
        <w:rPr>
          <w:rFonts w:ascii="Arial" w:cs="Arial" w:eastAsia="Arial" w:hAnsi="Arial"/>
          <w:sz w:val="16"/>
          <w:szCs w:val="16"/>
          <w:color w:val="auto"/>
        </w:rPr>
        <w:t>Interim</w:t>
      </w:r>
      <w:r>
        <w:rPr>
          <w:sz w:val="20"/>
          <w:szCs w:val="20"/>
          <w:color w:val="auto"/>
        </w:rPr>
        <w:tab/>
      </w:r>
      <w:r>
        <w:rPr>
          <w:rFonts w:ascii="Arial" w:cs="Arial" w:eastAsia="Arial" w:hAnsi="Arial"/>
          <w:sz w:val="16"/>
          <w:szCs w:val="16"/>
          <w:color w:val="auto"/>
        </w:rPr>
        <w:t>Consulting</w:t>
      </w:r>
      <w:r>
        <w:rPr>
          <w:sz w:val="20"/>
          <w:szCs w:val="20"/>
          <w:color w:val="auto"/>
        </w:rPr>
        <w:tab/>
      </w:r>
      <w:r>
        <w:rPr>
          <w:rFonts w:ascii="Arial" w:cs="Arial" w:eastAsia="Arial" w:hAnsi="Arial"/>
          <w:sz w:val="16"/>
          <w:szCs w:val="16"/>
          <w:color w:val="auto"/>
        </w:rPr>
        <w:t>Recruitment</w:t>
      </w:r>
      <w:r>
        <w:rPr>
          <w:sz w:val="20"/>
          <w:szCs w:val="20"/>
          <w:color w:val="auto"/>
        </w:rPr>
        <w:tab/>
      </w:r>
      <w:r>
        <w:rPr>
          <w:rFonts w:ascii="Arial" w:cs="Arial" w:eastAsia="Arial" w:hAnsi="Arial"/>
          <w:sz w:val="16"/>
          <w:szCs w:val="16"/>
          <w:color w:val="auto"/>
        </w:rPr>
        <w:t>Other</w:t>
      </w:r>
      <w:r>
        <w:rPr>
          <w:sz w:val="20"/>
          <w:szCs w:val="20"/>
          <w:color w:val="auto"/>
        </w:rPr>
        <w:tab/>
      </w: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Outcome-Based</w:t>
      </w:r>
    </w:p>
    <w:p>
      <w:pPr>
        <w:spacing w:after="0" w:line="22" w:lineRule="exact"/>
        <w:rPr>
          <w:sz w:val="20"/>
          <w:szCs w:val="20"/>
          <w:color w:val="auto"/>
        </w:rPr>
      </w:pPr>
    </w:p>
    <w:p>
      <w:pPr>
        <w:spacing w:after="0"/>
        <w:tabs>
          <w:tab w:leader="none" w:pos="940" w:val="left"/>
          <w:tab w:leader="none" w:pos="2220" w:val="left"/>
        </w:tabs>
        <w:rPr>
          <w:sz w:val="20"/>
          <w:szCs w:val="20"/>
          <w:color w:val="auto"/>
        </w:rPr>
      </w:pPr>
      <w:r>
        <w:rPr>
          <w:rFonts w:ascii="Arial" w:cs="Arial" w:eastAsia="Arial" w:hAnsi="Arial"/>
          <w:sz w:val="16"/>
          <w:szCs w:val="16"/>
          <w:color w:val="auto"/>
        </w:rPr>
        <w:t>Staffing and</w:t>
        <w:tab/>
        <w:t>Solutions and</w:t>
      </w:r>
      <w:r>
        <w:rPr>
          <w:sz w:val="20"/>
          <w:szCs w:val="20"/>
          <w:color w:val="auto"/>
        </w:rPr>
        <w:tab/>
      </w:r>
      <w:r>
        <w:rPr>
          <w:rFonts w:ascii="Arial" w:cs="Arial" w:eastAsia="Arial" w:hAnsi="Arial"/>
          <w:sz w:val="14"/>
          <w:szCs w:val="14"/>
          <w:color w:val="auto"/>
        </w:rPr>
        <w:t>Permanent</w:t>
      </w:r>
    </w:p>
    <w:p>
      <w:pPr>
        <w:spacing w:after="0" w:line="19" w:lineRule="exact"/>
        <w:rPr>
          <w:sz w:val="20"/>
          <w:szCs w:val="20"/>
          <w:color w:val="auto"/>
        </w:rPr>
      </w:pPr>
    </w:p>
    <w:p>
      <w:pPr>
        <w:ind w:left="160"/>
        <w:spacing w:after="0"/>
        <w:tabs>
          <w:tab w:leader="none" w:pos="1020" w:val="left"/>
          <w:tab w:leader="none" w:pos="2160" w:val="left"/>
          <w:tab w:leader="none" w:pos="3340" w:val="left"/>
          <w:tab w:leader="none" w:pos="4120" w:val="left"/>
        </w:tabs>
        <w:rPr>
          <w:sz w:val="20"/>
          <w:szCs w:val="20"/>
          <w:color w:val="auto"/>
        </w:rPr>
      </w:pPr>
      <w:r>
        <w:rPr>
          <w:rFonts w:ascii="Arial" w:cs="Arial" w:eastAsia="Arial" w:hAnsi="Arial"/>
          <w:sz w:val="16"/>
          <w:szCs w:val="16"/>
          <w:color w:val="auto"/>
        </w:rPr>
        <w:t>Interim</w:t>
      </w:r>
      <w:r>
        <w:rPr>
          <w:sz w:val="20"/>
          <w:szCs w:val="20"/>
          <w:color w:val="auto"/>
        </w:rPr>
        <w:tab/>
      </w:r>
      <w:r>
        <w:rPr>
          <w:rFonts w:ascii="Arial" w:cs="Arial" w:eastAsia="Arial" w:hAnsi="Arial"/>
          <w:sz w:val="16"/>
          <w:szCs w:val="16"/>
          <w:color w:val="auto"/>
        </w:rPr>
        <w:t>Consulting</w:t>
      </w:r>
      <w:r>
        <w:rPr>
          <w:sz w:val="20"/>
          <w:szCs w:val="20"/>
          <w:color w:val="auto"/>
        </w:rPr>
        <w:tab/>
      </w:r>
      <w:r>
        <w:rPr>
          <w:rFonts w:ascii="Arial" w:cs="Arial" w:eastAsia="Arial" w:hAnsi="Arial"/>
          <w:sz w:val="16"/>
          <w:szCs w:val="16"/>
          <w:color w:val="auto"/>
        </w:rPr>
        <w:t>Recruitment</w:t>
      </w:r>
      <w:r>
        <w:rPr>
          <w:sz w:val="20"/>
          <w:szCs w:val="20"/>
          <w:color w:val="auto"/>
        </w:rPr>
        <w:tab/>
      </w:r>
      <w:r>
        <w:rPr>
          <w:rFonts w:ascii="Arial" w:cs="Arial" w:eastAsia="Arial" w:hAnsi="Arial"/>
          <w:sz w:val="16"/>
          <w:szCs w:val="16"/>
          <w:color w:val="auto"/>
        </w:rPr>
        <w:t>Other</w:t>
      </w:r>
      <w:r>
        <w:rPr>
          <w:sz w:val="20"/>
          <w:szCs w:val="20"/>
          <w:color w:val="auto"/>
        </w:rPr>
        <w:tab/>
      </w:r>
      <w:r>
        <w:rPr>
          <w:rFonts w:ascii="Arial" w:cs="Arial" w:eastAsia="Arial" w:hAnsi="Arial"/>
          <w:sz w:val="15"/>
          <w:szCs w:val="15"/>
          <w:color w:val="auto"/>
        </w:rPr>
        <w:t>Total</w:t>
      </w:r>
    </w:p>
    <w:p>
      <w:pPr>
        <w:spacing w:after="0" w:line="96" w:lineRule="exact"/>
        <w:rPr>
          <w:sz w:val="20"/>
          <w:szCs w:val="20"/>
          <w:color w:val="auto"/>
        </w:rPr>
      </w:pPr>
    </w:p>
    <w:p>
      <w:pPr>
        <w:sectPr>
          <w:pgSz w:w="11900" w:h="16838" w:orient="portrait"/>
          <w:cols w:equalWidth="0" w:num="2">
            <w:col w:w="6200" w:space="460"/>
            <w:col w:w="4760"/>
          </w:cols>
          <w:pgMar w:left="240" w:top="368"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Americas: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500" w:type="dxa"/>
            <w:vAlign w:val="bottom"/>
          </w:tcPr>
          <w:p>
            <w:pPr>
              <w:ind w:left="180"/>
              <w:spacing w:after="0"/>
              <w:rPr>
                <w:sz w:val="20"/>
                <w:szCs w:val="20"/>
                <w:color w:val="auto"/>
              </w:rPr>
            </w:pPr>
            <w:r>
              <w:rPr>
                <w:rFonts w:ascii="Arial" w:cs="Arial" w:eastAsia="Arial" w:hAnsi="Arial"/>
                <w:sz w:val="16"/>
                <w:szCs w:val="16"/>
                <w:color w:val="auto"/>
              </w:rPr>
              <w:t>United States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528.7</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31.0</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22.9</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21.0</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603.6</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543.2</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29.3</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21.8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22.0</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616.3</w:t>
            </w:r>
          </w:p>
        </w:tc>
      </w:tr>
      <w:tr>
        <w:trPr>
          <w:trHeight w:val="33"/>
        </w:trPr>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1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Americas</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385.4</w:t>
            </w:r>
          </w:p>
        </w:tc>
        <w:tc>
          <w:tcPr>
            <w:tcW w:w="4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5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2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2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403.7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388.2</w:t>
            </w: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4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2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406.3</w:t>
            </w:r>
          </w:p>
        </w:tc>
      </w:tr>
      <w:tr>
        <w:trPr>
          <w:trHeight w:val="217"/>
        </w:trPr>
        <w:tc>
          <w:tcPr>
            <w:tcW w:w="15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914.1</w:t>
            </w:r>
          </w:p>
        </w:tc>
        <w:tc>
          <w:tcPr>
            <w:tcW w:w="4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42.7</w:t>
            </w:r>
          </w:p>
        </w:tc>
        <w:tc>
          <w:tcPr>
            <w:tcW w:w="5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28.7</w:t>
            </w:r>
          </w:p>
        </w:tc>
        <w:tc>
          <w:tcPr>
            <w:tcW w:w="2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21.8</w:t>
            </w:r>
          </w:p>
        </w:tc>
        <w:tc>
          <w:tcPr>
            <w:tcW w:w="2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1,007.3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931.4</w:t>
            </w:r>
          </w:p>
        </w:tc>
        <w:tc>
          <w:tcPr>
            <w:tcW w:w="4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40.5</w:t>
            </w:r>
          </w:p>
        </w:tc>
        <w:tc>
          <w:tcPr>
            <w:tcW w:w="4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2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22.9</w:t>
            </w: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1,022.6</w:t>
            </w:r>
          </w:p>
        </w:tc>
      </w:tr>
      <w:tr>
        <w:trPr>
          <w:trHeight w:val="33"/>
        </w:trPr>
        <w:tc>
          <w:tcPr>
            <w:tcW w:w="1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Southern Europe:</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7"/>
        </w:trPr>
        <w:tc>
          <w:tcPr>
            <w:tcW w:w="1500" w:type="dxa"/>
            <w:vAlign w:val="bottom"/>
          </w:tcPr>
          <w:p>
            <w:pPr>
              <w:ind w:left="180"/>
              <w:spacing w:after="0"/>
              <w:rPr>
                <w:sz w:val="20"/>
                <w:szCs w:val="20"/>
                <w:color w:val="auto"/>
              </w:rPr>
            </w:pPr>
            <w:r>
              <w:rPr>
                <w:rFonts w:ascii="Arial" w:cs="Arial" w:eastAsia="Arial" w:hAnsi="Arial"/>
                <w:sz w:val="16"/>
                <w:szCs w:val="16"/>
                <w:color w:val="auto"/>
              </w:rPr>
              <w:t>France</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1,224.5</w:t>
            </w: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57.3</w:t>
            </w:r>
          </w:p>
        </w:tc>
        <w:tc>
          <w:tcPr>
            <w:tcW w:w="5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14.5</w:t>
            </w:r>
          </w:p>
        </w:tc>
        <w:tc>
          <w:tcPr>
            <w:tcW w:w="2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5.1</w:t>
            </w:r>
          </w:p>
        </w:tc>
        <w:tc>
          <w:tcPr>
            <w:tcW w:w="26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1,301.4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1,344.6</w:t>
            </w:r>
          </w:p>
        </w:tc>
        <w:tc>
          <w:tcPr>
            <w:tcW w:w="4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59.1</w:t>
            </w:r>
          </w:p>
        </w:tc>
        <w:tc>
          <w:tcPr>
            <w:tcW w:w="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14.9</w:t>
            </w:r>
          </w:p>
        </w:tc>
        <w:tc>
          <w:tcPr>
            <w:tcW w:w="2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5.4</w:t>
            </w:r>
          </w:p>
        </w:tc>
        <w:tc>
          <w:tcPr>
            <w:tcW w:w="26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1,424.0</w:t>
            </w:r>
          </w:p>
        </w:tc>
      </w:tr>
      <w:tr>
        <w:trPr>
          <w:trHeight w:val="33"/>
        </w:trPr>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Italy</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330.0</w:t>
            </w: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5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387.0</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413.6</w:t>
            </w:r>
          </w:p>
        </w:tc>
      </w:tr>
      <w:tr>
        <w:trPr>
          <w:trHeight w:val="220"/>
        </w:trPr>
        <w:tc>
          <w:tcPr>
            <w:tcW w:w="1500" w:type="dxa"/>
            <w:vAlign w:val="bottom"/>
          </w:tcPr>
          <w:p>
            <w:pPr>
              <w:ind w:left="180"/>
              <w:spacing w:after="0"/>
              <w:rPr>
                <w:sz w:val="20"/>
                <w:szCs w:val="20"/>
                <w:color w:val="auto"/>
              </w:rPr>
            </w:pPr>
            <w:r>
              <w:rPr>
                <w:rFonts w:ascii="Arial" w:cs="Arial" w:eastAsia="Arial" w:hAnsi="Arial"/>
                <w:sz w:val="16"/>
                <w:szCs w:val="16"/>
                <w:color w:val="auto"/>
              </w:rPr>
              <w:t>Other Southern</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06"/>
        </w:trPr>
        <w:tc>
          <w:tcPr>
            <w:tcW w:w="1500" w:type="dxa"/>
            <w:vAlign w:val="bottom"/>
          </w:tcPr>
          <w:p>
            <w:pPr>
              <w:ind w:left="180"/>
              <w:spacing w:after="0"/>
              <w:rPr>
                <w:sz w:val="20"/>
                <w:szCs w:val="20"/>
                <w:color w:val="auto"/>
              </w:rPr>
            </w:pPr>
            <w:r>
              <w:rPr>
                <w:rFonts w:ascii="Arial" w:cs="Arial" w:eastAsia="Arial" w:hAnsi="Arial"/>
                <w:sz w:val="16"/>
                <w:szCs w:val="16"/>
                <w:color w:val="auto"/>
              </w:rPr>
              <w:t>Europe</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347.0</w:t>
            </w:r>
          </w:p>
        </w:tc>
        <w:tc>
          <w:tcPr>
            <w:tcW w:w="4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80.1</w:t>
            </w:r>
          </w:p>
        </w:tc>
        <w:tc>
          <w:tcPr>
            <w:tcW w:w="5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14.2</w:t>
            </w:r>
          </w:p>
        </w:tc>
        <w:tc>
          <w:tcPr>
            <w:tcW w:w="2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3.6</w:t>
            </w:r>
          </w:p>
        </w:tc>
        <w:tc>
          <w:tcPr>
            <w:tcW w:w="26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444.9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378.7</w:t>
            </w: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77.7</w:t>
            </w:r>
          </w:p>
        </w:tc>
        <w:tc>
          <w:tcPr>
            <w:tcW w:w="4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14.5</w:t>
            </w:r>
          </w:p>
        </w:tc>
        <w:tc>
          <w:tcPr>
            <w:tcW w:w="2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3.5</w:t>
            </w:r>
          </w:p>
        </w:tc>
        <w:tc>
          <w:tcPr>
            <w:tcW w:w="26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474.4</w:t>
            </w:r>
          </w:p>
        </w:tc>
      </w:tr>
      <w:tr>
        <w:trPr>
          <w:trHeight w:val="33"/>
        </w:trPr>
        <w:tc>
          <w:tcPr>
            <w:tcW w:w="1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1,901.5</w:t>
            </w: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146.9</w:t>
            </w:r>
          </w:p>
        </w:tc>
        <w:tc>
          <w:tcPr>
            <w:tcW w:w="5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2,110.3</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148.3</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2,312.0</w:t>
            </w:r>
          </w:p>
        </w:tc>
      </w:tr>
      <w:tr>
        <w:trPr>
          <w:trHeight w:val="217"/>
        </w:trPr>
        <w:tc>
          <w:tcPr>
            <w:tcW w:w="1500" w:type="dxa"/>
            <w:vAlign w:val="bottom"/>
          </w:tcPr>
          <w:p>
            <w:pPr>
              <w:ind w:left="40"/>
              <w:spacing w:after="0"/>
              <w:rPr>
                <w:sz w:val="20"/>
                <w:szCs w:val="20"/>
                <w:color w:val="auto"/>
              </w:rPr>
            </w:pPr>
            <w:r>
              <w:rPr>
                <w:rFonts w:ascii="Arial" w:cs="Arial" w:eastAsia="Arial" w:hAnsi="Arial"/>
                <w:sz w:val="16"/>
                <w:szCs w:val="16"/>
                <w:color w:val="auto"/>
              </w:rPr>
              <w:t>Northern Europe</w:t>
            </w: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1,053.4</w:t>
            </w:r>
          </w:p>
        </w:tc>
        <w:tc>
          <w:tcPr>
            <w:tcW w:w="4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89.7</w:t>
            </w:r>
          </w:p>
        </w:tc>
        <w:tc>
          <w:tcPr>
            <w:tcW w:w="5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2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2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1,189.7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1,255.2</w:t>
            </w:r>
          </w:p>
        </w:tc>
        <w:tc>
          <w:tcPr>
            <w:tcW w:w="4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109.8</w:t>
            </w:r>
          </w:p>
        </w:tc>
        <w:tc>
          <w:tcPr>
            <w:tcW w:w="4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44.5</w:t>
            </w:r>
          </w:p>
        </w:tc>
        <w:tc>
          <w:tcPr>
            <w:tcW w:w="2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1,417.6</w:t>
            </w:r>
          </w:p>
        </w:tc>
      </w:tr>
      <w:tr>
        <w:trPr>
          <w:trHeight w:val="33"/>
        </w:trPr>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APME</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583.4</w:t>
            </w: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5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599.2</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720.2</w:t>
            </w:r>
          </w:p>
        </w:tc>
      </w:tr>
      <w:tr>
        <w:trPr>
          <w:trHeight w:val="237"/>
        </w:trPr>
        <w:tc>
          <w:tcPr>
            <w:tcW w:w="1500" w:type="dxa"/>
            <w:vAlign w:val="bottom"/>
          </w:tcPr>
          <w:p>
            <w:pPr>
              <w:ind w:left="40"/>
              <w:spacing w:after="0"/>
              <w:rPr>
                <w:sz w:val="20"/>
                <w:szCs w:val="20"/>
                <w:color w:val="auto"/>
              </w:rPr>
            </w:pPr>
            <w:r>
              <w:rPr>
                <w:rFonts w:ascii="Arial" w:cs="Arial" w:eastAsia="Arial" w:hAnsi="Arial"/>
                <w:sz w:val="16"/>
                <w:szCs w:val="16"/>
                <w:color w:val="auto"/>
              </w:rPr>
              <w:t>Right Management</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10.1</w:t>
            </w:r>
          </w:p>
        </w:tc>
        <w:tc>
          <w:tcPr>
            <w:tcW w:w="5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35.7</w:t>
            </w:r>
          </w:p>
        </w:tc>
        <w:tc>
          <w:tcPr>
            <w:tcW w:w="26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45.8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11.5</w:t>
            </w:r>
          </w:p>
        </w:tc>
        <w:tc>
          <w:tcPr>
            <w:tcW w:w="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38.5</w:t>
            </w:r>
          </w:p>
        </w:tc>
        <w:tc>
          <w:tcPr>
            <w:tcW w:w="26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50.0</w:t>
            </w:r>
          </w:p>
        </w:tc>
      </w:tr>
      <w:tr>
        <w:trPr>
          <w:trHeight w:val="33"/>
        </w:trPr>
        <w:tc>
          <w:tcPr>
            <w:tcW w:w="1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17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Total $</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4,452.4</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358.8</w:t>
            </w:r>
          </w:p>
        </w:tc>
        <w:tc>
          <w:tcPr>
            <w:tcW w:w="5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149.1</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5,044.9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4,896.1</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378.5</w:t>
            </w:r>
          </w:p>
        </w:tc>
        <w:tc>
          <w:tcPr>
            <w:tcW w:w="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159.9</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5,522.4</w:t>
            </w: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8"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color w:val="auto"/>
        </w:rPr>
        <w:t>In the following table, revenue is disaggregated by timing of revenue recognition for each of our reportable segments:</w:t>
      </w:r>
    </w:p>
    <w:p>
      <w:pPr>
        <w:spacing w:after="0" w:line="185" w:lineRule="exact"/>
        <w:rPr>
          <w:sz w:val="20"/>
          <w:szCs w:val="20"/>
          <w:color w:val="auto"/>
        </w:rPr>
      </w:pPr>
    </w:p>
    <w:p>
      <w:pPr>
        <w:jc w:val="center"/>
        <w:ind w:left="2680"/>
        <w:spacing w:after="0"/>
        <w:rPr>
          <w:sz w:val="20"/>
          <w:szCs w:val="20"/>
          <w:color w:val="auto"/>
        </w:rPr>
      </w:pPr>
      <w:r>
        <w:rPr>
          <w:rFonts w:ascii="Arial" w:cs="Arial" w:eastAsia="Arial" w:hAnsi="Arial"/>
          <w:sz w:val="16"/>
          <w:szCs w:val="16"/>
          <w:b w:val="1"/>
          <w:bCs w:val="1"/>
          <w:color w:val="auto"/>
        </w:rPr>
        <w:t>3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37465</wp:posOffset>
            </wp:positionV>
            <wp:extent cx="5574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0" w:lineRule="exact"/>
        <w:rPr>
          <w:sz w:val="20"/>
          <w:szCs w:val="20"/>
          <w:color w:val="auto"/>
        </w:rPr>
      </w:pPr>
    </w:p>
    <w:p>
      <w:pPr>
        <w:jc w:val="both"/>
        <w:ind w:left="4680"/>
        <w:spacing w:after="0"/>
        <w:tabs>
          <w:tab w:leader="none" w:pos="912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37465</wp:posOffset>
            </wp:positionV>
            <wp:extent cx="5574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p>
      <w:pPr>
        <w:spacing w:after="0" w:line="90" w:lineRule="exact"/>
        <w:rPr>
          <w:sz w:val="20"/>
          <w:szCs w:val="20"/>
          <w:color w:val="auto"/>
        </w:rPr>
      </w:pPr>
    </w:p>
    <w:p>
      <w:pPr>
        <w:ind w:left="2700"/>
        <w:spacing w:after="0"/>
        <w:tabs>
          <w:tab w:leader="none" w:pos="4240" w:val="left"/>
        </w:tabs>
        <w:rPr>
          <w:sz w:val="20"/>
          <w:szCs w:val="20"/>
          <w:color w:val="auto"/>
        </w:rPr>
      </w:pPr>
      <w:r>
        <w:rPr>
          <w:rFonts w:ascii="Arial" w:cs="Arial" w:eastAsia="Arial" w:hAnsi="Arial"/>
          <w:sz w:val="16"/>
          <w:szCs w:val="16"/>
          <w:color w:val="auto"/>
        </w:rPr>
        <w:t>Services transferred</w:t>
      </w:r>
      <w:r>
        <w:rPr>
          <w:sz w:val="20"/>
          <w:szCs w:val="20"/>
          <w:color w:val="auto"/>
        </w:rPr>
        <w:tab/>
      </w:r>
      <w:r>
        <w:rPr>
          <w:rFonts w:ascii="Arial" w:cs="Arial" w:eastAsia="Arial" w:hAnsi="Arial"/>
          <w:sz w:val="14"/>
          <w:szCs w:val="14"/>
          <w:color w:val="auto"/>
        </w:rPr>
        <w:t>Services transferred</w:t>
      </w:r>
    </w:p>
    <w:p>
      <w:pPr>
        <w:spacing w:after="0" w:line="22" w:lineRule="exact"/>
        <w:rPr>
          <w:sz w:val="20"/>
          <w:szCs w:val="20"/>
          <w:color w:val="auto"/>
        </w:rPr>
      </w:pPr>
    </w:p>
    <w:p>
      <w:pPr>
        <w:ind w:left="3020"/>
        <w:spacing w:after="0"/>
        <w:tabs>
          <w:tab w:leader="none" w:pos="4320" w:val="left"/>
          <w:tab w:leader="none" w:pos="6220" w:val="left"/>
        </w:tabs>
        <w:rPr>
          <w:sz w:val="20"/>
          <w:szCs w:val="20"/>
          <w:color w:val="auto"/>
        </w:rPr>
      </w:pPr>
      <w:r>
        <w:rPr>
          <w:rFonts w:ascii="Arial" w:cs="Arial" w:eastAsia="Arial" w:hAnsi="Arial"/>
          <w:sz w:val="16"/>
          <w:szCs w:val="16"/>
          <w:color w:val="auto"/>
        </w:rPr>
        <w:t>over time</w:t>
      </w:r>
      <w:r>
        <w:rPr>
          <w:sz w:val="20"/>
          <w:szCs w:val="20"/>
          <w:color w:val="auto"/>
        </w:rPr>
        <w:tab/>
      </w:r>
      <w:r>
        <w:rPr>
          <w:rFonts w:ascii="Arial" w:cs="Arial" w:eastAsia="Arial" w:hAnsi="Arial"/>
          <w:sz w:val="16"/>
          <w:szCs w:val="16"/>
          <w:color w:val="auto"/>
        </w:rPr>
        <w:t>at a point in time</w:t>
      </w:r>
      <w:r>
        <w:rPr>
          <w:sz w:val="20"/>
          <w:szCs w:val="20"/>
          <w:color w:val="auto"/>
        </w:rPr>
        <w:tab/>
      </w: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Services transferred Services transferred at a</w:t>
      </w:r>
    </w:p>
    <w:p>
      <w:pPr>
        <w:spacing w:after="0" w:line="22" w:lineRule="exact"/>
        <w:rPr>
          <w:sz w:val="20"/>
          <w:szCs w:val="20"/>
          <w:color w:val="auto"/>
        </w:rPr>
      </w:pPr>
    </w:p>
    <w:p>
      <w:pPr>
        <w:ind w:left="340"/>
        <w:spacing w:after="0"/>
        <w:tabs>
          <w:tab w:leader="none" w:pos="1740" w:val="left"/>
          <w:tab w:leader="none" w:pos="3460" w:val="left"/>
        </w:tabs>
        <w:rPr>
          <w:sz w:val="20"/>
          <w:szCs w:val="20"/>
          <w:color w:val="auto"/>
        </w:rPr>
      </w:pPr>
      <w:r>
        <w:rPr>
          <w:rFonts w:ascii="Arial" w:cs="Arial" w:eastAsia="Arial" w:hAnsi="Arial"/>
          <w:sz w:val="16"/>
          <w:szCs w:val="16"/>
          <w:color w:val="auto"/>
        </w:rPr>
        <w:t>over time</w:t>
      </w:r>
      <w:r>
        <w:rPr>
          <w:sz w:val="20"/>
          <w:szCs w:val="20"/>
          <w:color w:val="auto"/>
        </w:rPr>
        <w:tab/>
      </w:r>
      <w:r>
        <w:rPr>
          <w:rFonts w:ascii="Arial" w:cs="Arial" w:eastAsia="Arial" w:hAnsi="Arial"/>
          <w:sz w:val="16"/>
          <w:szCs w:val="16"/>
          <w:color w:val="auto"/>
        </w:rPr>
        <w:t>point in time</w:t>
      </w:r>
      <w:r>
        <w:rPr>
          <w:sz w:val="20"/>
          <w:szCs w:val="20"/>
          <w:color w:val="auto"/>
        </w:rPr>
        <w:tab/>
      </w:r>
      <w:r>
        <w:rPr>
          <w:rFonts w:ascii="Arial" w:cs="Arial" w:eastAsia="Arial" w:hAnsi="Arial"/>
          <w:sz w:val="14"/>
          <w:szCs w:val="14"/>
          <w:color w:val="auto"/>
        </w:rPr>
        <w:t>Total</w:t>
      </w:r>
    </w:p>
    <w:p>
      <w:pPr>
        <w:spacing w:after="0" w:line="96" w:lineRule="exact"/>
        <w:rPr>
          <w:sz w:val="20"/>
          <w:szCs w:val="20"/>
          <w:color w:val="auto"/>
        </w:rPr>
      </w:pPr>
    </w:p>
    <w:p>
      <w:pPr>
        <w:sectPr>
          <w:pgSz w:w="11900" w:h="16838" w:orient="portrait"/>
          <w:cols w:equalWidth="0" w:num="2">
            <w:col w:w="6560" w:space="600"/>
            <w:col w:w="4260"/>
          </w:cols>
          <w:pgMar w:left="240" w:top="368" w:right="239" w:bottom="1440" w:gutter="0" w:footer="0" w:header="0"/>
          <w:type w:val="continuous"/>
        </w:sectPr>
      </w:pPr>
    </w:p>
    <w:p>
      <w:pPr>
        <w:ind w:left="100"/>
        <w:spacing w:after="0"/>
        <w:rPr>
          <w:sz w:val="20"/>
          <w:szCs w:val="20"/>
          <w:color w:val="auto"/>
        </w:rPr>
      </w:pPr>
      <w:r>
        <w:rPr>
          <w:rFonts w:ascii="Arial" w:cs="Arial" w:eastAsia="Arial" w:hAnsi="Arial"/>
          <w:sz w:val="16"/>
          <w:szCs w:val="16"/>
          <w:color w:val="auto"/>
        </w:rPr>
        <w:t>Americas: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640" w:type="dxa"/>
            <w:vAlign w:val="bottom"/>
          </w:tcPr>
          <w:p>
            <w:pPr>
              <w:ind w:left="380"/>
              <w:spacing w:after="0"/>
              <w:rPr>
                <w:sz w:val="20"/>
                <w:szCs w:val="20"/>
                <w:color w:val="auto"/>
              </w:rPr>
            </w:pPr>
            <w:r>
              <w:rPr>
                <w:rFonts w:ascii="Arial" w:cs="Arial" w:eastAsia="Arial" w:hAnsi="Arial"/>
                <w:sz w:val="16"/>
                <w:szCs w:val="16"/>
                <w:color w:val="auto"/>
              </w:rPr>
              <w:t>United States</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590.6</w:t>
            </w:r>
          </w:p>
        </w:tc>
        <w:tc>
          <w:tcPr>
            <w:tcW w:w="74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13.0</w:t>
            </w:r>
          </w:p>
        </w:tc>
        <w:tc>
          <w:tcPr>
            <w:tcW w:w="4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603.6</w:t>
            </w:r>
          </w:p>
        </w:tc>
        <w:tc>
          <w:tcPr>
            <w:tcW w:w="5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604.3</w:t>
            </w:r>
          </w:p>
        </w:tc>
        <w:tc>
          <w:tcPr>
            <w:tcW w:w="72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12.0</w:t>
            </w:r>
          </w:p>
        </w:tc>
        <w:tc>
          <w:tcPr>
            <w:tcW w:w="4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616.3</w:t>
            </w:r>
          </w:p>
        </w:tc>
      </w:tr>
      <w:tr>
        <w:trPr>
          <w:trHeight w:val="33"/>
        </w:trPr>
        <w:tc>
          <w:tcPr>
            <w:tcW w:w="2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Americas</w:t>
            </w: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399.7</w:t>
            </w:r>
          </w:p>
        </w:tc>
        <w:tc>
          <w:tcPr>
            <w:tcW w:w="7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403.7</w:t>
            </w:r>
          </w:p>
        </w:tc>
        <w:tc>
          <w:tcPr>
            <w:tcW w:w="5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402.1</w:t>
            </w:r>
          </w:p>
        </w:tc>
        <w:tc>
          <w:tcPr>
            <w:tcW w:w="7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4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406.3</w:t>
            </w:r>
          </w:p>
        </w:tc>
      </w:tr>
      <w:tr>
        <w:trPr>
          <w:trHeight w:val="231"/>
        </w:trPr>
        <w:tc>
          <w:tcPr>
            <w:tcW w:w="26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990.3</w:t>
            </w:r>
          </w:p>
        </w:tc>
        <w:tc>
          <w:tcPr>
            <w:tcW w:w="7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1,007.3</w:t>
            </w:r>
          </w:p>
        </w:tc>
        <w:tc>
          <w:tcPr>
            <w:tcW w:w="5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1,006.4</w:t>
            </w:r>
          </w:p>
        </w:tc>
        <w:tc>
          <w:tcPr>
            <w:tcW w:w="7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4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1,022.6</w:t>
            </w:r>
          </w:p>
        </w:tc>
      </w:tr>
      <w:tr>
        <w:trPr>
          <w:trHeight w:val="33"/>
        </w:trPr>
        <w:tc>
          <w:tcPr>
            <w:tcW w:w="26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Southern Europe:</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2640" w:type="dxa"/>
            <w:vAlign w:val="bottom"/>
          </w:tcPr>
          <w:p>
            <w:pPr>
              <w:ind w:left="380"/>
              <w:spacing w:after="0"/>
              <w:rPr>
                <w:sz w:val="20"/>
                <w:szCs w:val="20"/>
                <w:color w:val="auto"/>
              </w:rPr>
            </w:pPr>
            <w:r>
              <w:rPr>
                <w:rFonts w:ascii="Arial" w:cs="Arial" w:eastAsia="Arial" w:hAnsi="Arial"/>
                <w:sz w:val="16"/>
                <w:szCs w:val="16"/>
                <w:color w:val="auto"/>
              </w:rPr>
              <w:t>France</w:t>
            </w: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1,287.7</w:t>
            </w:r>
          </w:p>
        </w:tc>
        <w:tc>
          <w:tcPr>
            <w:tcW w:w="7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13.7</w:t>
            </w:r>
          </w:p>
        </w:tc>
        <w:tc>
          <w:tcPr>
            <w:tcW w:w="4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1,301.4</w:t>
            </w:r>
          </w:p>
        </w:tc>
        <w:tc>
          <w:tcPr>
            <w:tcW w:w="5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1,409.6</w:t>
            </w:r>
          </w:p>
        </w:tc>
        <w:tc>
          <w:tcPr>
            <w:tcW w:w="7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14.4</w:t>
            </w:r>
          </w:p>
        </w:tc>
        <w:tc>
          <w:tcPr>
            <w:tcW w:w="42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1,424.0</w:t>
            </w:r>
          </w:p>
        </w:tc>
      </w:tr>
      <w:tr>
        <w:trPr>
          <w:trHeight w:val="33"/>
        </w:trPr>
        <w:tc>
          <w:tcPr>
            <w:tcW w:w="2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Italy</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346.6</w:t>
            </w:r>
          </w:p>
        </w:tc>
        <w:tc>
          <w:tcPr>
            <w:tcW w:w="7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355.9</w:t>
            </w: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404.8</w:t>
            </w:r>
          </w:p>
        </w:tc>
        <w:tc>
          <w:tcPr>
            <w:tcW w:w="7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413.6</w:t>
            </w:r>
          </w:p>
        </w:tc>
      </w:tr>
      <w:tr>
        <w:trPr>
          <w:trHeight w:val="237"/>
        </w:trPr>
        <w:tc>
          <w:tcPr>
            <w:tcW w:w="2640" w:type="dxa"/>
            <w:vAlign w:val="bottom"/>
          </w:tcPr>
          <w:p>
            <w:pPr>
              <w:ind w:left="380"/>
              <w:spacing w:after="0"/>
              <w:rPr>
                <w:sz w:val="20"/>
                <w:szCs w:val="20"/>
                <w:color w:val="auto"/>
              </w:rPr>
            </w:pPr>
            <w:r>
              <w:rPr>
                <w:rFonts w:ascii="Arial" w:cs="Arial" w:eastAsia="Arial" w:hAnsi="Arial"/>
                <w:sz w:val="16"/>
                <w:szCs w:val="16"/>
                <w:color w:val="auto"/>
              </w:rPr>
              <w:t>Other Southern Europe</w:t>
            </w: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433.1</w:t>
            </w:r>
          </w:p>
        </w:tc>
        <w:tc>
          <w:tcPr>
            <w:tcW w:w="7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11.8</w:t>
            </w:r>
          </w:p>
        </w:tc>
        <w:tc>
          <w:tcPr>
            <w:tcW w:w="4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444.9</w:t>
            </w:r>
          </w:p>
        </w:tc>
        <w:tc>
          <w:tcPr>
            <w:tcW w:w="5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462.1</w:t>
            </w:r>
          </w:p>
        </w:tc>
        <w:tc>
          <w:tcPr>
            <w:tcW w:w="7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12.3</w:t>
            </w:r>
          </w:p>
        </w:tc>
        <w:tc>
          <w:tcPr>
            <w:tcW w:w="42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474.4</w:t>
            </w:r>
          </w:p>
        </w:tc>
      </w:tr>
      <w:tr>
        <w:trPr>
          <w:trHeight w:val="33"/>
        </w:trPr>
        <w:tc>
          <w:tcPr>
            <w:tcW w:w="26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26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2,067.4</w:t>
            </w:r>
          </w:p>
        </w:tc>
        <w:tc>
          <w:tcPr>
            <w:tcW w:w="7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2,102.2</w:t>
            </w:r>
          </w:p>
        </w:tc>
        <w:tc>
          <w:tcPr>
            <w:tcW w:w="5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2,276.5</w:t>
            </w:r>
          </w:p>
        </w:tc>
        <w:tc>
          <w:tcPr>
            <w:tcW w:w="7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4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2,312.0</w:t>
            </w:r>
          </w:p>
        </w:tc>
      </w:tr>
      <w:tr>
        <w:trPr>
          <w:trHeight w:val="231"/>
        </w:trPr>
        <w:tc>
          <w:tcPr>
            <w:tcW w:w="2640" w:type="dxa"/>
            <w:vAlign w:val="bottom"/>
          </w:tcPr>
          <w:p>
            <w:pPr>
              <w:ind w:left="120"/>
              <w:spacing w:after="0"/>
              <w:rPr>
                <w:sz w:val="20"/>
                <w:szCs w:val="20"/>
                <w:color w:val="auto"/>
              </w:rPr>
            </w:pPr>
            <w:r>
              <w:rPr>
                <w:rFonts w:ascii="Arial" w:cs="Arial" w:eastAsia="Arial" w:hAnsi="Arial"/>
                <w:sz w:val="16"/>
                <w:szCs w:val="16"/>
                <w:color w:val="auto"/>
              </w:rPr>
              <w:t>Northern Europe</w:t>
            </w: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1,156.6</w:t>
            </w:r>
          </w:p>
        </w:tc>
        <w:tc>
          <w:tcPr>
            <w:tcW w:w="7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33.1</w:t>
            </w: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1,189.7</w:t>
            </w:r>
          </w:p>
        </w:tc>
        <w:tc>
          <w:tcPr>
            <w:tcW w:w="5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1,379.2</w:t>
            </w:r>
          </w:p>
        </w:tc>
        <w:tc>
          <w:tcPr>
            <w:tcW w:w="7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38.4</w:t>
            </w:r>
          </w:p>
        </w:tc>
        <w:tc>
          <w:tcPr>
            <w:tcW w:w="4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1,417.6</w:t>
            </w:r>
          </w:p>
        </w:tc>
      </w:tr>
      <w:tr>
        <w:trPr>
          <w:trHeight w:val="33"/>
        </w:trPr>
        <w:tc>
          <w:tcPr>
            <w:tcW w:w="2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APME</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671.4</w:t>
            </w:r>
          </w:p>
        </w:tc>
        <w:tc>
          <w:tcPr>
            <w:tcW w:w="7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699.9</w:t>
            </w: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688.9</w:t>
            </w:r>
          </w:p>
        </w:tc>
        <w:tc>
          <w:tcPr>
            <w:tcW w:w="7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720.2</w:t>
            </w:r>
          </w:p>
        </w:tc>
      </w:tr>
      <w:tr>
        <w:trPr>
          <w:trHeight w:val="237"/>
        </w:trPr>
        <w:tc>
          <w:tcPr>
            <w:tcW w:w="2640" w:type="dxa"/>
            <w:vAlign w:val="bottom"/>
          </w:tcPr>
          <w:p>
            <w:pPr>
              <w:ind w:left="120"/>
              <w:spacing w:after="0"/>
              <w:rPr>
                <w:sz w:val="20"/>
                <w:szCs w:val="20"/>
                <w:color w:val="auto"/>
              </w:rPr>
            </w:pPr>
            <w:r>
              <w:rPr>
                <w:rFonts w:ascii="Arial" w:cs="Arial" w:eastAsia="Arial" w:hAnsi="Arial"/>
                <w:sz w:val="16"/>
                <w:szCs w:val="16"/>
                <w:color w:val="auto"/>
              </w:rPr>
              <w:t>Right Management</w:t>
            </w: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45.8</w:t>
            </w:r>
          </w:p>
        </w:tc>
        <w:tc>
          <w:tcPr>
            <w:tcW w:w="7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45.8</w:t>
            </w:r>
          </w:p>
        </w:tc>
        <w:tc>
          <w:tcPr>
            <w:tcW w:w="5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50.0</w:t>
            </w:r>
          </w:p>
        </w:tc>
        <w:tc>
          <w:tcPr>
            <w:tcW w:w="7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50.0</w:t>
            </w:r>
          </w:p>
        </w:tc>
      </w:tr>
      <w:tr>
        <w:trPr>
          <w:trHeight w:val="33"/>
        </w:trPr>
        <w:tc>
          <w:tcPr>
            <w:tcW w:w="26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2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Consolidated</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4,931.5</w:t>
            </w:r>
          </w:p>
        </w:tc>
        <w:tc>
          <w:tcPr>
            <w:tcW w:w="74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113.4</w:t>
            </w:r>
          </w:p>
        </w:tc>
        <w:tc>
          <w:tcPr>
            <w:tcW w:w="4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5,044.9</w:t>
            </w:r>
          </w:p>
        </w:tc>
        <w:tc>
          <w:tcPr>
            <w:tcW w:w="5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5,401.0</w:t>
            </w:r>
          </w:p>
        </w:tc>
        <w:tc>
          <w:tcPr>
            <w:tcW w:w="72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121.4</w:t>
            </w:r>
          </w:p>
        </w:tc>
        <w:tc>
          <w:tcPr>
            <w:tcW w:w="4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5,522.4</w:t>
            </w:r>
          </w:p>
        </w:tc>
      </w:tr>
      <w:tr>
        <w:trPr>
          <w:trHeight w:val="20"/>
        </w:trPr>
        <w:tc>
          <w:tcPr>
            <w:tcW w:w="2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Share-Based Compensation Plans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three months ended March 31, 2019 and 2018, we recognized share-based compensation expense of $4.6 and $7.5, respectively. The expense relates to stock options, deferred stock, restricted stock and performance share units. We recognize share-based compensation expense in selling and administrative expenses on a straight-line basis over the service period of each award. Consideration received from share-based awards was $0.9 and $3.6 for the three months ended March 31, 2019 and 2018, respectively.</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annual grant of share-based compensation generally takes place during the first quarter of each fiscal year. The number of shares underlying grants to employees and members of our Board of Directors, and the weighted-average fair value per share for shares granted during the first quarter of 2019 and 2018 are presented in the table below:</w:t>
      </w:r>
    </w:p>
    <w:p>
      <w:pPr>
        <w:spacing w:after="0" w:line="123"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3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34290</wp:posOffset>
            </wp:positionV>
            <wp:extent cx="54286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4"/>
              </w:rPr>
              <w:t>2019</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84"/>
              </w:rPr>
              <w:t>2018</w:t>
            </w:r>
          </w:p>
        </w:tc>
        <w:tc>
          <w:tcPr>
            <w:tcW w:w="1860" w:type="dxa"/>
            <w:vAlign w:val="bottom"/>
          </w:tcPr>
          <w:p>
            <w:pPr>
              <w:spacing w:after="0"/>
              <w:rPr>
                <w:sz w:val="20"/>
                <w:szCs w:val="20"/>
                <w:color w:val="auto"/>
              </w:rPr>
            </w:pPr>
          </w:p>
        </w:tc>
      </w:tr>
      <w:tr>
        <w:trPr>
          <w:trHeight w:val="27"/>
        </w:trPr>
        <w:tc>
          <w:tcPr>
            <w:tcW w:w="28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2880" w:type="dxa"/>
            <w:vAlign w:val="bottom"/>
          </w:tcPr>
          <w:p>
            <w:pPr>
              <w:spacing w:after="0"/>
              <w:rPr>
                <w:sz w:val="20"/>
                <w:szCs w:val="20"/>
                <w:color w:val="auto"/>
              </w:rPr>
            </w:pPr>
          </w:p>
        </w:tc>
        <w:tc>
          <w:tcPr>
            <w:tcW w:w="1640" w:type="dxa"/>
            <w:vAlign w:val="bottom"/>
          </w:tcPr>
          <w:p>
            <w:pPr>
              <w:jc w:val="center"/>
              <w:ind w:left="330"/>
              <w:spacing w:after="0"/>
              <w:rPr>
                <w:sz w:val="20"/>
                <w:szCs w:val="20"/>
                <w:color w:val="auto"/>
              </w:rPr>
            </w:pPr>
            <w:r>
              <w:rPr>
                <w:rFonts w:ascii="Arial" w:cs="Arial" w:eastAsia="Arial" w:hAnsi="Arial"/>
                <w:sz w:val="18"/>
                <w:szCs w:val="18"/>
                <w:b w:val="1"/>
                <w:bCs w:val="1"/>
                <w:color w:val="auto"/>
                <w:w w:val="90"/>
              </w:rPr>
              <w:t>Shares Granted</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Wtd.-Avg. Per Share</w:t>
            </w:r>
          </w:p>
        </w:tc>
        <w:tc>
          <w:tcPr>
            <w:tcW w:w="1940" w:type="dxa"/>
            <w:vAlign w:val="bottom"/>
          </w:tcPr>
          <w:p>
            <w:pPr>
              <w:jc w:val="right"/>
              <w:ind w:right="230"/>
              <w:spacing w:after="0"/>
              <w:rPr>
                <w:sz w:val="20"/>
                <w:szCs w:val="20"/>
                <w:color w:val="auto"/>
              </w:rPr>
            </w:pPr>
            <w:r>
              <w:rPr>
                <w:rFonts w:ascii="Arial" w:cs="Arial" w:eastAsia="Arial" w:hAnsi="Arial"/>
                <w:sz w:val="18"/>
                <w:szCs w:val="18"/>
                <w:b w:val="1"/>
                <w:bCs w:val="1"/>
                <w:color w:val="auto"/>
              </w:rPr>
              <w:t>Shares Granted</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Wtd.-Avg. Per Share</w:t>
            </w:r>
          </w:p>
        </w:tc>
      </w:tr>
      <w:tr>
        <w:trPr>
          <w:trHeight w:val="270"/>
        </w:trPr>
        <w:tc>
          <w:tcPr>
            <w:tcW w:w="2880" w:type="dxa"/>
            <w:vAlign w:val="bottom"/>
          </w:tcPr>
          <w:p>
            <w:pPr>
              <w:spacing w:after="0"/>
              <w:rPr>
                <w:sz w:val="23"/>
                <w:szCs w:val="23"/>
                <w:color w:val="auto"/>
              </w:rPr>
            </w:pPr>
          </w:p>
        </w:tc>
        <w:tc>
          <w:tcPr>
            <w:tcW w:w="1640" w:type="dxa"/>
            <w:vAlign w:val="bottom"/>
          </w:tcPr>
          <w:p>
            <w:pPr>
              <w:jc w:val="center"/>
              <w:ind w:left="330"/>
              <w:spacing w:after="0"/>
              <w:rPr>
                <w:sz w:val="20"/>
                <w:szCs w:val="20"/>
                <w:color w:val="auto"/>
              </w:rPr>
            </w:pPr>
            <w:r>
              <w:rPr>
                <w:rFonts w:ascii="Arial" w:cs="Arial" w:eastAsia="Arial" w:hAnsi="Arial"/>
                <w:sz w:val="18"/>
                <w:szCs w:val="18"/>
                <w:b w:val="1"/>
                <w:bCs w:val="1"/>
                <w:color w:val="auto"/>
                <w:w w:val="87"/>
              </w:rPr>
              <w:t>(thousands)</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Fair Value</w:t>
            </w:r>
          </w:p>
        </w:tc>
        <w:tc>
          <w:tcPr>
            <w:tcW w:w="1940" w:type="dxa"/>
            <w:vAlign w:val="bottom"/>
          </w:tcPr>
          <w:p>
            <w:pPr>
              <w:jc w:val="right"/>
              <w:ind w:right="390"/>
              <w:spacing w:after="0"/>
              <w:rPr>
                <w:sz w:val="20"/>
                <w:szCs w:val="20"/>
                <w:color w:val="auto"/>
              </w:rPr>
            </w:pPr>
            <w:r>
              <w:rPr>
                <w:rFonts w:ascii="Arial" w:cs="Arial" w:eastAsia="Arial" w:hAnsi="Arial"/>
                <w:sz w:val="18"/>
                <w:szCs w:val="18"/>
                <w:b w:val="1"/>
                <w:bCs w:val="1"/>
                <w:color w:val="auto"/>
              </w:rPr>
              <w:t>(thousands)</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60" w:type="dxa"/>
            <w:vAlign w:val="bottom"/>
          </w:tcPr>
          <w:p>
            <w:pPr>
              <w:jc w:val="right"/>
              <w:ind w:right="53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2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163</w:t>
            </w:r>
          </w:p>
        </w:tc>
        <w:tc>
          <w:tcPr>
            <w:tcW w:w="4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17.78</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31.46</w:t>
            </w:r>
          </w:p>
        </w:tc>
      </w:tr>
      <w:tr>
        <w:trPr>
          <w:trHeight w:val="243"/>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Deferred Stock Units</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64.80</w:t>
            </w:r>
          </w:p>
        </w:tc>
        <w:tc>
          <w:tcPr>
            <w:tcW w:w="1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126.11</w:t>
            </w:r>
          </w:p>
        </w:tc>
      </w:tr>
      <w:tr>
        <w:trPr>
          <w:trHeight w:val="27"/>
        </w:trPr>
        <w:tc>
          <w:tcPr>
            <w:tcW w:w="2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Stock Units</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78.90</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117.60</w:t>
            </w:r>
          </w:p>
        </w:tc>
      </w:tr>
      <w:tr>
        <w:trPr>
          <w:trHeight w:val="243"/>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Performance Share Units</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77.70</w:t>
            </w:r>
          </w:p>
        </w:tc>
        <w:tc>
          <w:tcPr>
            <w:tcW w:w="1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117.19</w:t>
            </w:r>
          </w:p>
        </w:tc>
      </w:tr>
      <w:tr>
        <w:trPr>
          <w:trHeight w:val="27"/>
        </w:trPr>
        <w:tc>
          <w:tcPr>
            <w:tcW w:w="28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r>
      <w:tr>
        <w:trPr>
          <w:trHeight w:val="257"/>
        </w:trPr>
        <w:tc>
          <w:tcPr>
            <w:tcW w:w="4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Total Shares Granted</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522</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58.96</w:t>
            </w:r>
          </w:p>
        </w:tc>
        <w:tc>
          <w:tcPr>
            <w:tcW w:w="100" w:type="dxa"/>
            <w:vAlign w:val="bottom"/>
            <w:shd w:val="clear" w:color="auto" w:fill="CCEEFF"/>
          </w:tcPr>
          <w:p>
            <w:pPr>
              <w:spacing w:after="0"/>
              <w:rPr>
                <w:sz w:val="22"/>
                <w:szCs w:val="22"/>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88.76</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u w:val="single" w:color="auto"/>
          <w:color w:val="auto"/>
        </w:rPr>
        <w:t>Acquisitions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From time to time, we acquire and invest in companies throughout the world, including franchises. For the three months ended March 31, 2019, the total cash consideration paid for acquisitions, net of cash acquired, was $0.6, which represents contingent consideration payments related to previous acquisitions. For the three months ended March 31, 2018, the total cash consideration for acquisitions, net of cash acquired, was $41.0, the majority of which took place in the Netherlands. This balance includes initial acquisition payments of $8.2 and contingent consideration payments of $32.8 ($8.7 of which had been recognized as a liability at the acquisition date).</w:t>
      </w:r>
    </w:p>
    <w:p>
      <w:pPr>
        <w:spacing w:after="0" w:line="188"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On April 26, 2017, the sellers of 7S Group GmbH, a company we acquired in 2015, formally disputed the contingent consideration related to the acquisition and are claiming an additional $23.3 (€20.8), plus interest. The dispute has been heard by an arbitration tribunal in Germany, which is expected to render its decision during 2019. We have vigorously defended these claims in the arbitration, and we believe no further amounts are due. We are not currently able to predict the outcome of the arbitration, and consequently, no amounts have been recorded in the Consolidated Financial Statements.</w:t>
      </w:r>
    </w:p>
    <w:p>
      <w:pPr>
        <w:sectPr>
          <w:pgSz w:w="11900" w:h="16838" w:orient="portrait"/>
          <w:cols w:equalWidth="0" w:num="1">
            <w:col w:w="11420"/>
          </w:cols>
          <w:pgMar w:left="240" w:top="368" w:right="239" w:bottom="1440" w:gutter="0" w:footer="0" w:header="0"/>
          <w:type w:val="continuous"/>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368" w:right="239" w:bottom="1440" w:gutter="0" w:footer="0" w:header="0"/>
          <w:type w:val="continuous"/>
        </w:sectPr>
      </w:pPr>
    </w:p>
    <w:bookmarkStart w:id="11" w:name="page12"/>
    <w:bookmarkEnd w:id="11"/>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Restructuring Costs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recorded net restructuring costs of $39.8 and $24.0 during the three months ended March 31, 2019 and 2018, respectively, in selling and administrative expenses, primarily related to severances and office closures and consolidations in multiple countries and territories. During the three months ended March 31, 2019, we made payments and reclassifications of $22.1 out of our restructuring reserve. We expect a majority of the remaining $33.2 reserve will be paid or utilized by the end of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restructuring reserve by reportable segment and Corporate are shown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Southern</w:t>
            </w:r>
          </w:p>
        </w:tc>
        <w:tc>
          <w:tcPr>
            <w:tcW w:w="16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Northern</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320"/>
              <w:spacing w:after="0"/>
              <w:rPr>
                <w:sz w:val="20"/>
                <w:szCs w:val="20"/>
                <w:color w:val="auto"/>
              </w:rPr>
            </w:pPr>
            <w:r>
              <w:rPr>
                <w:rFonts w:ascii="Arial" w:cs="Arial" w:eastAsia="Arial" w:hAnsi="Arial"/>
                <w:sz w:val="18"/>
                <w:szCs w:val="18"/>
                <w:b w:val="1"/>
                <w:bCs w:val="1"/>
                <w:color w:val="auto"/>
              </w:rPr>
              <w:t>Right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61"/>
        </w:trPr>
        <w:tc>
          <w:tcPr>
            <w:tcW w:w="27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7"/>
              </w:rPr>
              <w:t>Americas</w:t>
            </w:r>
            <w:r>
              <w:rPr>
                <w:rFonts w:ascii="Arial" w:cs="Arial" w:eastAsia="Arial" w:hAnsi="Arial"/>
                <w:sz w:val="21"/>
                <w:szCs w:val="21"/>
                <w:color w:val="auto"/>
                <w:w w:val="87"/>
                <w:vertAlign w:val="superscript"/>
              </w:rPr>
              <w:t>(1)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5"/>
              </w:rPr>
              <w:t>Europe</w:t>
            </w:r>
            <w:r>
              <w:rPr>
                <w:rFonts w:ascii="Arial" w:cs="Arial" w:eastAsia="Arial" w:hAnsi="Arial"/>
                <w:sz w:val="21"/>
                <w:szCs w:val="21"/>
                <w:color w:val="auto"/>
                <w:w w:val="95"/>
                <w:vertAlign w:val="superscript"/>
              </w:rPr>
              <w:t>(2)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Europe</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6"/>
              </w:rPr>
              <w:t>APME</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Management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Corporate</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Severance costs</w:t>
            </w:r>
          </w:p>
        </w:tc>
        <w:tc>
          <w:tcPr>
            <w:tcW w:w="1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30.8</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 closure costs and other</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r>
      <w:tr>
        <w:trPr>
          <w:trHeight w:val="229"/>
        </w:trPr>
        <w:tc>
          <w:tcPr>
            <w:tcW w:w="2740" w:type="dxa"/>
            <w:vAlign w:val="bottom"/>
          </w:tcPr>
          <w:p>
            <w:pPr>
              <w:ind w:left="40"/>
              <w:spacing w:after="0"/>
              <w:rPr>
                <w:sz w:val="20"/>
                <w:szCs w:val="20"/>
                <w:color w:val="auto"/>
              </w:rPr>
            </w:pPr>
            <w:r>
              <w:rPr>
                <w:rFonts w:ascii="Arial" w:cs="Arial" w:eastAsia="Arial" w:hAnsi="Arial"/>
                <w:sz w:val="18"/>
                <w:szCs w:val="18"/>
                <w:color w:val="auto"/>
              </w:rPr>
              <w:t>Costs paid, utilized or transferred</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57"/>
        </w:trPr>
        <w:tc>
          <w:tcPr>
            <w:tcW w:w="2740" w:type="dxa"/>
            <w:vAlign w:val="bottom"/>
          </w:tcPr>
          <w:p>
            <w:pPr>
              <w:ind w:left="40"/>
              <w:spacing w:after="0" w:line="257" w:lineRule="exact"/>
              <w:rPr>
                <w:sz w:val="20"/>
                <w:szCs w:val="20"/>
                <w:color w:val="auto"/>
              </w:rPr>
            </w:pPr>
            <w:r>
              <w:rPr>
                <w:rFonts w:ascii="Arial" w:cs="Arial" w:eastAsia="Arial" w:hAnsi="Arial"/>
                <w:sz w:val="18"/>
                <w:szCs w:val="18"/>
                <w:color w:val="auto"/>
              </w:rPr>
              <w:t>out</w:t>
            </w:r>
            <w:r>
              <w:rPr>
                <w:rFonts w:ascii="Arial" w:cs="Arial" w:eastAsia="Arial" w:hAnsi="Arial"/>
                <w:sz w:val="25"/>
                <w:szCs w:val="25"/>
                <w:color w:val="auto"/>
                <w:vertAlign w:val="superscript"/>
              </w:rPr>
              <w:t>(3)</w:t>
            </w:r>
          </w:p>
        </w:tc>
        <w:tc>
          <w:tcPr>
            <w:tcW w:w="1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57"/>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31, 2019</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r>
      <w:tr>
        <w:trPr>
          <w:trHeight w:val="20"/>
        </w:trPr>
        <w:tc>
          <w:tcPr>
            <w:tcW w:w="2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Balances related to the United States were $0.3 and $1.3 as of December 31, 2018 and March 31, 2019, respectively.</w:t>
      </w:r>
    </w:p>
    <w:p>
      <w:pPr>
        <w:spacing w:after="0" w:line="23" w:lineRule="exact"/>
        <w:rPr>
          <w:rFonts w:ascii="Arial" w:cs="Arial" w:eastAsia="Arial" w:hAnsi="Arial"/>
          <w:sz w:val="18"/>
          <w:szCs w:val="18"/>
          <w:color w:val="auto"/>
        </w:rPr>
      </w:pPr>
    </w:p>
    <w:p>
      <w:pPr>
        <w:ind w:right="100" w:firstLine="8"/>
        <w:spacing w:after="0" w:line="250"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Balances related to France were $0.9 as of both December 31, 2018 and March 31, 2019. Balances related to Italy were $0.5 and $2.3 as of December 31, 2018 and March 31, 2019, respectively.</w:t>
      </w: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Restructuring reserve of $7.6 was transferred to current operating lease liabilities during the three months ended March 31, 2019.</w:t>
      </w:r>
    </w:p>
    <w:p>
      <w:pPr>
        <w:spacing w:after="0" w:line="211"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ind w:right="180"/>
        <w:spacing w:after="0" w:line="276" w:lineRule="auto"/>
        <w:rPr>
          <w:sz w:val="20"/>
          <w:szCs w:val="20"/>
          <w:color w:val="auto"/>
        </w:rPr>
      </w:pPr>
      <w:r>
        <w:rPr>
          <w:rFonts w:ascii="Arial" w:cs="Arial" w:eastAsia="Arial" w:hAnsi="Arial"/>
          <w:sz w:val="17"/>
          <w:szCs w:val="17"/>
          <w:color w:val="auto"/>
        </w:rPr>
        <w:t>We recorded income tax expense at an effective rate of 42.8% for the three months ended March 31, 2019, as compared to an effective rate of 29.6% for the three months ended March 31, 2018. The 2019 rate was unfavorably impacted by the transition of the French CICE subsidy, which was non-taxable, to new French subsidies in January 2019 that are taxable, and the recognition of valuation allowances against certain tax losses. The 42.8% effective tax rate in the quarter was higher than the United States Federal statutory rate of 21% primarily due to the French business tax, restructuring costs recorded in the quarter, our overall mix of earnings and the recognition of valuation allowances against certain tax losses.</w:t>
      </w:r>
    </w:p>
    <w:p>
      <w:pPr>
        <w:spacing w:after="0" w:line="173"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As of March 31, 2019, we had gross unrecognized tax benefits related to various tax jurisdictions, including interest and penalties, of $35.0 that would favorably impact the effective tax rate if recognized. As of December 31, 2018, we had gross unrecognized tax benefits related to various tax jurisdictions, including interest and penalties, of $34.2. We do not expect our unrecognized tax benefits to change significantly over the next 12 months.</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conduct business globally in various countries and territories. We are routinely audited by the tax authorities of the various tax jurisdictions in which we operate. Generally, the tax years that could be subject to examination are 2012 through 2019 for our major operations in France, Germany, Japan, the United Kingdom and the United States. As of March 31, 2019, we are subject to tax audits in Austria, Canada, Denmark, France, Germany and the United States. We believe that the resolution of these audits will not have a material impact on earnings.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8"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8940" w:type="dxa"/>
            <w:vAlign w:val="bottom"/>
            <w:gridSpan w:val="4"/>
          </w:tcPr>
          <w:p>
            <w:pPr>
              <w:spacing w:after="0"/>
              <w:rPr>
                <w:sz w:val="20"/>
                <w:szCs w:val="20"/>
                <w:color w:val="auto"/>
              </w:rPr>
            </w:pPr>
            <w:r>
              <w:rPr>
                <w:rFonts w:ascii="Arial" w:cs="Arial" w:eastAsia="Arial" w:hAnsi="Arial"/>
                <w:sz w:val="18"/>
                <w:szCs w:val="18"/>
                <w:color w:val="auto"/>
              </w:rPr>
              <w:t>(8) Net Earnings Per Share</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260" w:type="dxa"/>
            <w:vAlign w:val="bottom"/>
            <w:gridSpan w:val="2"/>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53"/>
        </w:trPr>
        <w:tc>
          <w:tcPr>
            <w:tcW w:w="8940" w:type="dxa"/>
            <w:vAlign w:val="bottom"/>
            <w:gridSpan w:val="4"/>
          </w:tcPr>
          <w:p>
            <w:pPr>
              <w:spacing w:after="0"/>
              <w:rPr>
                <w:sz w:val="20"/>
                <w:szCs w:val="20"/>
                <w:color w:val="auto"/>
              </w:rPr>
            </w:pPr>
            <w:r>
              <w:rPr>
                <w:rFonts w:ascii="Arial" w:cs="Arial" w:eastAsia="Arial" w:hAnsi="Arial"/>
                <w:sz w:val="18"/>
                <w:szCs w:val="18"/>
                <w:color w:val="auto"/>
              </w:rPr>
              <w:t>The calculations of net earnings per share – basic and net earnings per share – diluted were as follows: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78"/>
        </w:trPr>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3 Months Ended</w:t>
            </w:r>
          </w:p>
        </w:tc>
      </w:tr>
      <w:tr>
        <w:trPr>
          <w:trHeight w:val="270"/>
        </w:trPr>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7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60" w:type="dxa"/>
            <w:vAlign w:val="bottom"/>
          </w:tcPr>
          <w:p>
            <w:pPr>
              <w:spacing w:after="0"/>
              <w:rPr>
                <w:sz w:val="23"/>
                <w:szCs w:val="23"/>
                <w:color w:val="auto"/>
              </w:rPr>
            </w:pPr>
          </w:p>
        </w:tc>
      </w:tr>
      <w:tr>
        <w:trPr>
          <w:trHeight w:val="27"/>
        </w:trPr>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120" w:type="dxa"/>
            <w:vAlign w:val="bottom"/>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120" w:type="dxa"/>
            <w:vAlign w:val="bottom"/>
          </w:tcPr>
          <w:p>
            <w:pPr>
              <w:spacing w:after="0"/>
              <w:rPr>
                <w:sz w:val="22"/>
                <w:szCs w:val="22"/>
                <w:color w:val="auto"/>
              </w:rPr>
            </w:pPr>
          </w:p>
        </w:tc>
        <w:tc>
          <w:tcPr>
            <w:tcW w:w="8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earnings available to common shareholders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97.0</w:t>
            </w:r>
          </w:p>
        </w:tc>
      </w:tr>
      <w:tr>
        <w:trPr>
          <w:trHeight w:val="20"/>
        </w:trPr>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311"/>
        </w:trPr>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0"/>
        </w:trPr>
        <w:tc>
          <w:tcPr>
            <w:tcW w:w="120" w:type="dxa"/>
            <w:vAlign w:val="bottom"/>
          </w:tcPr>
          <w:p>
            <w:pPr>
              <w:spacing w:after="0"/>
              <w:rPr>
                <w:sz w:val="21"/>
                <w:szCs w:val="21"/>
                <w:color w:val="auto"/>
              </w:rPr>
            </w:pPr>
          </w:p>
        </w:tc>
        <w:tc>
          <w:tcPr>
            <w:tcW w:w="8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(in millions)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80" w:type="dxa"/>
            <w:vAlign w:val="bottom"/>
            <w:gridSpan w:val="2"/>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66.3</w:t>
            </w:r>
          </w:p>
        </w:tc>
      </w:tr>
      <w:tr>
        <w:trPr>
          <w:trHeight w:val="27"/>
        </w:trPr>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Effect of dilutive securities - 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43"/>
        </w:trPr>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80" w:type="dxa"/>
            <w:vAlign w:val="bottom"/>
            <w:gridSpan w:val="2"/>
          </w:tcPr>
          <w:p>
            <w:pPr>
              <w:ind w:left="260"/>
              <w:spacing w:after="0"/>
              <w:rPr>
                <w:sz w:val="20"/>
                <w:szCs w:val="20"/>
                <w:color w:val="auto"/>
              </w:rPr>
            </w:pPr>
            <w:r>
              <w:rPr>
                <w:rFonts w:ascii="Arial" w:cs="Arial" w:eastAsia="Arial" w:hAnsi="Arial"/>
                <w:sz w:val="18"/>
                <w:szCs w:val="18"/>
                <w:color w:val="auto"/>
              </w:rPr>
              <w:t>Effect of other share-based awards</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120" w:type="dxa"/>
            <w:vAlign w:val="bottom"/>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1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66.9</w:t>
            </w:r>
          </w:p>
        </w:tc>
      </w:tr>
      <w:tr>
        <w:trPr>
          <w:trHeight w:val="20"/>
        </w:trPr>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311"/>
        </w:trPr>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64"/>
        </w:trPr>
        <w:tc>
          <w:tcPr>
            <w:tcW w:w="120" w:type="dxa"/>
            <w:vAlign w:val="bottom"/>
          </w:tcPr>
          <w:p>
            <w:pPr>
              <w:spacing w:after="0"/>
              <w:rPr>
                <w:sz w:val="22"/>
                <w:szCs w:val="22"/>
                <w:color w:val="auto"/>
              </w:rPr>
            </w:pPr>
          </w:p>
        </w:tc>
        <w:tc>
          <w:tcPr>
            <w:tcW w:w="882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Net earnings per share - basic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0.88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r>
      <w:tr>
        <w:trPr>
          <w:trHeight w:val="20"/>
        </w:trPr>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51"/>
        </w:trPr>
        <w:tc>
          <w:tcPr>
            <w:tcW w:w="120" w:type="dxa"/>
            <w:vAlign w:val="bottom"/>
          </w:tcPr>
          <w:p>
            <w:pPr>
              <w:spacing w:after="0"/>
              <w:rPr>
                <w:sz w:val="21"/>
                <w:szCs w:val="21"/>
                <w:color w:val="auto"/>
              </w:rPr>
            </w:pPr>
          </w:p>
        </w:tc>
        <w:tc>
          <w:tcPr>
            <w:tcW w:w="8820" w:type="dxa"/>
            <w:vAlign w:val="bottom"/>
            <w:gridSpan w:val="3"/>
          </w:tcPr>
          <w:p>
            <w:pPr>
              <w:ind w:left="80"/>
              <w:spacing w:after="0"/>
              <w:rPr>
                <w:sz w:val="20"/>
                <w:szCs w:val="20"/>
                <w:color w:val="auto"/>
              </w:rPr>
            </w:pPr>
            <w:r>
              <w:rPr>
                <w:rFonts w:ascii="Arial" w:cs="Arial" w:eastAsia="Arial" w:hAnsi="Arial"/>
                <w:sz w:val="18"/>
                <w:szCs w:val="18"/>
                <w:color w:val="auto"/>
              </w:rPr>
              <w:t>Net earnings per share - diluted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0.88</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w:t>
            </w:r>
          </w:p>
        </w:tc>
      </w:tr>
      <w:tr>
        <w:trPr>
          <w:trHeight w:val="20"/>
        </w:trPr>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There were 0.6 million and 0.1 million share-based awards excluded from the calculation of net earnings per share – diluted for the three months ended March 31, 2019 and 2018, respectively, because their impact was anti-dilutive.</w:t>
      </w:r>
    </w:p>
    <w:p>
      <w:pPr>
        <w:spacing w:after="0" w:line="170"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Goodwill and 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goodwill, finite-lived intangible assets and indefinite-lived intangible assets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March 31, 2019</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December 31, 2018</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Accumulated</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Gross</w:t>
            </w:r>
          </w:p>
        </w:tc>
        <w:tc>
          <w:tcPr>
            <w:tcW w:w="14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Amortization</w:t>
            </w:r>
          </w:p>
        </w:tc>
        <w:tc>
          <w:tcPr>
            <w:tcW w:w="300" w:type="dxa"/>
            <w:vAlign w:val="bottom"/>
          </w:tcPr>
          <w:p>
            <w:pPr>
              <w:spacing w:after="0"/>
              <w:rPr>
                <w:sz w:val="20"/>
                <w:szCs w:val="20"/>
                <w:color w:val="auto"/>
              </w:rPr>
            </w:pPr>
          </w:p>
        </w:tc>
        <w:tc>
          <w:tcPr>
            <w:tcW w:w="106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w:t>
            </w:r>
          </w:p>
        </w:tc>
        <w:tc>
          <w:tcPr>
            <w:tcW w:w="26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Gross</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300" w:type="dxa"/>
            <w:vAlign w:val="bottom"/>
          </w:tcPr>
          <w:p>
            <w:pPr>
              <w:spacing w:after="0"/>
              <w:rPr>
                <w:sz w:val="20"/>
                <w:szCs w:val="20"/>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r>
              <w:rPr>
                <w:rFonts w:ascii="Arial" w:cs="Arial" w:eastAsia="Arial" w:hAnsi="Arial"/>
                <w:sz w:val="21"/>
                <w:szCs w:val="21"/>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1,293.6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1,293.6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1,297.1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1,297.1</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Intangible assets: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9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Finite-lived:</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30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443.1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357.5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444.8</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351.7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461.2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373.8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463.3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367.7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Indefinite-lived:</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980" w:type="dxa"/>
            <w:vAlign w:val="bottom"/>
          </w:tcPr>
          <w:p>
            <w:pPr>
              <w:ind w:left="380"/>
              <w:spacing w:after="0"/>
              <w:rPr>
                <w:sz w:val="20"/>
                <w:szCs w:val="20"/>
                <w:color w:val="auto"/>
              </w:rPr>
            </w:pPr>
            <w:r>
              <w:rPr>
                <w:rFonts w:ascii="Arial" w:cs="Arial" w:eastAsia="Arial" w:hAnsi="Arial"/>
                <w:sz w:val="18"/>
                <w:szCs w:val="18"/>
                <w:color w:val="auto"/>
              </w:rPr>
              <w:t>Tradenames</w:t>
            </w:r>
            <w:r>
              <w:rPr>
                <w:rFonts w:ascii="Arial" w:cs="Arial" w:eastAsia="Arial" w:hAnsi="Arial"/>
                <w:sz w:val="21"/>
                <w:szCs w:val="21"/>
                <w:color w:val="auto"/>
                <w:vertAlign w:val="superscript"/>
              </w:rPr>
              <w:t>(2)</w:t>
            </w:r>
          </w:p>
        </w:tc>
        <w:tc>
          <w:tcPr>
            <w:tcW w:w="28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70"/>
        </w:trPr>
        <w:tc>
          <w:tcPr>
            <w:tcW w:w="2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Reacquired franchise rights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612.0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373.8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238.2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367.7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Balances were net of accumulated impairment loss of $513.4 as of both March 31, 2019 and December 31, 2018.</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Balances were net of accumulated impairment loss of $139.5 as of both March 31, 2019 and December 31, 2018.</w:t>
      </w:r>
    </w:p>
    <w:p>
      <w:pPr>
        <w:spacing w:after="0" w:line="2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Total consolidated amortization expense related to intangible assets for the remainder of 2019 is expected to be $21.6 and in each of the next five years is expected to be as follows: 2020 - $24.1, 2021 - $13.2, 2022 - $9.7, 2023 - $7.6 and 2024 - $6.3.</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5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Changes in the carrying value of goodwill by reportable segment and Corporate were as follows:</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Southern</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Northern</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Right</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61"/>
        </w:trPr>
        <w:tc>
          <w:tcPr>
            <w:tcW w:w="2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Americas</w:t>
            </w:r>
            <w:r>
              <w:rPr>
                <w:rFonts w:ascii="Arial" w:cs="Arial" w:eastAsia="Arial" w:hAnsi="Arial"/>
                <w:sz w:val="21"/>
                <w:szCs w:val="21"/>
                <w:color w:val="auto"/>
                <w:vertAlign w:val="superscript"/>
              </w:rPr>
              <w:t>(1)</w:t>
            </w:r>
          </w:p>
        </w:tc>
        <w:tc>
          <w:tcPr>
            <w:tcW w:w="160" w:type="dxa"/>
            <w:vAlign w:val="bottom"/>
          </w:tcPr>
          <w:p>
            <w:pPr>
              <w:spacing w:after="0"/>
              <w:rPr>
                <w:sz w:val="22"/>
                <w:szCs w:val="22"/>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Europe</w:t>
            </w:r>
            <w:r>
              <w:rPr>
                <w:rFonts w:ascii="Arial" w:cs="Arial" w:eastAsia="Arial" w:hAnsi="Arial"/>
                <w:sz w:val="21"/>
                <w:szCs w:val="21"/>
                <w:color w:val="auto"/>
                <w:vertAlign w:val="superscript"/>
              </w:rPr>
              <w:t>(2)</w:t>
            </w:r>
          </w:p>
        </w:tc>
        <w:tc>
          <w:tcPr>
            <w:tcW w:w="160" w:type="dxa"/>
            <w:vAlign w:val="bottom"/>
          </w:tcPr>
          <w:p>
            <w:pPr>
              <w:spacing w:after="0"/>
              <w:rPr>
                <w:sz w:val="22"/>
                <w:szCs w:val="22"/>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Europe</w:t>
            </w:r>
          </w:p>
        </w:tc>
        <w:tc>
          <w:tcPr>
            <w:tcW w:w="160" w:type="dxa"/>
            <w:vAlign w:val="bottom"/>
          </w:tcPr>
          <w:p>
            <w:pPr>
              <w:spacing w:after="0"/>
              <w:rPr>
                <w:sz w:val="22"/>
                <w:szCs w:val="22"/>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b w:val="1"/>
                <w:bCs w:val="1"/>
                <w:color w:val="auto"/>
              </w:rPr>
              <w:t>APME</w:t>
            </w:r>
          </w:p>
        </w:tc>
        <w:tc>
          <w:tcPr>
            <w:tcW w:w="180" w:type="dxa"/>
            <w:vAlign w:val="bottom"/>
          </w:tcPr>
          <w:p>
            <w:pPr>
              <w:spacing w:after="0"/>
              <w:rPr>
                <w:sz w:val="22"/>
                <w:szCs w:val="22"/>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Management</w:t>
            </w:r>
          </w:p>
        </w:tc>
        <w:tc>
          <w:tcPr>
            <w:tcW w:w="140" w:type="dxa"/>
            <w:vAlign w:val="bottom"/>
          </w:tcPr>
          <w:p>
            <w:pPr>
              <w:spacing w:after="0"/>
              <w:rPr>
                <w:sz w:val="22"/>
                <w:szCs w:val="22"/>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rPr>
              <w:t>Corporate</w:t>
            </w:r>
            <w:r>
              <w:rPr>
                <w:rFonts w:ascii="Arial" w:cs="Arial" w:eastAsia="Arial" w:hAnsi="Arial"/>
                <w:sz w:val="21"/>
                <w:szCs w:val="21"/>
                <w:color w:val="auto"/>
                <w:vertAlign w:val="superscript"/>
              </w:rPr>
              <w:t>(3)</w:t>
            </w:r>
          </w:p>
        </w:tc>
        <w:tc>
          <w:tcPr>
            <w:tcW w:w="200" w:type="dxa"/>
            <w:vAlign w:val="bottom"/>
          </w:tcPr>
          <w:p>
            <w:pPr>
              <w:spacing w:after="0"/>
              <w:rPr>
                <w:sz w:val="22"/>
                <w:szCs w:val="22"/>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r>
      <w:tr>
        <w:trPr>
          <w:trHeight w:val="244"/>
        </w:trPr>
        <w:tc>
          <w:tcPr>
            <w:tcW w:w="2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2018</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1,297.1</w:t>
            </w: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Goodwill acquired</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and other impacts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57"/>
        </w:trPr>
        <w:tc>
          <w:tcPr>
            <w:tcW w:w="2460" w:type="dxa"/>
            <w:vAlign w:val="bottom"/>
          </w:tcPr>
          <w:p>
            <w:pPr>
              <w:ind w:left="40"/>
              <w:spacing w:after="0"/>
              <w:rPr>
                <w:sz w:val="20"/>
                <w:szCs w:val="20"/>
                <w:color w:val="auto"/>
              </w:rPr>
            </w:pPr>
            <w:r>
              <w:rPr>
                <w:rFonts w:ascii="Arial" w:cs="Arial" w:eastAsia="Arial" w:hAnsi="Arial"/>
                <w:sz w:val="18"/>
                <w:szCs w:val="18"/>
                <w:color w:val="auto"/>
              </w:rPr>
              <w:t>Balance, March 31, 2019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521.1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432.6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1,293.6</w:t>
            </w:r>
          </w:p>
        </w:tc>
      </w:tr>
      <w:tr>
        <w:trPr>
          <w:trHeight w:val="20"/>
        </w:trPr>
        <w:tc>
          <w:tcPr>
            <w:tcW w:w="2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Balances related to the United States were $476.5 as of both December 31, 2018 and March 31, 2019.</w:t>
      </w:r>
    </w:p>
    <w:p>
      <w:pPr>
        <w:spacing w:after="0" w:line="23" w:lineRule="exact"/>
        <w:rPr>
          <w:rFonts w:ascii="Arial" w:cs="Arial" w:eastAsia="Arial" w:hAnsi="Arial"/>
          <w:sz w:val="18"/>
          <w:szCs w:val="18"/>
          <w:color w:val="auto"/>
        </w:rPr>
      </w:pPr>
    </w:p>
    <w:p>
      <w:pPr>
        <w:ind w:firstLine="8"/>
        <w:spacing w:after="0" w:line="250"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Balances related to France were $68.9 and $67.4 as of December 31, 2018 and March 31, 2019, respectively. Balances related to Italy were $4.8 and $4.6 as of December 31, 2018 and March 31, 2019, respectively.</w:t>
      </w:r>
    </w:p>
    <w:p>
      <w:pPr>
        <w:jc w:val="both"/>
        <w:ind w:right="40" w:firstLine="8"/>
        <w:spacing w:after="0" w:line="254"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majority of the Corporate balance relates to goodwill attributable to our acquisition of Jefferson Wells ($55.5) which is now part of the United States reporting unit. For purposes of monitoring our total assets by segment, we do not allocate the Corporate balance to the respective reportable segments as this is commensurate with how we operate our business. We do, however, include these balances within the appropriate reporting units for our goodwill impairment testing. See table below for the breakout of goodwill balances by reporting unit.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5"/>
          </w:tcPr>
          <w:p>
            <w:pPr>
              <w:spacing w:after="0"/>
              <w:rPr>
                <w:sz w:val="20"/>
                <w:szCs w:val="20"/>
                <w:color w:val="auto"/>
              </w:rPr>
            </w:pPr>
            <w:r>
              <w:rPr>
                <w:rFonts w:ascii="Arial" w:cs="Arial" w:eastAsia="Arial" w:hAnsi="Arial"/>
                <w:sz w:val="18"/>
                <w:szCs w:val="18"/>
                <w:color w:val="auto"/>
              </w:rPr>
              <w:t>Goodwill balances by reporting unit were as follows:</w:t>
            </w: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3"/>
          </w:tcPr>
          <w:p>
            <w:pPr>
              <w:ind w:left="80"/>
              <w:spacing w:after="0"/>
              <w:rPr>
                <w:sz w:val="20"/>
                <w:szCs w:val="20"/>
                <w:color w:val="auto"/>
              </w:rPr>
            </w:pPr>
            <w:r>
              <w:rPr>
                <w:rFonts w:ascii="Arial" w:cs="Arial" w:eastAsia="Arial" w:hAnsi="Arial"/>
                <w:sz w:val="18"/>
                <w:szCs w:val="18"/>
                <w:b w:val="1"/>
                <w:bCs w:val="1"/>
                <w:color w:val="auto"/>
              </w:rPr>
              <w:t>March 31,</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w w:val="88"/>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532.0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532.0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980" w:type="dxa"/>
            <w:vAlign w:val="bottom"/>
            <w:gridSpan w:val="3"/>
          </w:tcPr>
          <w:p>
            <w:pPr>
              <w:ind w:left="20"/>
              <w:spacing w:after="0"/>
              <w:rPr>
                <w:sz w:val="20"/>
                <w:szCs w:val="20"/>
                <w:color w:val="auto"/>
              </w:rPr>
            </w:pPr>
            <w:r>
              <w:rPr>
                <w:rFonts w:ascii="Arial" w:cs="Arial" w:eastAsia="Arial" w:hAnsi="Arial"/>
                <w:sz w:val="18"/>
                <w:szCs w:val="18"/>
                <w:color w:val="auto"/>
              </w:rPr>
              <w:t>Germany</w:t>
            </w:r>
          </w:p>
        </w:tc>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126.9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129.2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Netherlands</w:t>
            </w: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980" w:type="dxa"/>
            <w:vAlign w:val="bottom"/>
            <w:gridSpan w:val="3"/>
          </w:tcPr>
          <w:p>
            <w:pPr>
              <w:ind w:left="20"/>
              <w:spacing w:after="0"/>
              <w:rPr>
                <w:sz w:val="20"/>
                <w:szCs w:val="20"/>
                <w:color w:val="auto"/>
              </w:rPr>
            </w:pPr>
            <w:r>
              <w:rPr>
                <w:rFonts w:ascii="Arial" w:cs="Arial" w:eastAsia="Arial" w:hAnsi="Arial"/>
                <w:sz w:val="18"/>
                <w:szCs w:val="18"/>
                <w:color w:val="auto"/>
              </w:rPr>
              <w:t>United Kingdom</w:t>
            </w:r>
          </w:p>
        </w:tc>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95.7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93.7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France</w:t>
            </w: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980" w:type="dxa"/>
            <w:vAlign w:val="bottom"/>
            <w:gridSpan w:val="3"/>
          </w:tcPr>
          <w:p>
            <w:pPr>
              <w:ind w:left="20"/>
              <w:spacing w:after="0"/>
              <w:rPr>
                <w:sz w:val="20"/>
                <w:szCs w:val="20"/>
                <w:color w:val="auto"/>
              </w:rPr>
            </w:pPr>
            <w:r>
              <w:rPr>
                <w:rFonts w:ascii="Arial" w:cs="Arial" w:eastAsia="Arial" w:hAnsi="Arial"/>
                <w:sz w:val="18"/>
                <w:szCs w:val="18"/>
                <w:color w:val="auto"/>
              </w:rPr>
              <w:t>Right Management</w:t>
            </w:r>
          </w:p>
        </w:tc>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62.1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Other reporting units</w:t>
            </w:r>
          </w:p>
        </w:tc>
        <w:tc>
          <w:tcPr>
            <w:tcW w:w="9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299.2</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0" w:type="dxa"/>
            <w:vAlign w:val="bottom"/>
            <w:gridSpan w:val="2"/>
          </w:tcPr>
          <w:p>
            <w:pPr>
              <w:ind w:left="400"/>
              <w:spacing w:after="0"/>
              <w:rPr>
                <w:sz w:val="20"/>
                <w:szCs w:val="20"/>
                <w:color w:val="auto"/>
              </w:rPr>
            </w:pPr>
            <w:r>
              <w:rPr>
                <w:rFonts w:ascii="Arial" w:cs="Arial" w:eastAsia="Arial" w:hAnsi="Arial"/>
                <w:sz w:val="18"/>
                <w:szCs w:val="18"/>
                <w:color w:val="auto"/>
              </w:rPr>
              <w:t>Total goodwill</w:t>
            </w:r>
          </w:p>
        </w:tc>
        <w:tc>
          <w:tcPr>
            <w:tcW w:w="9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1,293.6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1,297.1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gridSpan w:val="5"/>
            <w:vMerge w:val="restart"/>
          </w:tcPr>
          <w:p>
            <w:pPr>
              <w:spacing w:after="0"/>
              <w:rPr>
                <w:sz w:val="20"/>
                <w:szCs w:val="20"/>
                <w:color w:val="auto"/>
              </w:rPr>
            </w:pPr>
            <w:r>
              <w:rPr>
                <w:rFonts w:ascii="Arial" w:cs="Arial" w:eastAsia="Arial" w:hAnsi="Arial"/>
                <w:sz w:val="18"/>
                <w:szCs w:val="18"/>
                <w:color w:val="auto"/>
              </w:rPr>
              <w:t>(10) Retirement Plans</w:t>
            </w: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160" w:type="dxa"/>
            <w:vAlign w:val="bottom"/>
            <w:gridSpan w:val="5"/>
            <w:vMerge w:val="continue"/>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gridSpan w:val="3"/>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140" w:type="dxa"/>
            <w:vAlign w:val="bottom"/>
            <w:gridSpan w:val="6"/>
          </w:tcPr>
          <w:p>
            <w:pPr>
              <w:spacing w:after="0"/>
              <w:rPr>
                <w:sz w:val="20"/>
                <w:szCs w:val="20"/>
                <w:color w:val="auto"/>
              </w:rPr>
            </w:pPr>
            <w:r>
              <w:rPr>
                <w:rFonts w:ascii="Arial" w:cs="Arial" w:eastAsia="Arial" w:hAnsi="Arial"/>
                <w:sz w:val="18"/>
                <w:szCs w:val="18"/>
                <w:color w:val="auto"/>
                <w:w w:val="99"/>
              </w:rPr>
              <w:t>The components of the net periodic benefit cost for our plans were as follows: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20" w:type="dxa"/>
            <w:vAlign w:val="bottom"/>
            <w:gridSpan w:val="7"/>
          </w:tcPr>
          <w:p>
            <w:pPr>
              <w:jc w:val="center"/>
              <w:ind w:right="340"/>
              <w:spacing w:after="0"/>
              <w:rPr>
                <w:sz w:val="20"/>
                <w:szCs w:val="20"/>
                <w:color w:val="auto"/>
              </w:rPr>
            </w:pPr>
            <w:r>
              <w:rPr>
                <w:rFonts w:ascii="Arial" w:cs="Arial" w:eastAsia="Arial" w:hAnsi="Arial"/>
                <w:sz w:val="18"/>
                <w:szCs w:val="18"/>
                <w:b w:val="1"/>
                <w:bCs w:val="1"/>
                <w:color w:val="auto"/>
                <w:w w:val="93"/>
              </w:rPr>
              <w:t>3 Months Ended March 31,</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000" w:type="dxa"/>
            <w:vAlign w:val="bottom"/>
            <w:tcBorders>
              <w:bottom w:val="single" w:sz="8" w:color="auto"/>
            </w:tcBorders>
            <w:gridSpan w:val="5"/>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6"/>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3000" w:type="dxa"/>
            <w:vAlign w:val="bottom"/>
            <w:gridSpan w:val="5"/>
          </w:tcPr>
          <w:p>
            <w:pPr>
              <w:jc w:val="right"/>
              <w:ind w:right="250"/>
              <w:spacing w:after="0"/>
              <w:rPr>
                <w:sz w:val="20"/>
                <w:szCs w:val="20"/>
                <w:color w:val="auto"/>
              </w:rPr>
            </w:pPr>
            <w:r>
              <w:rPr>
                <w:rFonts w:ascii="Arial" w:cs="Arial" w:eastAsia="Arial" w:hAnsi="Arial"/>
                <w:sz w:val="18"/>
                <w:szCs w:val="18"/>
                <w:b w:val="1"/>
                <w:bCs w:val="1"/>
                <w:color w:val="auto"/>
              </w:rPr>
              <w:t>Defined Benefit Pension Plans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20" w:type="dxa"/>
            <w:vAlign w:val="bottom"/>
            <w:gridSpan w:val="6"/>
          </w:tcPr>
          <w:p>
            <w:pPr>
              <w:jc w:val="right"/>
              <w:ind w:right="410"/>
              <w:spacing w:after="0"/>
              <w:rPr>
                <w:sz w:val="20"/>
                <w:szCs w:val="20"/>
                <w:color w:val="auto"/>
              </w:rPr>
            </w:pPr>
            <w:r>
              <w:rPr>
                <w:rFonts w:ascii="Arial" w:cs="Arial" w:eastAsia="Arial" w:hAnsi="Arial"/>
                <w:sz w:val="18"/>
                <w:szCs w:val="18"/>
                <w:b w:val="1"/>
                <w:bCs w:val="1"/>
                <w:color w:val="auto"/>
              </w:rPr>
              <w:t>Retiree Health Care Plan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5040" w:type="dxa"/>
            <w:vAlign w:val="bottom"/>
            <w:gridSpan w:val="4"/>
          </w:tcPr>
          <w:p>
            <w:pPr>
              <w:ind w:left="20"/>
              <w:spacing w:after="0"/>
              <w:rPr>
                <w:sz w:val="20"/>
                <w:szCs w:val="20"/>
                <w:color w:val="auto"/>
              </w:rPr>
            </w:pPr>
            <w:r>
              <w:rPr>
                <w:rFonts w:ascii="Arial" w:cs="Arial" w:eastAsia="Arial" w:hAnsi="Arial"/>
                <w:sz w:val="18"/>
                <w:szCs w:val="18"/>
                <w:color w:val="auto"/>
              </w:rPr>
              <w:t>Service cost</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50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5040" w:type="dxa"/>
            <w:vAlign w:val="bottom"/>
            <w:gridSpan w:val="4"/>
          </w:tcPr>
          <w:p>
            <w:pPr>
              <w:ind w:left="20"/>
              <w:spacing w:after="0"/>
              <w:rPr>
                <w:sz w:val="20"/>
                <w:szCs w:val="20"/>
                <w:color w:val="auto"/>
              </w:rPr>
            </w:pPr>
            <w:r>
              <w:rPr>
                <w:rFonts w:ascii="Arial" w:cs="Arial" w:eastAsia="Arial" w:hAnsi="Arial"/>
                <w:sz w:val="18"/>
                <w:szCs w:val="18"/>
                <w:color w:val="auto"/>
              </w:rPr>
              <w:t>Expected return on assets</w:t>
            </w:r>
          </w:p>
        </w:tc>
        <w:tc>
          <w:tcPr>
            <w:tcW w:w="9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 w:type="dxa"/>
            <w:vAlign w:val="bottom"/>
          </w:tcPr>
          <w:p>
            <w:pPr>
              <w:spacing w:after="0"/>
              <w:rPr>
                <w:sz w:val="23"/>
                <w:szCs w:val="23"/>
                <w:color w:val="auto"/>
              </w:rPr>
            </w:pPr>
          </w:p>
        </w:tc>
        <w:tc>
          <w:tcPr>
            <w:tcW w:w="50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0" w:type="dxa"/>
            <w:vAlign w:val="bottom"/>
            <w:gridSpan w:val="2"/>
          </w:tcPr>
          <w:p>
            <w:pPr>
              <w:ind w:left="280"/>
              <w:spacing w:after="0"/>
              <w:rPr>
                <w:sz w:val="20"/>
                <w:szCs w:val="20"/>
                <w:color w:val="auto"/>
              </w:rPr>
            </w:pPr>
            <w:r>
              <w:rPr>
                <w:rFonts w:ascii="Arial" w:cs="Arial" w:eastAsia="Arial" w:hAnsi="Arial"/>
                <w:sz w:val="18"/>
                <w:szCs w:val="18"/>
                <w:color w:val="auto"/>
              </w:rPr>
              <w:t>Total benefit cost (credit)</w:t>
            </w: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4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During the three months ended March 31, 2019, contributions made to our pension plans were $1.5 and contributions made to our retiree health care plan were $0.3. During 2019, we expect to make total contributions of approximately $7.9 to our pension plans and to fund our retiree health care payments as incurred.</w:t>
      </w: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240" w:top="368"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8460" w:type="dxa"/>
            <w:vAlign w:val="bottom"/>
            <w:gridSpan w:val="3"/>
          </w:tcPr>
          <w:p>
            <w:pPr>
              <w:spacing w:after="0"/>
              <w:rPr>
                <w:sz w:val="20"/>
                <w:szCs w:val="20"/>
                <w:color w:val="auto"/>
              </w:rPr>
            </w:pPr>
            <w:r>
              <w:rPr>
                <w:rFonts w:ascii="Arial" w:cs="Arial" w:eastAsia="Arial" w:hAnsi="Arial"/>
                <w:sz w:val="18"/>
                <w:szCs w:val="18"/>
                <w:color w:val="auto"/>
              </w:rPr>
              <w:t>(11) Shareholders’ Equity</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53"/>
        </w:trPr>
        <w:tc>
          <w:tcPr>
            <w:tcW w:w="8460" w:type="dxa"/>
            <w:vAlign w:val="bottom"/>
            <w:gridSpan w:val="3"/>
          </w:tcPr>
          <w:p>
            <w:pPr>
              <w:spacing w:after="0"/>
              <w:rPr>
                <w:sz w:val="20"/>
                <w:szCs w:val="20"/>
                <w:color w:val="auto"/>
              </w:rPr>
            </w:pPr>
            <w:r>
              <w:rPr>
                <w:rFonts w:ascii="Arial" w:cs="Arial" w:eastAsia="Arial" w:hAnsi="Arial"/>
                <w:sz w:val="18"/>
                <w:szCs w:val="18"/>
                <w:color w:val="auto"/>
              </w:rPr>
              <w:t>The components of accumulated other comprehensive loss, net of tax, were as follows: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40" w:type="dxa"/>
            <w:vAlign w:val="bottom"/>
          </w:tcPr>
          <w:p>
            <w:pPr>
              <w:spacing w:after="0"/>
              <w:rPr>
                <w:sz w:val="24"/>
                <w:szCs w:val="24"/>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December 31,</w:t>
            </w:r>
          </w:p>
        </w:tc>
      </w:tr>
      <w:tr>
        <w:trPr>
          <w:trHeight w:val="270"/>
        </w:trPr>
        <w:tc>
          <w:tcPr>
            <w:tcW w:w="3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6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34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(223.2)</w:t>
            </w:r>
          </w:p>
        </w:tc>
      </w:tr>
      <w:tr>
        <w:trPr>
          <w:trHeight w:val="243"/>
        </w:trPr>
        <w:tc>
          <w:tcPr>
            <w:tcW w:w="8460" w:type="dxa"/>
            <w:vAlign w:val="bottom"/>
            <w:gridSpan w:val="3"/>
          </w:tcPr>
          <w:p>
            <w:pPr>
              <w:ind w:left="40"/>
              <w:spacing w:after="0"/>
              <w:rPr>
                <w:sz w:val="20"/>
                <w:szCs w:val="20"/>
                <w:color w:val="auto"/>
              </w:rPr>
            </w:pPr>
            <w:r>
              <w:rPr>
                <w:rFonts w:ascii="Arial" w:cs="Arial" w:eastAsia="Arial" w:hAnsi="Arial"/>
                <w:sz w:val="18"/>
                <w:szCs w:val="18"/>
                <w:color w:val="auto"/>
              </w:rPr>
              <w:t>Translation gain (loss) on net investment hedge, net of income taxes of $(7.8) and $(12.9), respectively</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Translation loss on long-term intercompany loans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w:t>
            </w:r>
          </w:p>
        </w:tc>
      </w:tr>
      <w:tr>
        <w:trPr>
          <w:trHeight w:val="243"/>
        </w:trPr>
        <w:tc>
          <w:tcPr>
            <w:tcW w:w="8460" w:type="dxa"/>
            <w:vAlign w:val="bottom"/>
            <w:gridSpan w:val="3"/>
          </w:tcPr>
          <w:p>
            <w:pPr>
              <w:ind w:left="40"/>
              <w:spacing w:after="0"/>
              <w:rPr>
                <w:sz w:val="20"/>
                <w:szCs w:val="20"/>
                <w:color w:val="auto"/>
              </w:rPr>
            </w:pPr>
            <w:r>
              <w:rPr>
                <w:rFonts w:ascii="Arial" w:cs="Arial" w:eastAsia="Arial" w:hAnsi="Arial"/>
                <w:sz w:val="18"/>
                <w:szCs w:val="18"/>
                <w:color w:val="auto"/>
              </w:rPr>
              <w:t>Defined benefit pension plans, net of income taxes of $(23.1) and $(23.2), respectively</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(37.9)</w:t>
            </w:r>
          </w:p>
        </w:tc>
      </w:tr>
      <w:tr>
        <w:trPr>
          <w:trHeight w:val="27"/>
        </w:trPr>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Retiree health care plan, net of income taxes of $2.0 for both 2019 and 2018</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57"/>
        </w:trPr>
        <w:tc>
          <w:tcPr>
            <w:tcW w:w="340" w:type="dxa"/>
            <w:vAlign w:val="bottom"/>
          </w:tcPr>
          <w:p>
            <w:pPr>
              <w:spacing w:after="0"/>
              <w:rPr>
                <w:sz w:val="22"/>
                <w:szCs w:val="22"/>
                <w:color w:val="auto"/>
              </w:rPr>
            </w:pPr>
          </w:p>
        </w:tc>
        <w:tc>
          <w:tcPr>
            <w:tcW w:w="8120" w:type="dxa"/>
            <w:vAlign w:val="bottom"/>
            <w:gridSpan w:val="2"/>
          </w:tcPr>
          <w:p>
            <w:pPr>
              <w:ind w:left="22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(399.8)</w:t>
            </w:r>
          </w:p>
        </w:tc>
      </w:tr>
      <w:tr>
        <w:trPr>
          <w:trHeight w:val="20"/>
        </w:trPr>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w:t>
      </w:r>
    </w:p>
    <w:p>
      <w:pPr>
        <w:spacing w:after="0" w:line="225"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Noncontrolling interests, included in total shareholders' equity in our Consolidated Balance Sheets, represent amounts related to majority-owned subsidiaries in which we have a controlling financial interest. Net earnings attributable to these noncontrolling interests are recorded in interest and other expenses in our Consolidated Statements of Operations. We recorded expenses of $1.0 and $1.2 for the three months ended March 31, 2019 and 2018,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2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In August 2018, the Board of Directors authorized the repurchase of 6.0 million shares of our common stock. This authorization is in addition to the July 2016 Board authorization to repurchase 6.0 million shares of our common stock. Share repurchases may be made from time to time through a variety of methods, including open market purchases, block transactions, privately negotiated transactions or similar facilities. During the first quarter of 2019, we repurchased a total of 1.2 million shares at a cost of $101.0 under the 2018 authorization. During the first quarter of 2018, we repurchased 0.4 million shares at a cost of $50.1 under the 2016 authorization. As of March 31, 2019, there were 1.9 million shares remaining authorized for repurchase under the 2018 authorization and no shares remaining authorized for repurchase under the 2016 authorization.</w:t>
      </w:r>
    </w:p>
    <w:p>
      <w:pPr>
        <w:spacing w:after="0" w:line="138"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Interest and Other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expenses consisted of the following:</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3 Months Ended</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4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ind w:right="290"/>
              <w:spacing w:after="0"/>
              <w:rPr>
                <w:sz w:val="20"/>
                <w:szCs w:val="20"/>
                <w:color w:val="auto"/>
              </w:rPr>
            </w:pPr>
            <w:r>
              <w:rPr>
                <w:rFonts w:ascii="Arial" w:cs="Arial" w:eastAsia="Arial" w:hAnsi="Arial"/>
                <w:sz w:val="18"/>
                <w:szCs w:val="18"/>
                <w:b w:val="1"/>
                <w:bCs w:val="1"/>
                <w:color w:val="auto"/>
                <w:w w:val="84"/>
              </w:rPr>
              <w:t>2018</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4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4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loss (gain)</w:t>
            </w:r>
          </w:p>
        </w:tc>
        <w:tc>
          <w:tcPr>
            <w:tcW w:w="4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Miscellaneous expense, net</w:t>
            </w:r>
          </w:p>
        </w:tc>
        <w:tc>
          <w:tcPr>
            <w:tcW w:w="4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Interest and other expenses</w:t>
            </w:r>
          </w:p>
        </w:tc>
        <w:tc>
          <w:tcPr>
            <w:tcW w:w="4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bottom w:val="single" w:sz="8" w:color="CCEEFF"/>
            </w:tcBorders>
            <w:vMerge w:val="restart"/>
          </w:tcPr>
          <w:p>
            <w:pPr>
              <w:jc w:val="right"/>
              <w:ind w:right="2790"/>
              <w:spacing w:after="0"/>
              <w:rPr>
                <w:sz w:val="20"/>
                <w:szCs w:val="20"/>
                <w:color w:val="auto"/>
              </w:rPr>
            </w:pPr>
            <w:r>
              <w:rPr>
                <w:rFonts w:ascii="Arial" w:cs="Arial" w:eastAsia="Arial" w:hAnsi="Arial"/>
                <w:sz w:val="18"/>
                <w:szCs w:val="18"/>
                <w:color w:val="auto"/>
              </w:rPr>
              <w:t>15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4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51" w:right="239" w:bottom="1440" w:gutter="0" w:footer="0" w:header="0"/>
        </w:sectPr>
      </w:pPr>
    </w:p>
    <w:bookmarkStart w:id="15" w:name="page16"/>
    <w:bookmarkEnd w:id="15"/>
    <w:p>
      <w:pPr>
        <w:ind w:left="360" w:hanging="352"/>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Derivative Financial Instruments and Fair Value Measurements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exposed to various market risks relating to our ongoing business operations. The primary market risks, which are managed through the use of derivative instruments, are foreign currency exchange rate risk and interest rate risk. In certain circumstances, we enter into foreign currency forward exchange contracts (“forward contracts”)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w:t>
      </w:r>
    </w:p>
    <w:p>
      <w:pPr>
        <w:spacing w:after="0" w:line="18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€400.0 ($446.9) notes due September 2022 and the €500.0 ($555.5) notes due June 2026 were designated as a hedge of our net investment in our foreign subsidiaries with a Euro-functional currency as of March 31, 2019. The gain or loss associated with foreign currency translation on these notes is recorded as a component of accumulated other comprehensive loss ("AOCI"), net of taxes. On occasion, forward contracts are also designated as a hedge of our net investment in our foreign subsidiaries. The effect of our net investment hedges on AOCI for the three months ended March 31 was as follows:</w:t>
      </w:r>
    </w:p>
    <w:p>
      <w:pPr>
        <w:spacing w:after="0" w:line="96"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Gain (Loss) Recognized in Other</w:t>
            </w:r>
          </w:p>
        </w:tc>
      </w:tr>
      <w:tr>
        <w:trPr>
          <w:trHeight w:val="234"/>
        </w:trPr>
        <w:tc>
          <w:tcPr>
            <w:tcW w:w="6140" w:type="dxa"/>
            <w:vAlign w:val="bottom"/>
            <w:gridSpan w:val="2"/>
          </w:tcPr>
          <w:p>
            <w:pPr>
              <w:ind w:left="2580"/>
              <w:spacing w:after="0"/>
              <w:rPr>
                <w:sz w:val="20"/>
                <w:szCs w:val="20"/>
                <w:color w:val="auto"/>
              </w:rPr>
            </w:pPr>
            <w:r>
              <w:rPr>
                <w:rFonts w:ascii="Arial" w:cs="Arial" w:eastAsia="Arial" w:hAnsi="Arial"/>
                <w:sz w:val="18"/>
                <w:szCs w:val="18"/>
                <w:b w:val="1"/>
                <w:bCs w:val="1"/>
                <w:color w:val="auto"/>
              </w:rPr>
              <w:t>Instrument</w:t>
            </w:r>
          </w:p>
        </w:tc>
        <w:tc>
          <w:tcPr>
            <w:tcW w:w="2560" w:type="dxa"/>
            <w:vAlign w:val="bottom"/>
            <w:gridSpan w:val="4"/>
          </w:tcPr>
          <w:p>
            <w:pPr>
              <w:jc w:val="center"/>
              <w:ind w:left="410"/>
              <w:spacing w:after="0"/>
              <w:rPr>
                <w:sz w:val="20"/>
                <w:szCs w:val="20"/>
                <w:color w:val="auto"/>
              </w:rPr>
            </w:pPr>
            <w:r>
              <w:rPr>
                <w:rFonts w:ascii="Arial" w:cs="Arial" w:eastAsia="Arial" w:hAnsi="Arial"/>
                <w:sz w:val="18"/>
                <w:szCs w:val="18"/>
                <w:b w:val="1"/>
                <w:bCs w:val="1"/>
                <w:color w:val="auto"/>
                <w:w w:val="89"/>
              </w:rPr>
              <w:t>Comprehensive Income</w:t>
            </w:r>
          </w:p>
        </w:tc>
        <w:tc>
          <w:tcPr>
            <w:tcW w:w="480" w:type="dxa"/>
            <w:vAlign w:val="bottom"/>
          </w:tcPr>
          <w:p>
            <w:pPr>
              <w:spacing w:after="0"/>
              <w:rPr>
                <w:sz w:val="20"/>
                <w:szCs w:val="20"/>
                <w:color w:val="auto"/>
              </w:rPr>
            </w:pPr>
          </w:p>
        </w:tc>
      </w:tr>
      <w:tr>
        <w:trPr>
          <w:trHeight w:val="27"/>
        </w:trPr>
        <w:tc>
          <w:tcPr>
            <w:tcW w:w="6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64"/>
        </w:trPr>
        <w:tc>
          <w:tcPr>
            <w:tcW w:w="60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line="264" w:lineRule="exact"/>
              <w:rPr>
                <w:sz w:val="20"/>
                <w:szCs w:val="20"/>
                <w:color w:val="auto"/>
              </w:rPr>
            </w:pPr>
            <w:r>
              <w:rPr>
                <w:rFonts w:ascii="Arial" w:cs="Arial" w:eastAsia="Arial" w:hAnsi="Arial"/>
                <w:sz w:val="18"/>
                <w:szCs w:val="18"/>
                <w:b w:val="1"/>
                <w:bCs w:val="1"/>
                <w:color w:val="auto"/>
              </w:rPr>
              <w:t>2018</w:t>
            </w:r>
            <w:r>
              <w:rPr>
                <w:rFonts w:ascii="Arial" w:cs="Arial" w:eastAsia="Arial" w:hAnsi="Arial"/>
                <w:sz w:val="25"/>
                <w:szCs w:val="25"/>
                <w:b w:val="1"/>
                <w:bCs w:val="1"/>
                <w:color w:val="auto"/>
                <w:vertAlign w:val="superscript"/>
              </w:rPr>
              <w:t>(1)</w:t>
            </w:r>
          </w:p>
        </w:tc>
        <w:tc>
          <w:tcPr>
            <w:tcW w:w="480" w:type="dxa"/>
            <w:vAlign w:val="bottom"/>
            <w:tcBorders>
              <w:bottom w:val="single" w:sz="8" w:color="auto"/>
            </w:tcBorders>
          </w:tcPr>
          <w:p>
            <w:pPr>
              <w:spacing w:after="0"/>
              <w:rPr>
                <w:sz w:val="22"/>
                <w:szCs w:val="22"/>
                <w:color w:val="auto"/>
              </w:rPr>
            </w:pPr>
          </w:p>
        </w:tc>
      </w:tr>
      <w:tr>
        <w:trPr>
          <w:trHeight w:val="237"/>
        </w:trPr>
        <w:tc>
          <w:tcPr>
            <w:tcW w:w="6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Euro Notes</w:t>
            </w: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(21.2)</w:t>
            </w:r>
          </w:p>
        </w:tc>
      </w:tr>
      <w:tr>
        <w:trPr>
          <w:trHeight w:val="27"/>
        </w:trPr>
        <w:tc>
          <w:tcPr>
            <w:tcW w:w="6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8"/>
          <w:szCs w:val="18"/>
          <w:color w:val="auto"/>
        </w:rPr>
        <w:t>(1) The prior period amounts have been revised to conform with the current period presentation.</w:t>
      </w:r>
    </w:p>
    <w:p>
      <w:pPr>
        <w:spacing w:after="0" w:line="211"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For our forward contracts that are not designated as hedges, any gain or loss resulting from the change in fair value is recognized in the current period earnings. These gains or losses are offset by the exposure related to receivables and payables with our foreign subsidiaries and to interest due on our Euro-denominated notes, which is paid annually in June and September. For both the three months ended March 31, 2019 and 2018, there was no effect on the Consolidated Statements of Operations from our forward contracts that are not designated as hedging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the fair value of derivative and non-derivative assets and liabilities on the Consolidated Balance Sheets as of March 31:</w:t>
      </w:r>
    </w:p>
    <w:p>
      <w:pPr>
        <w:spacing w:after="0" w:line="179"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Assets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spacing w:after="0"/>
              <w:rPr>
                <w:sz w:val="20"/>
                <w:szCs w:val="20"/>
                <w:color w:val="auto"/>
              </w:rPr>
            </w:pPr>
          </w:p>
        </w:tc>
        <w:tc>
          <w:tcPr>
            <w:tcW w:w="2520" w:type="dxa"/>
            <w:vAlign w:val="bottom"/>
          </w:tcPr>
          <w:p>
            <w:pPr>
              <w:ind w:left="560"/>
              <w:spacing w:after="0"/>
              <w:rPr>
                <w:sz w:val="20"/>
                <w:szCs w:val="20"/>
                <w:color w:val="auto"/>
              </w:rPr>
            </w:pPr>
            <w:r>
              <w:rPr>
                <w:rFonts w:ascii="Arial" w:cs="Arial" w:eastAsia="Arial" w:hAnsi="Arial"/>
                <w:sz w:val="18"/>
                <w:szCs w:val="18"/>
                <w:b w:val="1"/>
                <w:bCs w:val="1"/>
                <w:color w:val="auto"/>
                <w:w w:val="95"/>
              </w:rPr>
              <w:t>Balance Sheet Location</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3540" w:type="dxa"/>
            <w:vAlign w:val="bottom"/>
            <w:tcBorders>
              <w:bottom w:val="single" w:sz="8" w:color="CCEEFF"/>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Instruments not designated as hedges:</w:t>
            </w:r>
          </w:p>
        </w:tc>
        <w:tc>
          <w:tcPr>
            <w:tcW w:w="25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260"/>
              <w:spacing w:after="0"/>
              <w:rPr>
                <w:sz w:val="20"/>
                <w:szCs w:val="20"/>
                <w:color w:val="auto"/>
              </w:rPr>
            </w:pPr>
            <w:r>
              <w:rPr>
                <w:rFonts w:ascii="Arial" w:cs="Arial" w:eastAsia="Arial" w:hAnsi="Arial"/>
                <w:sz w:val="18"/>
                <w:szCs w:val="18"/>
                <w:color w:val="auto"/>
              </w:rPr>
              <w:t>Foreign currency forward contracts</w:t>
            </w:r>
          </w:p>
        </w:tc>
        <w:tc>
          <w:tcPr>
            <w:tcW w:w="252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instruments</w:t>
            </w:r>
          </w:p>
        </w:tc>
        <w:tc>
          <w:tcPr>
            <w:tcW w:w="252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Liabilities</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spacing w:after="0"/>
              <w:rPr>
                <w:sz w:val="20"/>
                <w:szCs w:val="20"/>
                <w:color w:val="auto"/>
              </w:rPr>
            </w:pPr>
          </w:p>
        </w:tc>
        <w:tc>
          <w:tcPr>
            <w:tcW w:w="2440" w:type="dxa"/>
            <w:vAlign w:val="bottom"/>
          </w:tcPr>
          <w:p>
            <w:pPr>
              <w:ind w:left="560"/>
              <w:spacing w:after="0"/>
              <w:rPr>
                <w:sz w:val="20"/>
                <w:szCs w:val="20"/>
                <w:color w:val="auto"/>
              </w:rPr>
            </w:pPr>
            <w:r>
              <w:rPr>
                <w:rFonts w:ascii="Arial" w:cs="Arial" w:eastAsia="Arial" w:hAnsi="Arial"/>
                <w:sz w:val="18"/>
                <w:szCs w:val="18"/>
                <w:b w:val="1"/>
                <w:bCs w:val="1"/>
                <w:color w:val="auto"/>
                <w:w w:val="91"/>
              </w:rPr>
              <w:t>Balance Sheet Location</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354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Instruments designated as hedges:</w:t>
            </w:r>
          </w:p>
        </w:tc>
        <w:tc>
          <w:tcPr>
            <w:tcW w:w="24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260"/>
              <w:spacing w:after="0"/>
              <w:rPr>
                <w:sz w:val="20"/>
                <w:szCs w:val="20"/>
                <w:color w:val="auto"/>
              </w:rPr>
            </w:pPr>
            <w:r>
              <w:rPr>
                <w:rFonts w:ascii="Arial" w:cs="Arial" w:eastAsia="Arial" w:hAnsi="Arial"/>
                <w:sz w:val="18"/>
                <w:szCs w:val="18"/>
                <w:color w:val="auto"/>
              </w:rPr>
              <w:t>Euro Notes</w:t>
            </w:r>
          </w:p>
        </w:tc>
        <w:tc>
          <w:tcPr>
            <w:tcW w:w="24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819.2</w:t>
            </w:r>
          </w:p>
        </w:tc>
      </w:tr>
      <w:tr>
        <w:trPr>
          <w:trHeight w:val="27"/>
        </w:trPr>
        <w:tc>
          <w:tcPr>
            <w:tcW w:w="35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Instruments not designated as hedges:</w:t>
            </w:r>
          </w:p>
        </w:tc>
        <w:tc>
          <w:tcPr>
            <w:tcW w:w="24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260"/>
              <w:spacing w:after="0"/>
              <w:rPr>
                <w:sz w:val="20"/>
                <w:szCs w:val="20"/>
                <w:color w:val="auto"/>
              </w:rPr>
            </w:pPr>
            <w:r>
              <w:rPr>
                <w:rFonts w:ascii="Arial" w:cs="Arial" w:eastAsia="Arial" w:hAnsi="Arial"/>
                <w:sz w:val="18"/>
                <w:szCs w:val="18"/>
                <w:color w:val="auto"/>
              </w:rPr>
              <w:t>Foreign currency forward contracts</w:t>
            </w:r>
          </w:p>
        </w:tc>
        <w:tc>
          <w:tcPr>
            <w:tcW w:w="244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instruments</w:t>
            </w:r>
          </w:p>
        </w:tc>
        <w:tc>
          <w:tcPr>
            <w:tcW w:w="2440" w:type="dxa"/>
            <w:vAlign w:val="bottom"/>
            <w:shd w:val="clear" w:color="auto" w:fill="CCEEFF"/>
          </w:tcPr>
          <w:p>
            <w:pPr>
              <w:spacing w:after="0"/>
              <w:rPr>
                <w:sz w:val="22"/>
                <w:szCs w:val="22"/>
                <w:color w:val="auto"/>
              </w:rPr>
            </w:pP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819.2</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carrying value of long-term debt approximates fair value, except for the Euro-denominated notes. The fair value of the Euro-denominated notes, as observable at commonly quoted intervals (Level 2 inputs), was $1,050.3 and $1,052.9 as of March 31, 2019 and December 31, 2018, respectively, compared to a carrying value of $1,002.4 and $1,024.6, respectively.</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deferred compensation plan assets were $98.2 and $89.5 as of March 31, 2019 and December 31, 2018, respectively. We determine the fair value of these assets, comprised of publicly traded securities, by using market quotes as of the last day of the period (Level 1 inputs).</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measure the fair value of the foreign currency forward contracts at the value based on either directly or indirectly observable inputs from third parties (Level 2 inputs).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368" w:right="279" w:bottom="1440" w:gutter="0" w:footer="0" w:header="0"/>
        </w:sectPr>
      </w:pPr>
    </w:p>
    <w:bookmarkStart w:id="16" w:name="page17"/>
    <w:bookmarkEnd w:id="16"/>
    <w:p>
      <w:pPr>
        <w:ind w:left="360" w:hanging="35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have operating leases for real estate, vehicles, and equipment. Our leases have remaining lease terms of 1 month to 12 years. Our lease agreements may include renewal or termination options for varying periods that are generally at our discretion. In our lease term, we only include those periods related to renewal options we are reasonably certain to exercise. However, we generally do not include these renewal options as we are not reasonably certain to renew at the lease commencement date. This determination is based on our consideration of certain economic, strategic and other factors that we evaluate at lease commencement date and reevaluate throughout the lease term. Some leases also include options to terminate the leases and we only include those periods beyond the termination date if we are reasonably certain not to exercise the termination option.</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Some leasing arrangements require variable payments that are dependent on usage or may vary for other reasons, such as payments for insurance and tax payments. The variable portion of lease payments is not included in our ROU assets or lease liabilities. Rather, variable payments, other than those dependent upon an index or rate, are expensed when the obligation for those payments is incurred and are included in lease expenses recorded in selling and administrative expenses on the Consolidated Statements of Operations.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lease agreements with both lease and non-lease components that are treated as a single lease component for all underlying asset classes. Accordingly, all expenses associated with a lease contract are accounted for as lease expenses.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elected to apply the short-term lease exception for all underlying asset classes. That is, leases with a term of 12 months or less are not recognized on the balance sheet, but rather expensed on a straight-line basis over the lease term. We do not include significant restrictions or covenants in our lease agreements, and residual value guarantees are generally not included within our operating leases. As of March 31, 2019, we did not have any material additional operating leases that have not yet commenced.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167" w:lineRule="exact"/>
        <w:rPr>
          <w:sz w:val="20"/>
          <w:szCs w:val="20"/>
          <w:color w:val="auto"/>
        </w:rPr>
      </w:pPr>
    </w:p>
    <w:p>
      <w:pPr>
        <w:jc w:val="center"/>
        <w:ind w:left="9720"/>
        <w:spacing w:after="0"/>
        <w:rPr>
          <w:sz w:val="20"/>
          <w:szCs w:val="20"/>
          <w:color w:val="auto"/>
        </w:rPr>
      </w:pPr>
      <w:r>
        <w:rPr>
          <w:rFonts w:ascii="Arial" w:cs="Arial" w:eastAsia="Arial" w:hAnsi="Arial"/>
          <w:sz w:val="18"/>
          <w:szCs w:val="18"/>
          <w:b w:val="1"/>
          <w:bCs w:val="1"/>
          <w:color w:val="auto"/>
        </w:rPr>
        <w:t>3 Months Ended</w:t>
      </w:r>
    </w:p>
    <w:p>
      <w:pPr>
        <w:spacing w:after="0" w:line="63" w:lineRule="exact"/>
        <w:rPr>
          <w:sz w:val="20"/>
          <w:szCs w:val="20"/>
          <w:color w:val="auto"/>
        </w:rPr>
      </w:pPr>
    </w:p>
    <w:p>
      <w:pPr>
        <w:jc w:val="center"/>
        <w:ind w:left="9720"/>
        <w:spacing w:after="0"/>
        <w:rPr>
          <w:sz w:val="20"/>
          <w:szCs w:val="20"/>
          <w:color w:val="auto"/>
        </w:rPr>
      </w:pPr>
      <w:r>
        <w:rPr>
          <w:rFonts w:ascii="Arial" w:cs="Arial" w:eastAsia="Arial" w:hAnsi="Arial"/>
          <w:sz w:val="18"/>
          <w:szCs w:val="18"/>
          <w:b w:val="1"/>
          <w:bCs w:val="1"/>
          <w:color w:val="auto"/>
        </w:rPr>
        <w:t>March 31,</w:t>
      </w:r>
    </w:p>
    <w:p>
      <w:pPr>
        <w:spacing w:after="0" w:line="63" w:lineRule="exact"/>
        <w:rPr>
          <w:sz w:val="20"/>
          <w:szCs w:val="20"/>
          <w:color w:val="auto"/>
        </w:rPr>
      </w:pPr>
    </w:p>
    <w:p>
      <w:pPr>
        <w:jc w:val="center"/>
        <w:ind w:left="9720"/>
        <w:spacing w:after="0"/>
        <w:rPr>
          <w:sz w:val="20"/>
          <w:szCs w:val="20"/>
          <w:color w:val="auto"/>
        </w:rPr>
      </w:pPr>
      <w:r>
        <w:rPr>
          <w:rFonts w:ascii="Arial" w:cs="Arial" w:eastAsia="Arial" w:hAnsi="Arial"/>
          <w:sz w:val="18"/>
          <w:szCs w:val="18"/>
          <w:b w:val="1"/>
          <w:bCs w:val="1"/>
          <w:color w:val="auto"/>
        </w:rPr>
        <w:t>2019</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expense</w:t>
            </w:r>
          </w:p>
        </w:tc>
        <w:tc>
          <w:tcPr>
            <w:tcW w:w="700" w:type="dxa"/>
            <w:vAlign w:val="bottom"/>
            <w:tcBorders>
              <w:top w:val="single" w:sz="8" w:color="auto"/>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Short-term lease expense</w:t>
            </w:r>
          </w:p>
        </w:tc>
        <w:tc>
          <w:tcPr>
            <w:tcW w:w="7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
        </w:trPr>
        <w:tc>
          <w:tcPr>
            <w:tcW w:w="9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97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Other lease expense</w:t>
            </w:r>
            <w:r>
              <w:rPr>
                <w:rFonts w:ascii="Arial" w:cs="Arial" w:eastAsia="Arial" w:hAnsi="Arial"/>
                <w:sz w:val="25"/>
                <w:szCs w:val="25"/>
                <w:color w:val="auto"/>
                <w:vertAlign w:val="superscript"/>
              </w:rPr>
              <w:t>(1)</w:t>
            </w: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50"/>
        </w:trPr>
        <w:tc>
          <w:tcPr>
            <w:tcW w:w="9720" w:type="dxa"/>
            <w:vAlign w:val="bottom"/>
          </w:tcPr>
          <w:p>
            <w:pPr>
              <w:ind w:left="520"/>
              <w:spacing w:after="0"/>
              <w:rPr>
                <w:sz w:val="20"/>
                <w:szCs w:val="20"/>
                <w:color w:val="auto"/>
              </w:rPr>
            </w:pPr>
            <w:r>
              <w:rPr>
                <w:rFonts w:ascii="Arial" w:cs="Arial" w:eastAsia="Arial" w:hAnsi="Arial"/>
                <w:sz w:val="18"/>
                <w:szCs w:val="18"/>
                <w:color w:val="auto"/>
              </w:rPr>
              <w:t>Total lease expense</w:t>
            </w: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8890</wp:posOffset>
            </wp:positionV>
            <wp:extent cx="10807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8077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26035</wp:posOffset>
            </wp:positionV>
            <wp:extent cx="10807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(1) Other lease expense includes immaterial variable lease expense and sublease income.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tcPr>
          <w:p>
            <w:pPr>
              <w:spacing w:after="0"/>
              <w:rPr>
                <w:sz w:val="20"/>
                <w:szCs w:val="20"/>
                <w:color w:val="auto"/>
              </w:rPr>
            </w:pPr>
            <w:r>
              <w:rPr>
                <w:rFonts w:ascii="Arial" w:cs="Arial" w:eastAsia="Arial" w:hAnsi="Arial"/>
                <w:sz w:val="18"/>
                <w:szCs w:val="18"/>
                <w:color w:val="auto"/>
              </w:rPr>
              <w:t>Other information related to leases was as follows:</w:t>
            </w: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78"/>
        </w:trPr>
        <w:tc>
          <w:tcPr>
            <w:tcW w:w="9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3 Months Ended</w:t>
            </w:r>
          </w:p>
        </w:tc>
      </w:tr>
      <w:tr>
        <w:trPr>
          <w:trHeight w:val="270"/>
        </w:trPr>
        <w:tc>
          <w:tcPr>
            <w:tcW w:w="9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March 31,</w:t>
            </w:r>
          </w:p>
        </w:tc>
      </w:tr>
      <w:tr>
        <w:trPr>
          <w:trHeight w:val="270"/>
        </w:trPr>
        <w:tc>
          <w:tcPr>
            <w:tcW w:w="9720" w:type="dxa"/>
            <w:vAlign w:val="bottom"/>
          </w:tcPr>
          <w:p>
            <w:pPr>
              <w:ind w:left="40"/>
              <w:spacing w:after="0"/>
              <w:rPr>
                <w:sz w:val="20"/>
                <w:szCs w:val="20"/>
                <w:color w:val="auto"/>
              </w:rPr>
            </w:pPr>
            <w:r>
              <w:rPr>
                <w:rFonts w:ascii="Arial" w:cs="Arial" w:eastAsia="Arial" w:hAnsi="Arial"/>
                <w:sz w:val="18"/>
                <w:szCs w:val="18"/>
                <w:b w:val="1"/>
                <w:bCs w:val="1"/>
                <w:color w:val="auto"/>
              </w:rPr>
              <w:t>Supplemental Cash Flows Information</w:t>
            </w:r>
          </w:p>
        </w:tc>
        <w:tc>
          <w:tcPr>
            <w:tcW w:w="160" w:type="dxa"/>
            <w:vAlign w:val="bottom"/>
          </w:tcPr>
          <w:p>
            <w:pPr>
              <w:spacing w:after="0"/>
              <w:rPr>
                <w:sz w:val="23"/>
                <w:szCs w:val="23"/>
                <w:color w:val="auto"/>
              </w:rPr>
            </w:pPr>
          </w:p>
        </w:tc>
        <w:tc>
          <w:tcPr>
            <w:tcW w:w="1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2019</w:t>
            </w:r>
          </w:p>
        </w:tc>
      </w:tr>
      <w:tr>
        <w:trPr>
          <w:trHeight w:val="27"/>
        </w:trPr>
        <w:tc>
          <w:tcPr>
            <w:tcW w:w="9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Operating ROU assets obtained in exchange for lease obligations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14.4</w:t>
            </w:r>
          </w:p>
        </w:tc>
      </w:tr>
      <w:tr>
        <w:trPr>
          <w:trHeight w:val="621"/>
        </w:trPr>
        <w:tc>
          <w:tcPr>
            <w:tcW w:w="9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March 31,</w:t>
            </w:r>
          </w:p>
        </w:tc>
      </w:tr>
      <w:tr>
        <w:trPr>
          <w:trHeight w:val="270"/>
        </w:trPr>
        <w:tc>
          <w:tcPr>
            <w:tcW w:w="9720" w:type="dxa"/>
            <w:vAlign w:val="bottom"/>
          </w:tcPr>
          <w:p>
            <w:pPr>
              <w:ind w:left="40"/>
              <w:spacing w:after="0"/>
              <w:rPr>
                <w:sz w:val="20"/>
                <w:szCs w:val="20"/>
                <w:color w:val="auto"/>
              </w:rPr>
            </w:pPr>
            <w:r>
              <w:rPr>
                <w:rFonts w:ascii="Arial" w:cs="Arial" w:eastAsia="Arial" w:hAnsi="Arial"/>
                <w:sz w:val="18"/>
                <w:szCs w:val="18"/>
                <w:b w:val="1"/>
                <w:bCs w:val="1"/>
                <w:color w:val="auto"/>
              </w:rPr>
              <w:t>Supplemental balance sheet information</w:t>
            </w:r>
          </w:p>
        </w:tc>
        <w:tc>
          <w:tcPr>
            <w:tcW w:w="160" w:type="dxa"/>
            <w:vAlign w:val="bottom"/>
          </w:tcPr>
          <w:p>
            <w:pPr>
              <w:spacing w:after="0"/>
              <w:rPr>
                <w:sz w:val="23"/>
                <w:szCs w:val="23"/>
                <w:color w:val="auto"/>
              </w:rPr>
            </w:pPr>
          </w:p>
        </w:tc>
        <w:tc>
          <w:tcPr>
            <w:tcW w:w="1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2019</w:t>
            </w:r>
          </w:p>
        </w:tc>
      </w:tr>
      <w:tr>
        <w:trPr>
          <w:trHeight w:val="27"/>
        </w:trPr>
        <w:tc>
          <w:tcPr>
            <w:tcW w:w="9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Leases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Operating lease ROU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434.0</w:t>
            </w:r>
          </w:p>
        </w:tc>
      </w:tr>
      <w:tr>
        <w:trPr>
          <w:trHeight w:val="27"/>
        </w:trPr>
        <w:tc>
          <w:tcPr>
            <w:tcW w:w="9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97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70"/>
        </w:trPr>
        <w:tc>
          <w:tcPr>
            <w:tcW w:w="9720" w:type="dxa"/>
            <w:vAlign w:val="bottom"/>
          </w:tcPr>
          <w:p>
            <w:pPr>
              <w:ind w:left="40"/>
              <w:spacing w:after="0" w:line="270" w:lineRule="exact"/>
              <w:rPr>
                <w:sz w:val="20"/>
                <w:szCs w:val="20"/>
                <w:color w:val="auto"/>
              </w:rPr>
            </w:pPr>
            <w:r>
              <w:rPr>
                <w:rFonts w:ascii="Arial" w:cs="Arial" w:eastAsia="Arial" w:hAnsi="Arial"/>
                <w:sz w:val="18"/>
                <w:szCs w:val="18"/>
                <w:color w:val="auto"/>
              </w:rPr>
              <w:t>Operating lease liabilities - current</w:t>
            </w:r>
            <w:r>
              <w:rPr>
                <w:rFonts w:ascii="Arial" w:cs="Arial" w:eastAsia="Arial" w:hAnsi="Arial"/>
                <w:sz w:val="25"/>
                <w:szCs w:val="25"/>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117.8</w:t>
            </w: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 - long-term</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319.5</w:t>
            </w:r>
          </w:p>
        </w:tc>
      </w:tr>
      <w:tr>
        <w:trPr>
          <w:trHeight w:val="237"/>
        </w:trPr>
        <w:tc>
          <w:tcPr>
            <w:tcW w:w="9720" w:type="dxa"/>
            <w:vAlign w:val="bottom"/>
          </w:tcPr>
          <w:p>
            <w:pPr>
              <w:ind w:left="520"/>
              <w:spacing w:after="0"/>
              <w:rPr>
                <w:sz w:val="20"/>
                <w:szCs w:val="20"/>
                <w:color w:val="auto"/>
              </w:rPr>
            </w:pPr>
            <w:r>
              <w:rPr>
                <w:rFonts w:ascii="Arial" w:cs="Arial" w:eastAsia="Arial" w:hAnsi="Arial"/>
                <w:sz w:val="18"/>
                <w:szCs w:val="18"/>
                <w:color w:val="auto"/>
              </w:rPr>
              <w:t>Total operating lease liabilities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17145</wp:posOffset>
            </wp:positionV>
            <wp:extent cx="10807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(1) Operating lease liabilities - current are included in accrued expenses on our Consolidated Balance Sheets.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tcPr>
          <w:p>
            <w:pPr>
              <w:ind w:left="40"/>
              <w:spacing w:after="0"/>
              <w:rPr>
                <w:sz w:val="20"/>
                <w:szCs w:val="20"/>
                <w:color w:val="auto"/>
              </w:rPr>
            </w:pPr>
            <w:r>
              <w:rPr>
                <w:rFonts w:ascii="Arial" w:cs="Arial" w:eastAsia="Arial" w:hAnsi="Arial"/>
                <w:sz w:val="18"/>
                <w:szCs w:val="18"/>
                <w:b w:val="1"/>
                <w:bCs w:val="1"/>
                <w:color w:val="auto"/>
              </w:rPr>
              <w:t>Weighted Average Remaining Lease Term</w:t>
            </w:r>
          </w:p>
        </w:tc>
        <w:tc>
          <w:tcPr>
            <w:tcW w:w="4500" w:type="dxa"/>
            <w:vAlign w:val="bottom"/>
          </w:tcPr>
          <w:p>
            <w:pPr>
              <w:spacing w:after="0"/>
              <w:rPr>
                <w:sz w:val="20"/>
                <w:szCs w:val="20"/>
                <w:color w:val="auto"/>
              </w:rPr>
            </w:pPr>
          </w:p>
        </w:tc>
      </w:tr>
      <w:tr>
        <w:trPr>
          <w:trHeight w:val="27"/>
        </w:trPr>
        <w:tc>
          <w:tcPr>
            <w:tcW w:w="6920" w:type="dxa"/>
            <w:vAlign w:val="bottom"/>
          </w:tcPr>
          <w:p>
            <w:pPr>
              <w:spacing w:after="0"/>
              <w:rPr>
                <w:sz w:val="2"/>
                <w:szCs w:val="2"/>
                <w:color w:val="auto"/>
              </w:rPr>
            </w:pPr>
          </w:p>
        </w:tc>
        <w:tc>
          <w:tcPr>
            <w:tcW w:w="450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4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5.7 years</w:t>
            </w:r>
          </w:p>
        </w:tc>
      </w:tr>
      <w:tr>
        <w:trPr>
          <w:trHeight w:val="243"/>
        </w:trPr>
        <w:tc>
          <w:tcPr>
            <w:tcW w:w="6920" w:type="dxa"/>
            <w:vAlign w:val="bottom"/>
          </w:tcPr>
          <w:p>
            <w:pPr>
              <w:ind w:left="40"/>
              <w:spacing w:after="0"/>
              <w:rPr>
                <w:sz w:val="20"/>
                <w:szCs w:val="20"/>
                <w:color w:val="auto"/>
              </w:rPr>
            </w:pPr>
            <w:r>
              <w:rPr>
                <w:rFonts w:ascii="Arial" w:cs="Arial" w:eastAsia="Arial" w:hAnsi="Arial"/>
                <w:sz w:val="18"/>
                <w:szCs w:val="18"/>
                <w:b w:val="1"/>
                <w:bCs w:val="1"/>
                <w:color w:val="auto"/>
              </w:rPr>
              <w:t>Weighted Average Discount Rate</w:t>
            </w:r>
          </w:p>
        </w:tc>
        <w:tc>
          <w:tcPr>
            <w:tcW w:w="4500" w:type="dxa"/>
            <w:vAlign w:val="bottom"/>
          </w:tcPr>
          <w:p>
            <w:pPr>
              <w:spacing w:after="0"/>
              <w:rPr>
                <w:sz w:val="21"/>
                <w:szCs w:val="21"/>
                <w:color w:val="auto"/>
              </w:rPr>
            </w:pPr>
          </w:p>
        </w:tc>
      </w:tr>
      <w:tr>
        <w:trPr>
          <w:trHeight w:val="27"/>
        </w:trPr>
        <w:tc>
          <w:tcPr>
            <w:tcW w:w="6920" w:type="dxa"/>
            <w:vAlign w:val="bottom"/>
          </w:tcPr>
          <w:p>
            <w:pPr>
              <w:spacing w:after="0"/>
              <w:rPr>
                <w:sz w:val="2"/>
                <w:szCs w:val="2"/>
                <w:color w:val="auto"/>
              </w:rPr>
            </w:pPr>
          </w:p>
        </w:tc>
        <w:tc>
          <w:tcPr>
            <w:tcW w:w="4500" w:type="dxa"/>
            <w:vAlign w:val="bottom"/>
          </w:tcPr>
          <w:p>
            <w:pPr>
              <w:spacing w:after="0"/>
              <w:rPr>
                <w:sz w:val="2"/>
                <w:szCs w:val="2"/>
                <w:color w:val="auto"/>
              </w:rPr>
            </w:pPr>
          </w:p>
        </w:tc>
      </w:tr>
      <w:tr>
        <w:trPr>
          <w:trHeight w:val="243"/>
        </w:trPr>
        <w:tc>
          <w:tcPr>
            <w:tcW w:w="6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6920" w:type="dxa"/>
            <w:vAlign w:val="bottom"/>
            <w:shd w:val="clear" w:color="auto" w:fill="CCEEFF"/>
          </w:tcPr>
          <w:p>
            <w:pPr>
              <w:spacing w:after="0"/>
              <w:rPr>
                <w:sz w:val="2"/>
                <w:szCs w:val="2"/>
                <w:color w:val="auto"/>
              </w:rPr>
            </w:pPr>
          </w:p>
        </w:tc>
        <w:tc>
          <w:tcPr>
            <w:tcW w:w="45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368"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368" w:right="2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color w:val="auto"/>
        </w:rPr>
        <w:t>Maturities of operating lease liabilities as of March 31, 2019 were as follows: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Pr>
          <w:p>
            <w:pPr>
              <w:ind w:left="40"/>
              <w:spacing w:after="0"/>
              <w:rPr>
                <w:sz w:val="20"/>
                <w:szCs w:val="20"/>
                <w:color w:val="auto"/>
              </w:rPr>
            </w:pPr>
            <w:r>
              <w:rPr>
                <w:rFonts w:ascii="Arial" w:cs="Arial" w:eastAsia="Arial" w:hAnsi="Arial"/>
                <w:sz w:val="18"/>
                <w:szCs w:val="18"/>
                <w:b w:val="1"/>
                <w:bCs w:val="1"/>
                <w:color w:val="auto"/>
              </w:rPr>
              <w:t>Period Ending March 31, 2019</w:t>
            </w:r>
          </w:p>
        </w:tc>
        <w:tc>
          <w:tcPr>
            <w:tcW w:w="260" w:type="dxa"/>
            <w:vAlign w:val="bottom"/>
          </w:tcPr>
          <w:p>
            <w:pPr>
              <w:spacing w:after="0"/>
              <w:rPr>
                <w:sz w:val="20"/>
                <w:szCs w:val="20"/>
                <w:color w:val="auto"/>
              </w:rPr>
            </w:pPr>
          </w:p>
        </w:tc>
        <w:tc>
          <w:tcPr>
            <w:tcW w:w="1900" w:type="dxa"/>
            <w:vAlign w:val="bottom"/>
          </w:tcPr>
          <w:p>
            <w:pPr>
              <w:jc w:val="right"/>
              <w:ind w:right="310"/>
              <w:spacing w:after="0"/>
              <w:rPr>
                <w:sz w:val="20"/>
                <w:szCs w:val="20"/>
                <w:color w:val="auto"/>
              </w:rPr>
            </w:pPr>
            <w:r>
              <w:rPr>
                <w:rFonts w:ascii="Arial" w:cs="Arial" w:eastAsia="Arial" w:hAnsi="Arial"/>
                <w:sz w:val="18"/>
                <w:szCs w:val="18"/>
                <w:b w:val="1"/>
                <w:bCs w:val="1"/>
                <w:color w:val="auto"/>
                <w:w w:val="97"/>
              </w:rPr>
              <w:t>Operating Leases</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(excluding the three months ended March 31, 2019)</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37"/>
        </w:trPr>
        <w:tc>
          <w:tcPr>
            <w:tcW w:w="92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future undiscounted lease payments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486.8</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imputed interest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57"/>
        </w:trPr>
        <w:tc>
          <w:tcPr>
            <w:tcW w:w="92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operating lease liabilities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437.3</w:t>
            </w:r>
          </w:p>
        </w:tc>
        <w:tc>
          <w:tcPr>
            <w:tcW w:w="0" w:type="dxa"/>
            <w:vAlign w:val="bottom"/>
          </w:tcPr>
          <w:p>
            <w:pPr>
              <w:spacing w:after="0"/>
              <w:rPr>
                <w:sz w:val="1"/>
                <w:szCs w:val="1"/>
                <w:color w:val="auto"/>
              </w:rPr>
            </w:pPr>
          </w:p>
        </w:tc>
      </w:tr>
      <w:tr>
        <w:trPr>
          <w:trHeight w:val="20"/>
        </w:trPr>
        <w:tc>
          <w:tcPr>
            <w:tcW w:w="9260" w:type="dxa"/>
            <w:vAlign w:val="bottom"/>
            <w:vMerge w:val="restart"/>
          </w:tcPr>
          <w:p>
            <w:pPr>
              <w:spacing w:after="0"/>
              <w:rPr>
                <w:sz w:val="20"/>
                <w:szCs w:val="20"/>
                <w:color w:val="auto"/>
              </w:rPr>
            </w:pPr>
            <w:r>
              <w:rPr>
                <w:rFonts w:ascii="Arial" w:cs="Arial" w:eastAsia="Arial" w:hAnsi="Arial"/>
                <w:sz w:val="18"/>
                <w:szCs w:val="18"/>
                <w:color w:val="auto"/>
              </w:rPr>
              <w:t>Maturities of operating leases accounted for under ASC 840 as of December 31, 2018 were as follows:</w:t>
            </w: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2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260" w:type="dxa"/>
            <w:vAlign w:val="bottom"/>
          </w:tcPr>
          <w:p>
            <w:pPr>
              <w:ind w:left="40"/>
              <w:spacing w:after="0"/>
              <w:rPr>
                <w:sz w:val="20"/>
                <w:szCs w:val="20"/>
                <w:color w:val="auto"/>
              </w:rPr>
            </w:pPr>
            <w:r>
              <w:rPr>
                <w:rFonts w:ascii="Arial" w:cs="Arial" w:eastAsia="Arial" w:hAnsi="Arial"/>
                <w:sz w:val="18"/>
                <w:szCs w:val="18"/>
                <w:color w:val="auto"/>
              </w:rPr>
              <w:t>(In millions)</w:t>
            </w: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9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b w:val="1"/>
                <w:bCs w:val="1"/>
                <w:color w:val="auto"/>
              </w:rPr>
              <w:t>Period Ending December 31, 2018</w:t>
            </w:r>
          </w:p>
        </w:tc>
        <w:tc>
          <w:tcPr>
            <w:tcW w:w="260" w:type="dxa"/>
            <w:vAlign w:val="bottom"/>
          </w:tcPr>
          <w:p>
            <w:pPr>
              <w:spacing w:after="0"/>
              <w:rPr>
                <w:sz w:val="20"/>
                <w:szCs w:val="20"/>
                <w:color w:val="auto"/>
              </w:rPr>
            </w:pPr>
          </w:p>
        </w:tc>
        <w:tc>
          <w:tcPr>
            <w:tcW w:w="1900" w:type="dxa"/>
            <w:vAlign w:val="bottom"/>
          </w:tcPr>
          <w:p>
            <w:pPr>
              <w:jc w:val="right"/>
              <w:ind w:right="310"/>
              <w:spacing w:after="0"/>
              <w:rPr>
                <w:sz w:val="20"/>
                <w:szCs w:val="20"/>
                <w:color w:val="auto"/>
              </w:rPr>
            </w:pPr>
            <w:r>
              <w:rPr>
                <w:rFonts w:ascii="Arial" w:cs="Arial" w:eastAsia="Arial" w:hAnsi="Arial"/>
                <w:sz w:val="18"/>
                <w:szCs w:val="18"/>
                <w:b w:val="1"/>
                <w:bCs w:val="1"/>
                <w:color w:val="auto"/>
                <w:w w:val="97"/>
              </w:rPr>
              <w:t>Operating Leases</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7"/>
        </w:trPr>
        <w:tc>
          <w:tcPr>
            <w:tcW w:w="9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minimum lease payments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566.8</w:t>
            </w: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Segment Data</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organized and managed primarily on a geographic basis, with Right Management currently operating as a separate global business unit. Each country and business unit generally has its own distinct operations and management team, providing services under our global brands, and maintains its own financial reports. We have an executive sponsor for each global brand who is responsible for ensuring the integrity and consistency of delivery locally. Each operation reports directly or indirectly through a regional manager, to a member of executive management. Given this reporting structure, we operate using the following reporting segments: Americas, which includes United States and Other Americas; Southern Europe, which includes France, Italy and Other Southern Europe; Northern Europe; APME; and Right Management.</w:t>
      </w:r>
    </w:p>
    <w:p>
      <w:pPr>
        <w:spacing w:after="0" w:line="19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Americas, Southern Europe, Northern Europe and APME segments derive a significant majority of their revenues from our staffing and interim services. The remaining revenues within these segments are derived from our outcome-based solutions and consulting services, permanent recruitment services and other services. The Right Management segment revenues are derived from outplacement and talent management services. Segment revenues represent sales to external clients. We provide services to a wide variety of clients, none of which individually comprise a significant portion of revenues for us as a whole. Due to the nature of our business, we generally do not have export sales.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8"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9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3 Months Ended</w:t>
            </w:r>
          </w:p>
        </w:tc>
      </w:tr>
      <w:tr>
        <w:trPr>
          <w:trHeight w:val="270"/>
        </w:trPr>
        <w:tc>
          <w:tcPr>
            <w:tcW w:w="9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60" w:type="dxa"/>
            <w:vAlign w:val="bottom"/>
          </w:tcPr>
          <w:p>
            <w:pPr>
              <w:spacing w:after="0"/>
              <w:rPr>
                <w:sz w:val="23"/>
                <w:szCs w:val="23"/>
                <w:color w:val="auto"/>
              </w:rPr>
            </w:pPr>
          </w:p>
        </w:tc>
      </w:tr>
      <w:tr>
        <w:trPr>
          <w:trHeight w:val="27"/>
        </w:trPr>
        <w:tc>
          <w:tcPr>
            <w:tcW w:w="9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9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services: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120"/>
              <w:spacing w:after="0"/>
              <w:rPr>
                <w:sz w:val="20"/>
                <w:szCs w:val="20"/>
                <w:color w:val="auto"/>
              </w:rPr>
            </w:pPr>
            <w:r>
              <w:rPr>
                <w:rFonts w:ascii="Arial" w:cs="Arial" w:eastAsia="Arial" w:hAnsi="Arial"/>
                <w:sz w:val="18"/>
                <w:szCs w:val="18"/>
                <w:color w:val="auto"/>
              </w:rPr>
              <w:t>Americas: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United States (a)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616.3</w:t>
            </w:r>
          </w:p>
        </w:tc>
      </w:tr>
      <w:tr>
        <w:trPr>
          <w:trHeight w:val="243"/>
        </w:trPr>
        <w:tc>
          <w:tcPr>
            <w:tcW w:w="9020" w:type="dxa"/>
            <w:vAlign w:val="bottom"/>
          </w:tcPr>
          <w:p>
            <w:pPr>
              <w:ind w:left="540"/>
              <w:spacing w:after="0"/>
              <w:rPr>
                <w:sz w:val="20"/>
                <w:szCs w:val="20"/>
                <w:color w:val="auto"/>
              </w:rPr>
            </w:pPr>
            <w:r>
              <w:rPr>
                <w:rFonts w:ascii="Arial" w:cs="Arial" w:eastAsia="Arial" w:hAnsi="Arial"/>
                <w:sz w:val="18"/>
                <w:szCs w:val="18"/>
                <w:color w:val="auto"/>
              </w:rPr>
              <w:t>Other Americas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403.7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406.3</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90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1,007.3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1,022.6</w:t>
            </w:r>
          </w:p>
        </w:tc>
      </w:tr>
      <w:tr>
        <w:trPr>
          <w:trHeight w:val="237"/>
        </w:trPr>
        <w:tc>
          <w:tcPr>
            <w:tcW w:w="9020" w:type="dxa"/>
            <w:vAlign w:val="bottom"/>
          </w:tcPr>
          <w:p>
            <w:pPr>
              <w:ind w:left="120"/>
              <w:spacing w:after="0"/>
              <w:rPr>
                <w:sz w:val="20"/>
                <w:szCs w:val="20"/>
                <w:color w:val="auto"/>
              </w:rPr>
            </w:pPr>
            <w:r>
              <w:rPr>
                <w:rFonts w:ascii="Arial" w:cs="Arial" w:eastAsia="Arial" w:hAnsi="Arial"/>
                <w:sz w:val="18"/>
                <w:szCs w:val="18"/>
                <w:color w:val="auto"/>
              </w:rPr>
              <w:t>Southern Europe:</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France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1,424.0</w:t>
            </w:r>
          </w:p>
        </w:tc>
      </w:tr>
      <w:tr>
        <w:trPr>
          <w:trHeight w:val="243"/>
        </w:trPr>
        <w:tc>
          <w:tcPr>
            <w:tcW w:w="9020" w:type="dxa"/>
            <w:vAlign w:val="bottom"/>
          </w:tcPr>
          <w:p>
            <w:pPr>
              <w:ind w:left="540"/>
              <w:spacing w:after="0"/>
              <w:rPr>
                <w:sz w:val="20"/>
                <w:szCs w:val="20"/>
                <w:color w:val="auto"/>
              </w:rPr>
            </w:pPr>
            <w:r>
              <w:rPr>
                <w:rFonts w:ascii="Arial" w:cs="Arial" w:eastAsia="Arial" w:hAnsi="Arial"/>
                <w:sz w:val="18"/>
                <w:szCs w:val="18"/>
                <w:color w:val="auto"/>
              </w:rPr>
              <w:t>Italy</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355.9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413.6</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Other Southern Europe</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474.4</w:t>
            </w:r>
          </w:p>
        </w:tc>
      </w:tr>
      <w:tr>
        <w:trPr>
          <w:trHeight w:val="237"/>
        </w:trPr>
        <w:tc>
          <w:tcPr>
            <w:tcW w:w="9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2,102.2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2,312.0</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91"/>
        </w:trPr>
        <w:tc>
          <w:tcPr>
            <w:tcW w:w="90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43"/>
        </w:trPr>
        <w:tc>
          <w:tcPr>
            <w:tcW w:w="9020" w:type="dxa"/>
            <w:vAlign w:val="bottom"/>
          </w:tcPr>
          <w:p>
            <w:pPr>
              <w:ind w:left="120"/>
              <w:spacing w:after="0"/>
              <w:rPr>
                <w:sz w:val="20"/>
                <w:szCs w:val="20"/>
                <w:color w:val="auto"/>
              </w:rPr>
            </w:pPr>
            <w:r>
              <w:rPr>
                <w:rFonts w:ascii="Arial" w:cs="Arial" w:eastAsia="Arial" w:hAnsi="Arial"/>
                <w:sz w:val="18"/>
                <w:szCs w:val="18"/>
                <w:color w:val="auto"/>
              </w:rPr>
              <w:t>Northern Europe</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1,189.7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1,417.6</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APME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720.2</w:t>
            </w:r>
          </w:p>
        </w:tc>
      </w:tr>
      <w:tr>
        <w:trPr>
          <w:trHeight w:val="243"/>
        </w:trPr>
        <w:tc>
          <w:tcPr>
            <w:tcW w:w="9020" w:type="dxa"/>
            <w:vAlign w:val="bottom"/>
          </w:tcPr>
          <w:p>
            <w:pPr>
              <w:ind w:left="120"/>
              <w:spacing w:after="0"/>
              <w:rPr>
                <w:sz w:val="20"/>
                <w:szCs w:val="20"/>
                <w:color w:val="auto"/>
              </w:rPr>
            </w:pPr>
            <w:r>
              <w:rPr>
                <w:rFonts w:ascii="Arial" w:cs="Arial" w:eastAsia="Arial" w:hAnsi="Arial"/>
                <w:sz w:val="18"/>
                <w:szCs w:val="18"/>
                <w:color w:val="auto"/>
              </w:rPr>
              <w:t>Right Management</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Consolidated (b)</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5,044.9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5,522.4</w:t>
            </w:r>
          </w:p>
        </w:tc>
      </w:tr>
      <w:tr>
        <w:trPr>
          <w:trHeight w:val="20"/>
        </w:trPr>
        <w:tc>
          <w:tcPr>
            <w:tcW w:w="9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84"/>
        </w:trPr>
        <w:tc>
          <w:tcPr>
            <w:tcW w:w="9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unit profit: (c)</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120"/>
              <w:spacing w:after="0"/>
              <w:rPr>
                <w:sz w:val="20"/>
                <w:szCs w:val="20"/>
                <w:color w:val="auto"/>
              </w:rPr>
            </w:pPr>
            <w:r>
              <w:rPr>
                <w:rFonts w:ascii="Arial" w:cs="Arial" w:eastAsia="Arial" w:hAnsi="Arial"/>
                <w:sz w:val="18"/>
                <w:szCs w:val="18"/>
                <w:color w:val="auto"/>
              </w:rPr>
              <w:t>Americas: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r>
      <w:tr>
        <w:trPr>
          <w:trHeight w:val="243"/>
        </w:trPr>
        <w:tc>
          <w:tcPr>
            <w:tcW w:w="9020" w:type="dxa"/>
            <w:vAlign w:val="bottom"/>
          </w:tcPr>
          <w:p>
            <w:pPr>
              <w:ind w:left="540"/>
              <w:spacing w:after="0"/>
              <w:rPr>
                <w:sz w:val="20"/>
                <w:szCs w:val="20"/>
                <w:color w:val="auto"/>
              </w:rPr>
            </w:pPr>
            <w:r>
              <w:rPr>
                <w:rFonts w:ascii="Arial" w:cs="Arial" w:eastAsia="Arial" w:hAnsi="Arial"/>
                <w:sz w:val="18"/>
                <w:szCs w:val="18"/>
                <w:color w:val="auto"/>
              </w:rPr>
              <w:t>Other Americas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16.2</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90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w:t>
            </w:r>
          </w:p>
        </w:tc>
      </w:tr>
      <w:tr>
        <w:trPr>
          <w:trHeight w:val="237"/>
        </w:trPr>
        <w:tc>
          <w:tcPr>
            <w:tcW w:w="9020" w:type="dxa"/>
            <w:vAlign w:val="bottom"/>
          </w:tcPr>
          <w:p>
            <w:pPr>
              <w:ind w:left="120"/>
              <w:spacing w:after="0"/>
              <w:rPr>
                <w:sz w:val="20"/>
                <w:szCs w:val="20"/>
                <w:color w:val="auto"/>
              </w:rPr>
            </w:pPr>
            <w:r>
              <w:rPr>
                <w:rFonts w:ascii="Arial" w:cs="Arial" w:eastAsia="Arial" w:hAnsi="Arial"/>
                <w:sz w:val="18"/>
                <w:szCs w:val="18"/>
                <w:color w:val="auto"/>
              </w:rPr>
              <w:t>Southern Europe:</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France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w:t>
            </w:r>
          </w:p>
        </w:tc>
      </w:tr>
      <w:tr>
        <w:trPr>
          <w:trHeight w:val="243"/>
        </w:trPr>
        <w:tc>
          <w:tcPr>
            <w:tcW w:w="9020" w:type="dxa"/>
            <w:vAlign w:val="bottom"/>
          </w:tcPr>
          <w:p>
            <w:pPr>
              <w:ind w:left="540"/>
              <w:spacing w:after="0"/>
              <w:rPr>
                <w:sz w:val="20"/>
                <w:szCs w:val="20"/>
                <w:color w:val="auto"/>
              </w:rPr>
            </w:pPr>
            <w:r>
              <w:rPr>
                <w:rFonts w:ascii="Arial" w:cs="Arial" w:eastAsia="Arial" w:hAnsi="Arial"/>
                <w:sz w:val="18"/>
                <w:szCs w:val="18"/>
                <w:color w:val="auto"/>
              </w:rPr>
              <w:t>Italy</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25.2</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Other Southern Europe</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r>
      <w:tr>
        <w:trPr>
          <w:trHeight w:val="237"/>
        </w:trPr>
        <w:tc>
          <w:tcPr>
            <w:tcW w:w="9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97.7</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91"/>
        </w:trPr>
        <w:tc>
          <w:tcPr>
            <w:tcW w:w="90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43"/>
        </w:trPr>
        <w:tc>
          <w:tcPr>
            <w:tcW w:w="9020" w:type="dxa"/>
            <w:vAlign w:val="bottom"/>
          </w:tcPr>
          <w:p>
            <w:pPr>
              <w:ind w:left="120"/>
              <w:spacing w:after="0"/>
              <w:rPr>
                <w:sz w:val="20"/>
                <w:szCs w:val="20"/>
                <w:color w:val="auto"/>
              </w:rPr>
            </w:pPr>
            <w:r>
              <w:rPr>
                <w:rFonts w:ascii="Arial" w:cs="Arial" w:eastAsia="Arial" w:hAnsi="Arial"/>
                <w:sz w:val="18"/>
                <w:szCs w:val="18"/>
                <w:color w:val="auto"/>
              </w:rPr>
              <w:t>Northern Europe</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16.6</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APME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r>
      <w:tr>
        <w:trPr>
          <w:trHeight w:val="243"/>
        </w:trPr>
        <w:tc>
          <w:tcPr>
            <w:tcW w:w="9020" w:type="dxa"/>
            <w:vAlign w:val="bottom"/>
          </w:tcPr>
          <w:p>
            <w:pPr>
              <w:ind w:left="120"/>
              <w:spacing w:after="0"/>
              <w:rPr>
                <w:sz w:val="20"/>
                <w:szCs w:val="20"/>
                <w:color w:val="auto"/>
              </w:rPr>
            </w:pPr>
            <w:r>
              <w:rPr>
                <w:rFonts w:ascii="Arial" w:cs="Arial" w:eastAsia="Arial" w:hAnsi="Arial"/>
                <w:sz w:val="18"/>
                <w:szCs w:val="18"/>
                <w:color w:val="auto"/>
              </w:rPr>
              <w:t>Right Management</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6.4</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189.5</w:t>
            </w:r>
          </w:p>
        </w:tc>
      </w:tr>
      <w:tr>
        <w:trPr>
          <w:trHeight w:val="243"/>
        </w:trPr>
        <w:tc>
          <w:tcPr>
            <w:tcW w:w="9020" w:type="dxa"/>
            <w:vAlign w:val="bottom"/>
          </w:tcPr>
          <w:p>
            <w:pPr>
              <w:ind w:left="80"/>
              <w:spacing w:after="0"/>
              <w:rPr>
                <w:sz w:val="20"/>
                <w:szCs w:val="20"/>
                <w:color w:val="auto"/>
              </w:rPr>
            </w:pPr>
            <w:r>
              <w:rPr>
                <w:rFonts w:ascii="Arial" w:cs="Arial" w:eastAsia="Arial" w:hAnsi="Arial"/>
                <w:sz w:val="18"/>
                <w:szCs w:val="18"/>
                <w:color w:val="auto"/>
              </w:rPr>
              <w:t>Corporate expenses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Intangible asset amortization expense</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37"/>
        </w:trPr>
        <w:tc>
          <w:tcPr>
            <w:tcW w:w="9020" w:type="dxa"/>
            <w:vAlign w:val="bottom"/>
          </w:tcPr>
          <w:p>
            <w:pPr>
              <w:ind w:left="540"/>
              <w:spacing w:after="0"/>
              <w:rPr>
                <w:sz w:val="20"/>
                <w:szCs w:val="20"/>
                <w:color w:val="auto"/>
              </w:rPr>
            </w:pPr>
            <w:r>
              <w:rPr>
                <w:rFonts w:ascii="Arial" w:cs="Arial" w:eastAsia="Arial" w:hAnsi="Arial"/>
                <w:sz w:val="18"/>
                <w:szCs w:val="18"/>
                <w:color w:val="auto"/>
              </w:rPr>
              <w:t>Operating profit</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153.8</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Interest and other expenses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57"/>
        </w:trPr>
        <w:tc>
          <w:tcPr>
            <w:tcW w:w="9020" w:type="dxa"/>
            <w:vAlign w:val="bottom"/>
          </w:tcPr>
          <w:p>
            <w:pPr>
              <w:ind w:left="120"/>
              <w:spacing w:after="0"/>
              <w:rPr>
                <w:sz w:val="20"/>
                <w:szCs w:val="20"/>
                <w:color w:val="auto"/>
              </w:rPr>
            </w:pPr>
            <w:r>
              <w:rPr>
                <w:rFonts w:ascii="Arial" w:cs="Arial" w:eastAsia="Arial" w:hAnsi="Arial"/>
                <w:sz w:val="18"/>
                <w:szCs w:val="18"/>
                <w:color w:val="auto"/>
              </w:rPr>
              <w:t>Earnings before income taxes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137.7</w:t>
            </w:r>
          </w:p>
        </w:tc>
      </w:tr>
      <w:tr>
        <w:trPr>
          <w:trHeight w:val="20"/>
        </w:trPr>
        <w:tc>
          <w:tcPr>
            <w:tcW w:w="9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right="40" w:hanging="412"/>
        <w:spacing w:after="0" w:line="264"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United States, revenues from services included fees received from the related franchise offices of $3.6 and $3.2 for the three months ended March 31, 2019 and 2018, respectively. These fees are primarily based on revenues generated by the franchise offices, which were $156.9 and $149.0 for the three months ended March 31, 2019 and 2018, respectively.</w:t>
      </w:r>
    </w:p>
    <w:p>
      <w:pPr>
        <w:spacing w:after="0" w:line="181" w:lineRule="exact"/>
        <w:rPr>
          <w:rFonts w:ascii="Arial" w:cs="Arial" w:eastAsia="Arial" w:hAnsi="Arial"/>
          <w:sz w:val="18"/>
          <w:szCs w:val="18"/>
          <w:color w:val="auto"/>
        </w:rPr>
      </w:pPr>
    </w:p>
    <w:p>
      <w:pPr>
        <w:ind w:left="420" w:right="200" w:hanging="412"/>
        <w:spacing w:after="0" w:line="264"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consolidated revenues from services include fees received from our franchise offices of $5.6 and $5.2 for the three months ended March 31, 2019 and 2018, respectively. These fees are primarily based on revenues generated by the franchise offices, which were $243.0 and $236.8 for the three months ended March 31, 2019 and 2018, respectively.</w:t>
      </w:r>
    </w:p>
    <w:p>
      <w:pPr>
        <w:spacing w:after="0" w:line="181" w:lineRule="exact"/>
        <w:rPr>
          <w:rFonts w:ascii="Arial" w:cs="Arial" w:eastAsia="Arial" w:hAnsi="Arial"/>
          <w:sz w:val="18"/>
          <w:szCs w:val="18"/>
          <w:color w:val="auto"/>
        </w:rPr>
      </w:pPr>
    </w:p>
    <w:p>
      <w:pPr>
        <w:ind w:left="420" w:right="400" w:hanging="412"/>
        <w:spacing w:after="0" w:line="286" w:lineRule="auto"/>
        <w:tabs>
          <w:tab w:leader="none" w:pos="4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evaluate segment performance based on operating unit profit (“OUP”), which is equal to segment revenues less cost of services and branch and national headquarters operating costs. This profit measure does not include goodwill and intangible asset impairment charges or amortization of intangibles related to acquisitions, corporate expenses, interest and other income and expense amounts or income taxes.</w:t>
      </w:r>
    </w:p>
    <w:p>
      <w:pPr>
        <w:sectPr>
          <w:pgSz w:w="11900" w:h="16838" w:orient="portrait"/>
          <w:cols w:equalWidth="0" w:num="1">
            <w:col w:w="11420"/>
          </w:cols>
          <w:pgMar w:left="240" w:top="526"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526"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Item 2 – Management’s Discussion and Analysis of Financial Condition and Results of Operations</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See the financial measures section on page 25 for further information on the Non-GAAP financial measures of constant currency and organic constant currency.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Overview</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282A32"/>
        </w:rPr>
        <w:t>Client demand for workforce solutions and services is dependent on the overall strength of the labor market and secular trends toward greater workforce flexibility within each of the segments where we operate. Improving economic growth typically results in increasing demand for labor, resulting in greater demand for our staffing services while demand for our outplacement services typically declines. During periods of increasing demand, we are generally able to improve our profitability and operating leverage as our cost base can support some increase in business without a similar increase in selling and administrative expenses. Whereas, during periods of decreased demand, as we experienced in the first quarter of 2019, our operating profit is generally impacted unfavorably as we experience a deleveraging of selling and administrative expenses which may not decline at the same pace as revenues.</w:t>
      </w:r>
    </w:p>
    <w:p>
      <w:pPr>
        <w:spacing w:after="0" w:line="165" w:lineRule="exact"/>
        <w:rPr>
          <w:sz w:val="20"/>
          <w:szCs w:val="20"/>
          <w:color w:val="auto"/>
        </w:rPr>
      </w:pPr>
    </w:p>
    <w:p>
      <w:pPr>
        <w:jc w:val="both"/>
        <w:ind w:right="140"/>
        <w:spacing w:after="0" w:line="286" w:lineRule="auto"/>
        <w:rPr>
          <w:sz w:val="20"/>
          <w:szCs w:val="20"/>
          <w:color w:val="auto"/>
        </w:rPr>
      </w:pPr>
      <w:r>
        <w:rPr>
          <w:rFonts w:ascii="Arial" w:cs="Arial" w:eastAsia="Arial" w:hAnsi="Arial"/>
          <w:sz w:val="16"/>
          <w:szCs w:val="16"/>
          <w:color w:val="auto"/>
        </w:rPr>
        <w:t>During the first quarter of 2019, t</w:t>
      </w:r>
      <w:r>
        <w:rPr>
          <w:rFonts w:ascii="Arial" w:cs="Arial" w:eastAsia="Arial" w:hAnsi="Arial"/>
          <w:sz w:val="16"/>
          <w:szCs w:val="16"/>
          <w:color w:val="282A32"/>
        </w:rPr>
        <w:t>he United States dollar was stronger, on average, relative to the currencies in all of our markets, particularly those markets</w:t>
      </w:r>
      <w:r>
        <w:rPr>
          <w:rFonts w:ascii="Arial" w:cs="Arial" w:eastAsia="Arial" w:hAnsi="Arial"/>
          <w:sz w:val="16"/>
          <w:szCs w:val="16"/>
          <w:color w:val="auto"/>
        </w:rPr>
        <w:t xml:space="preserve"> </w:t>
      </w:r>
      <w:r>
        <w:rPr>
          <w:rFonts w:ascii="Arial" w:cs="Arial" w:eastAsia="Arial" w:hAnsi="Arial"/>
          <w:sz w:val="16"/>
          <w:szCs w:val="16"/>
          <w:color w:val="282A32"/>
        </w:rPr>
        <w:t xml:space="preserve">within Europe, having an unfavorable impact on our reported results. </w:t>
      </w:r>
      <w:r>
        <w:rPr>
          <w:rFonts w:ascii="Arial" w:cs="Arial" w:eastAsia="Arial" w:hAnsi="Arial"/>
          <w:sz w:val="16"/>
          <w:szCs w:val="16"/>
          <w:color w:val="000000"/>
        </w:rPr>
        <w:t>While our reported revenues from services decreased 8.6% in the first quarter of 2019</w:t>
      </w:r>
      <w:r>
        <w:rPr>
          <w:rFonts w:ascii="Arial" w:cs="Arial" w:eastAsia="Arial" w:hAnsi="Arial"/>
          <w:sz w:val="16"/>
          <w:szCs w:val="16"/>
          <w:color w:val="282A32"/>
        </w:rPr>
        <w:t xml:space="preserve"> </w:t>
      </w:r>
      <w:r>
        <w:rPr>
          <w:rFonts w:ascii="Arial" w:cs="Arial" w:eastAsia="Arial" w:hAnsi="Arial"/>
          <w:sz w:val="16"/>
          <w:szCs w:val="16"/>
          <w:color w:val="000000"/>
        </w:rPr>
        <w:t>compared to the first quarter of 2018 and our reported operating profit decreased 31.4%, these results were partly impacted by the relative weakness of other currencies against the United States dollar compared to the same period in 2018, and generally may understate the performance of our underlying business.</w:t>
      </w:r>
    </w:p>
    <w:p>
      <w:pPr>
        <w:spacing w:after="0" w:line="2"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The changes in the foreign currency exchange rates had a 6.4% unfavorable impact on revenues from services, a 5.4% unfavorable impact on operating profit, and an approximately $0.12 per share unfavorable impact on net earnings per share – diluted in the quarter. Substantially all of our subsidiaries derive revenues from services and incur expenses within the same currency and generally do not have cross-currency transactions, and therefore, changes in foreign currency exchange rates primarily impact reported earnings and not our actual cash flow unless earnings are repatriated. To understand the performance of our underlying business, we utilize constant currency or organic constant currency variances for our consolidated and segment results.</w:t>
      </w:r>
    </w:p>
    <w:p>
      <w:pPr>
        <w:spacing w:after="0" w:line="16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the three months ended March 31, 2019, we experienced constant currency revenue declines in most of our markets. Our consolidated revenues were down 2.2% in constant currency in the quarter, a deterioration from the 0.7% constant currency decline in the fourth quarter of 2018 due primarily to the differences in the number of billing days. After adjusting for billing days, our organic constant currency revenue decrease was 1.1% compared to a 2.5% decrease in the fourth quarter of 2018. Our first quarter results reflect a stabilization of the economic slowdown experienced in the second half of 2018 in certain markets within Southern and Northern Europe, which when combined represents approximately 65% of our total consolidated revenues. The revenue decrease in Northern Europe was primarily due to the decrease in Germany resulting from the continued challenges posed by new regulations, the implementation of new systems and actions taken to optimize our delivery channels that caused some client disruption during the third quarter of 2018, as well as softer demand from the manufacturing sector in that market. We experienced a revenue decline in Southern Europe due to the constant currency revenue decline in France, flat after adjusting for billing days, and constant currency revenue growth in certain markets within Other Southern Europe. In the Americas, revenues increased 3.0% in constant currency due to increased demand for our staffing/interim services in certain markets within Other Americas, a 5.3% constant currency increase in our permanent recruitment business, and an increase in our ManpowerGroup Solutions business. These increases were partially offset by 2.1% decrease in the United States primarily driven by a decline in demand for our staffing/interim services and the unfavorable impact of approximately one fewer billing day. In APME, revenues increased 1.9% in constant currency primarily due to an increase in our Manpower staffing revenues.</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gross profit margin in the first quarter of 2019 was flat compared to 2018 as the increase in our permanent recruitment business contribution was offset by the decline in our staffing/interim gross profit margin due to business mix changes in various countries.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recorded $39.8 million of restructuring costs in the first quarter of 2019, comprised of $5.1 million in the Americas, $5.4 million in Southern Europe,</w:t>
      </w:r>
    </w:p>
    <w:p>
      <w:pPr>
        <w:spacing w:after="0" w:line="35"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$18.7 million in Northern Europe, $4.4 million in APME, $4.7 million in Right Management, and $1.5 million in corporate expenses. The restructuring costs were primarily related to our delivery channel and other front-office centralization and back-office optimization activities, as well as adjusting our cost-base for the slower market environment in many of our European operations.</w:t>
      </w:r>
    </w:p>
    <w:p>
      <w:pPr>
        <w:spacing w:after="0" w:line="1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operating profit decreased in the first quarter of 2019 by 31.4% (-26.0% in constant currency) while our operating profit margin was down 70 basis points compared to the first quarter of 2018. Excluding the restructuring costs incurred in the first quarter of both 2019 and 2018, our operating profit was down</w:t>
      </w:r>
    </w:p>
    <w:p>
      <w:pPr>
        <w:ind w:right="80"/>
        <w:spacing w:after="0" w:line="255" w:lineRule="auto"/>
        <w:rPr>
          <w:sz w:val="20"/>
          <w:szCs w:val="20"/>
          <w:color w:val="auto"/>
        </w:rPr>
      </w:pPr>
      <w:r>
        <w:rPr>
          <w:rFonts w:ascii="Arial" w:cs="Arial" w:eastAsia="Arial" w:hAnsi="Arial"/>
          <w:sz w:val="18"/>
          <w:szCs w:val="18"/>
          <w:color w:val="auto"/>
        </w:rPr>
        <w:t>11.5% in constant currency while operating profit margin was down 30 basis points compared to the first quarter of 2018. We continue to monitor expenses closely to ensure we maintain the benefit of our efforts to optimize our organizational and cost structures, while investing appropriately to support the growth in the business and enhance our productivity and technology and digital capabilities.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Operating Results - Three Months Ended March 31,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consolidated financial data for the three months ended March 31, 2019 as compared to 2018.</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ind w:left="320"/>
              <w:spacing w:after="0"/>
              <w:rPr>
                <w:sz w:val="20"/>
                <w:szCs w:val="20"/>
                <w:color w:val="auto"/>
              </w:rPr>
            </w:pPr>
            <w:r>
              <w:rPr>
                <w:rFonts w:ascii="Arial" w:cs="Arial" w:eastAsia="Arial" w:hAnsi="Arial"/>
                <w:sz w:val="18"/>
                <w:szCs w:val="18"/>
                <w:b w:val="1"/>
                <w:bCs w:val="1"/>
                <w:color w:val="auto"/>
              </w:rPr>
              <w:t>Constant</w:t>
            </w:r>
          </w:p>
        </w:tc>
      </w:tr>
      <w:tr>
        <w:trPr>
          <w:trHeight w:val="216"/>
        </w:trPr>
        <w:tc>
          <w:tcPr>
            <w:tcW w:w="5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ind w:left="300"/>
              <w:spacing w:after="0"/>
              <w:rPr>
                <w:sz w:val="20"/>
                <w:szCs w:val="20"/>
                <w:color w:val="auto"/>
              </w:rPr>
            </w:pPr>
            <w:r>
              <w:rPr>
                <w:rFonts w:ascii="Arial" w:cs="Arial" w:eastAsia="Arial" w:hAnsi="Arial"/>
                <w:sz w:val="18"/>
                <w:szCs w:val="18"/>
                <w:b w:val="1"/>
                <w:bCs w:val="1"/>
                <w:color w:val="auto"/>
              </w:rPr>
              <w:t>Currency</w:t>
            </w:r>
          </w:p>
        </w:tc>
      </w:tr>
      <w:tr>
        <w:trPr>
          <w:trHeight w:val="234"/>
        </w:trPr>
        <w:tc>
          <w:tcPr>
            <w:tcW w:w="5780" w:type="dxa"/>
            <w:vAlign w:val="bottom"/>
          </w:tcPr>
          <w:p>
            <w:pPr>
              <w:ind w:left="40"/>
              <w:spacing w:after="0"/>
              <w:rPr>
                <w:sz w:val="20"/>
                <w:szCs w:val="20"/>
                <w:color w:val="auto"/>
              </w:rPr>
            </w:pPr>
            <w:r>
              <w:rPr>
                <w:rFonts w:ascii="Arial" w:cs="Arial" w:eastAsia="Arial" w:hAnsi="Arial"/>
                <w:sz w:val="18"/>
                <w:szCs w:val="18"/>
                <w:b w:val="1"/>
                <w:bCs w:val="1"/>
                <w:color w:val="auto"/>
              </w:rPr>
              <w:t>(in millions, except per share data</w:t>
            </w: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440" w:type="dxa"/>
            <w:vAlign w:val="bottom"/>
            <w:gridSpan w:val="2"/>
          </w:tcPr>
          <w:p>
            <w:pPr>
              <w:ind w:left="320"/>
              <w:spacing w:after="0"/>
              <w:rPr>
                <w:sz w:val="20"/>
                <w:szCs w:val="20"/>
                <w:color w:val="auto"/>
              </w:rPr>
            </w:pPr>
            <w:r>
              <w:rPr>
                <w:rFonts w:ascii="Arial" w:cs="Arial" w:eastAsia="Arial" w:hAnsi="Arial"/>
                <w:sz w:val="18"/>
                <w:szCs w:val="18"/>
                <w:b w:val="1"/>
                <w:bCs w:val="1"/>
                <w:color w:val="auto"/>
              </w:rPr>
              <w:t>Variance</w:t>
            </w:r>
          </w:p>
        </w:tc>
        <w:tc>
          <w:tcPr>
            <w:tcW w:w="1320" w:type="dxa"/>
            <w:vAlign w:val="bottom"/>
          </w:tcPr>
          <w:p>
            <w:pPr>
              <w:ind w:left="32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services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5,044.9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5,522.4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Cost of services</w:t>
            </w:r>
          </w:p>
        </w:tc>
        <w:tc>
          <w:tcPr>
            <w:tcW w:w="30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4,240.1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4,637.0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-2.0</w:t>
            </w:r>
          </w:p>
        </w:tc>
      </w:tr>
      <w:tr>
        <w:trPr>
          <w:trHeight w:val="27"/>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804.8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885.4</w:t>
            </w:r>
          </w:p>
        </w:tc>
        <w:tc>
          <w:tcPr>
            <w:tcW w:w="1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w:t>
            </w:r>
          </w:p>
        </w:tc>
      </w:tr>
      <w:tr>
        <w:trPr>
          <w:trHeight w:val="243"/>
        </w:trPr>
        <w:tc>
          <w:tcPr>
            <w:tcW w:w="5780" w:type="dxa"/>
            <w:vAlign w:val="bottom"/>
          </w:tcPr>
          <w:p>
            <w:pPr>
              <w:ind w:left="220"/>
              <w:spacing w:after="0"/>
              <w:rPr>
                <w:sz w:val="20"/>
                <w:szCs w:val="20"/>
                <w:color w:val="auto"/>
              </w:rPr>
            </w:pPr>
            <w:r>
              <w:rPr>
                <w:rFonts w:ascii="Arial" w:cs="Arial" w:eastAsia="Arial" w:hAnsi="Arial"/>
                <w:sz w:val="18"/>
                <w:szCs w:val="18"/>
                <w:i w:val="1"/>
                <w:iCs w:val="1"/>
                <w:color w:val="auto"/>
              </w:rPr>
              <w:t>Gross profit margin</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16.0%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16.0%</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699.3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731.6</w:t>
            </w:r>
          </w:p>
        </w:tc>
        <w:tc>
          <w:tcPr>
            <w:tcW w:w="1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r>
      <w:tr>
        <w:trPr>
          <w:trHeight w:val="237"/>
        </w:trPr>
        <w:tc>
          <w:tcPr>
            <w:tcW w:w="5780" w:type="dxa"/>
            <w:vAlign w:val="bottom"/>
          </w:tcPr>
          <w:p>
            <w:pPr>
              <w:ind w:left="220"/>
              <w:spacing w:after="0"/>
              <w:rPr>
                <w:sz w:val="20"/>
                <w:szCs w:val="20"/>
                <w:color w:val="auto"/>
              </w:rPr>
            </w:pPr>
            <w:r>
              <w:rPr>
                <w:rFonts w:ascii="Arial" w:cs="Arial" w:eastAsia="Arial" w:hAnsi="Arial"/>
                <w:sz w:val="18"/>
                <w:szCs w:val="18"/>
                <w:color w:val="auto"/>
              </w:rPr>
              <w:t>Operating profit</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153.8</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-26.0</w:t>
            </w: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i w:val="1"/>
                <w:iCs w:val="1"/>
                <w:color w:val="auto"/>
              </w:rPr>
              <w:t>Operating profit margin</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Interest and other expenses</w:t>
            </w:r>
          </w:p>
        </w:tc>
        <w:tc>
          <w:tcPr>
            <w:tcW w:w="30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16.1</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Earnings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137.7</w:t>
            </w:r>
          </w:p>
        </w:tc>
        <w:tc>
          <w:tcPr>
            <w:tcW w:w="1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-26.5</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40.7</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Effective income tax rate</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42.8%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29.6%</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r>
      <w:tr>
        <w:trPr>
          <w:trHeight w:val="297"/>
        </w:trPr>
        <w:tc>
          <w:tcPr>
            <w:tcW w:w="5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earnings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97.0</w:t>
            </w:r>
          </w:p>
        </w:tc>
        <w:tc>
          <w:tcPr>
            <w:tcW w:w="146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-40.4</w:t>
            </w:r>
          </w:p>
        </w:tc>
      </w:tr>
      <w:tr>
        <w:trPr>
          <w:trHeight w:val="251"/>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per share – 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1.45</w:t>
            </w:r>
          </w:p>
        </w:tc>
        <w:tc>
          <w:tcPr>
            <w:tcW w:w="1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-34.5</w:t>
            </w:r>
          </w:p>
        </w:tc>
      </w:tr>
      <w:tr>
        <w:trPr>
          <w:trHeight w:val="20"/>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1"/>
        </w:trPr>
        <w:tc>
          <w:tcPr>
            <w:tcW w:w="5780" w:type="dxa"/>
            <w:vAlign w:val="bottom"/>
          </w:tcPr>
          <w:p>
            <w:pPr>
              <w:ind w:left="40"/>
              <w:spacing w:after="0"/>
              <w:rPr>
                <w:sz w:val="20"/>
                <w:szCs w:val="20"/>
                <w:color w:val="auto"/>
              </w:rPr>
            </w:pPr>
            <w:r>
              <w:rPr>
                <w:rFonts w:ascii="Arial" w:cs="Arial" w:eastAsia="Arial" w:hAnsi="Arial"/>
                <w:sz w:val="18"/>
                <w:szCs w:val="18"/>
                <w:color w:val="auto"/>
              </w:rPr>
              <w:t>Weighted average shares – diluted</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66.9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-8.9 %</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0"/>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year-over-year decrease in revenues from services of 8.6% (-2.2% in constant currency and -1.5% in organic constant currency) was attributed to:</w:t>
      </w:r>
    </w:p>
    <w:p>
      <w:pPr>
        <w:spacing w:after="0" w:line="237" w:lineRule="exact"/>
        <w:rPr>
          <w:sz w:val="20"/>
          <w:szCs w:val="20"/>
          <w:color w:val="auto"/>
        </w:rPr>
      </w:pPr>
    </w:p>
    <w:p>
      <w:pPr>
        <w:ind w:left="660" w:right="40" w:hanging="328"/>
        <w:spacing w:after="0" w:line="25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revenue decrease in Southern Europe of 9.1% (-1.6% in constant currency). This included a revenue decrease in France of 8.6% (-1.1% in constant currency) primarily due to the unfavorable impact of approximately one fewer billing day. The Southern Europe decrease also included a decrease in Italy of 14.0% (-6.9% in constant currency) due to decreased demand for our Manpower staffing services as a result of a challenging economic environment and the unfavorable impact of approximately one fewer billing day, partially offset by a 7.4% increase (16.3% in constant currency) in the permanent recruitment business;</w:t>
      </w:r>
    </w:p>
    <w:p>
      <w:pPr>
        <w:spacing w:after="0" w:line="188" w:lineRule="exact"/>
        <w:rPr>
          <w:rFonts w:ascii="Arial" w:cs="Arial" w:eastAsia="Arial" w:hAnsi="Arial"/>
          <w:sz w:val="18"/>
          <w:szCs w:val="18"/>
          <w:color w:val="auto"/>
        </w:rPr>
      </w:pPr>
    </w:p>
    <w:p>
      <w:pPr>
        <w:ind w:left="660" w:right="140" w:hanging="328"/>
        <w:spacing w:after="0" w:line="30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decreased demand for services in several of our markets within Northern Europe, where revenues decreased 16.1% (-8.8% in constant currency and -8.2% in organic constant currency), primarily due to reduced demand for our Manpower staffing services. We experienced revenue declines in Germany, the Netherlands, Belgium, the United Kingdom, and the Nordics of 29.1%, 27.6%, 12.1%, 10.7%, and 6.1% (-23.2%, -21.7%, -4.9%, -4.7%, and an increase of 4.0%, respectively, in constant currency; -18.0% in organic constant currency in the Netherlands);</w:t>
      </w:r>
    </w:p>
    <w:p>
      <w:pPr>
        <w:spacing w:after="0" w:line="154" w:lineRule="exact"/>
        <w:rPr>
          <w:rFonts w:ascii="Arial" w:cs="Arial" w:eastAsia="Arial" w:hAnsi="Arial"/>
          <w:sz w:val="16"/>
          <w:szCs w:val="16"/>
          <w:color w:val="auto"/>
        </w:rPr>
      </w:pPr>
    </w:p>
    <w:p>
      <w:pPr>
        <w:ind w:left="660" w:right="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revenue decrease in the United States of 2.1% primarily driven by a decline in demand for our staffing/interim services and the unfavorable impact of approximately one fewer billing day;</w:t>
      </w:r>
    </w:p>
    <w:p>
      <w:pPr>
        <w:spacing w:after="0" w:line="170"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revenue decrease in APME of 2.8% (increase of 1.9% in constant currency) due to the impact of changes in currency exchange rates, partially offset by an increase in our Manpower staffing revenues;</w:t>
      </w:r>
    </w:p>
    <w:p>
      <w:pPr>
        <w:spacing w:after="0" w:line="170" w:lineRule="exact"/>
        <w:rPr>
          <w:rFonts w:ascii="Arial" w:cs="Arial" w:eastAsia="Arial" w:hAnsi="Arial"/>
          <w:sz w:val="18"/>
          <w:szCs w:val="18"/>
          <w:color w:val="auto"/>
        </w:rPr>
      </w:pPr>
    </w:p>
    <w:p>
      <w:pPr>
        <w:jc w:val="both"/>
        <w:ind w:left="660" w:right="48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decreased demand for services at Right Management, where revenues decreased 8.4% (-4.5% in constant currency), including a 7.2% decrease (-3.5% in constant currency) in our outplacement services, as well as a 12.3% decrease (-7.9% in constant currency) in our talent management business;</w:t>
      </w:r>
    </w:p>
    <w:p>
      <w:pPr>
        <w:spacing w:after="0" w:line="181"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dispositions in Northern Europe and APME at the end of December 2018, which contributed approximately 0.7% of revenue decline to our consolidated results on a constant currency basis;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6.4% decrease due to the impact of changes in currency exchange rates.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gross profit margin remained flat year-over-year as a 10 basis point favorable impact due to a larger mix of services coming from our permanent recruitment business was offset by a 10 basis point unfavorable impact from the decline in our staffing/interim margin due to business mix changes in various countries as well as lower associate utilization and higher vacation and sickness rates in Germany.</w:t>
      </w:r>
    </w:p>
    <w:p>
      <w:pPr>
        <w:sectPr>
          <w:pgSz w:w="11900" w:h="16838" w:orient="portrait"/>
          <w:cols w:equalWidth="0" w:num="1">
            <w:col w:w="11420"/>
          </w:cols>
          <w:pgMar w:left="240" w:top="368"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368" w:right="239" w:bottom="1440" w:gutter="0" w:footer="0" w:header="0"/>
          <w:type w:val="continuous"/>
        </w:sectPr>
      </w:pPr>
    </w:p>
    <w:bookmarkStart w:id="21" w:name="page22"/>
    <w:bookmarkEnd w:id="21"/>
    <w:p>
      <w:pPr>
        <w:ind w:right="380"/>
        <w:spacing w:after="0" w:line="277" w:lineRule="auto"/>
        <w:rPr>
          <w:sz w:val="20"/>
          <w:szCs w:val="20"/>
          <w:color w:val="auto"/>
        </w:rPr>
      </w:pPr>
      <w:r>
        <w:rPr>
          <w:rFonts w:ascii="Arial" w:cs="Arial" w:eastAsia="Arial" w:hAnsi="Arial"/>
          <w:sz w:val="18"/>
          <w:szCs w:val="18"/>
          <w:color w:val="auto"/>
        </w:rPr>
        <w:t>The 4.4% decrease in selling and administrative expenses in the first quarter of 2019 (increase of 1.9% in constant currency and 2.2% in organic constant currency) was primarily attributed to:</w:t>
      </w:r>
    </w:p>
    <w:p>
      <w:pPr>
        <w:spacing w:after="0" w:line="170" w:lineRule="exact"/>
        <w:rPr>
          <w:sz w:val="20"/>
          <w:szCs w:val="20"/>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282A32"/>
        </w:rPr>
      </w:pPr>
      <w:r>
        <w:rPr>
          <w:rFonts w:ascii="Arial" w:cs="Arial" w:eastAsia="Arial" w:hAnsi="Arial"/>
          <w:sz w:val="18"/>
          <w:szCs w:val="18"/>
          <w:color w:val="282A32"/>
        </w:rPr>
        <w:t xml:space="preserve">a 9.8% decrease (-3.8% in constant currency; -3.5% in organic constant currency) in office-related costs primarily due to a decrease in the number of offices as a result of our </w:t>
      </w:r>
      <w:r>
        <w:rPr>
          <w:rFonts w:ascii="Arial" w:cs="Arial" w:eastAsia="Arial" w:hAnsi="Arial"/>
          <w:sz w:val="18"/>
          <w:szCs w:val="18"/>
          <w:color w:val="000000"/>
        </w:rPr>
        <w:t>delivery channel and other front-office centralization and back-office optimization activities, as well as adjusting our cost-base for the slower market environment in many of our European operations</w:t>
      </w:r>
      <w:r>
        <w:rPr>
          <w:rFonts w:ascii="Arial" w:cs="Arial" w:eastAsia="Arial" w:hAnsi="Arial"/>
          <w:sz w:val="18"/>
          <w:szCs w:val="18"/>
          <w:color w:val="282A32"/>
        </w:rPr>
        <w:t>;</w:t>
      </w:r>
    </w:p>
    <w:p>
      <w:pPr>
        <w:spacing w:after="0" w:line="181" w:lineRule="exact"/>
        <w:rPr>
          <w:rFonts w:ascii="Arial" w:cs="Arial" w:eastAsia="Arial" w:hAnsi="Arial"/>
          <w:sz w:val="18"/>
          <w:szCs w:val="18"/>
          <w:color w:val="282A32"/>
        </w:rPr>
      </w:pPr>
    </w:p>
    <w:p>
      <w:pPr>
        <w:ind w:left="660" w:right="20" w:hanging="328"/>
        <w:spacing w:after="0" w:line="277" w:lineRule="auto"/>
        <w:tabs>
          <w:tab w:leader="none" w:pos="660" w:val="left"/>
        </w:tabs>
        <w:numPr>
          <w:ilvl w:val="0"/>
          <w:numId w:val="18"/>
        </w:numPr>
        <w:rPr>
          <w:rFonts w:ascii="Arial" w:cs="Arial" w:eastAsia="Arial" w:hAnsi="Arial"/>
          <w:sz w:val="18"/>
          <w:szCs w:val="18"/>
          <w:color w:val="282A32"/>
        </w:rPr>
      </w:pPr>
      <w:r>
        <w:rPr>
          <w:rFonts w:ascii="Arial" w:cs="Arial" w:eastAsia="Arial" w:hAnsi="Arial"/>
          <w:sz w:val="18"/>
          <w:szCs w:val="18"/>
          <w:color w:val="282A32"/>
        </w:rPr>
        <w:t>a $2.8 million decrease in the first quarter of 2019 compared to 2018 as a result of dispositions in December 2018 in Northern Europe and APME; and</w:t>
      </w:r>
    </w:p>
    <w:p>
      <w:pPr>
        <w:spacing w:after="0" w:line="170" w:lineRule="exact"/>
        <w:rPr>
          <w:rFonts w:ascii="Arial" w:cs="Arial" w:eastAsia="Arial" w:hAnsi="Arial"/>
          <w:sz w:val="18"/>
          <w:szCs w:val="18"/>
          <w:color w:val="282A32"/>
        </w:rPr>
      </w:pPr>
    </w:p>
    <w:p>
      <w:pPr>
        <w:ind w:left="660" w:hanging="328"/>
        <w:spacing w:after="0"/>
        <w:tabs>
          <w:tab w:leader="none" w:pos="660" w:val="left"/>
        </w:tabs>
        <w:numPr>
          <w:ilvl w:val="0"/>
          <w:numId w:val="18"/>
        </w:numPr>
        <w:rPr>
          <w:rFonts w:ascii="Arial" w:cs="Arial" w:eastAsia="Arial" w:hAnsi="Arial"/>
          <w:sz w:val="18"/>
          <w:szCs w:val="18"/>
          <w:color w:val="282A32"/>
        </w:rPr>
      </w:pPr>
      <w:r>
        <w:rPr>
          <w:rFonts w:ascii="Arial" w:cs="Arial" w:eastAsia="Arial" w:hAnsi="Arial"/>
          <w:sz w:val="18"/>
          <w:szCs w:val="18"/>
          <w:color w:val="282A32"/>
        </w:rPr>
        <w:t xml:space="preserve">a </w:t>
      </w:r>
      <w:r>
        <w:rPr>
          <w:rFonts w:ascii="Arial" w:cs="Arial" w:eastAsia="Arial" w:hAnsi="Arial"/>
          <w:sz w:val="18"/>
          <w:szCs w:val="18"/>
          <w:color w:val="000000"/>
        </w:rPr>
        <w:t>6.3%</w:t>
      </w:r>
      <w:r>
        <w:rPr>
          <w:rFonts w:ascii="Arial" w:cs="Arial" w:eastAsia="Arial" w:hAnsi="Arial"/>
          <w:sz w:val="18"/>
          <w:szCs w:val="18"/>
          <w:color w:val="282A32"/>
        </w:rPr>
        <w:t xml:space="preserve"> decrease due to the impact of changes in currency exchange rates; partially offset by</w:t>
      </w:r>
    </w:p>
    <w:p>
      <w:pPr>
        <w:spacing w:after="0" w:line="225" w:lineRule="exact"/>
        <w:rPr>
          <w:rFonts w:ascii="Arial" w:cs="Arial" w:eastAsia="Arial" w:hAnsi="Arial"/>
          <w:sz w:val="18"/>
          <w:szCs w:val="18"/>
          <w:color w:val="282A32"/>
        </w:rPr>
      </w:pPr>
    </w:p>
    <w:p>
      <w:pPr>
        <w:ind w:left="660" w:hanging="328"/>
        <w:spacing w:after="0"/>
        <w:tabs>
          <w:tab w:leader="none" w:pos="660" w:val="left"/>
        </w:tabs>
        <w:numPr>
          <w:ilvl w:val="0"/>
          <w:numId w:val="18"/>
        </w:numPr>
        <w:rPr>
          <w:rFonts w:ascii="Arial" w:cs="Arial" w:eastAsia="Arial" w:hAnsi="Arial"/>
          <w:sz w:val="18"/>
          <w:szCs w:val="18"/>
          <w:color w:val="282A32"/>
        </w:rPr>
      </w:pPr>
      <w:r>
        <w:rPr>
          <w:rFonts w:ascii="Arial" w:cs="Arial" w:eastAsia="Arial" w:hAnsi="Arial"/>
          <w:sz w:val="18"/>
          <w:szCs w:val="18"/>
          <w:color w:val="282A32"/>
        </w:rPr>
        <w:t>restructuring costs of $39.8 million incurred in the first quarter of 2019 compared to $24.0 million incurred in the first quarter of 2018.</w:t>
      </w:r>
    </w:p>
    <w:p>
      <w:pPr>
        <w:spacing w:after="0" w:line="22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Selling and administrative expenses as a percent of revenues increased 70 basis points in the first quarter of 2019 compared to the first quarter of 2018 due to a 40 basis point unfavorable impact from the increase in restructuring costs, a 20 basis point unfavorable impact from expense deleveraging as we were unable to decrease expenses at the same rate as our revenue decline, and a 10 basis point unfavorable impact from changes in currency exchange rates.</w:t>
      </w:r>
    </w:p>
    <w:p>
      <w:pPr>
        <w:spacing w:after="0" w:line="14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Interest and other expenses are comprised of interest, foreign exchange gains and losses and other miscellaneous non-operating income and expenses, including noncontrolling interests. Interest and other expenses were $11.9 million in the first quarter of 2019 compared to $16.1 million in the first quarter of 2018. Net interest expense decreased $3.7 million in the first quarter of 2019 to $8.7 million from $12.4 million in the first quarter of 2018 due to the lower interest rate on our €500.0 million notes offered and sold in June 2018 compared to the interest rate on the €350.0 million notes due June 22, 2018 that were repaid in June 2018. Foreign exchange losses in the first quarter of 2019 were $2.9 million compared to income of $0.1 million in the first quarter of 2018. The increase in foreign exchange losses was primarily due to the $2.3 million translation loss in Argentina as a result of the highly-inflationary designation of its economy as of July 1, 2018. Miscellaneous expenses were $0.3 million in the first quarter of 2019 compared to $3.8 million in the first quarter of 2018. The decrease is primarily due to a decrease in expenses related to net earnings attributable to noncontrolling interests.</w:t>
      </w:r>
    </w:p>
    <w:p>
      <w:pPr>
        <w:spacing w:after="0" w:line="166" w:lineRule="exact"/>
        <w:rPr>
          <w:sz w:val="20"/>
          <w:szCs w:val="20"/>
          <w:color w:val="auto"/>
        </w:rPr>
      </w:pPr>
    </w:p>
    <w:p>
      <w:pPr>
        <w:jc w:val="both"/>
        <w:ind w:right="180"/>
        <w:spacing w:after="0" w:line="276" w:lineRule="auto"/>
        <w:rPr>
          <w:sz w:val="20"/>
          <w:szCs w:val="20"/>
          <w:color w:val="auto"/>
        </w:rPr>
      </w:pPr>
      <w:r>
        <w:rPr>
          <w:rFonts w:ascii="Arial" w:cs="Arial" w:eastAsia="Arial" w:hAnsi="Arial"/>
          <w:sz w:val="17"/>
          <w:szCs w:val="17"/>
          <w:color w:val="auto"/>
        </w:rPr>
        <w:t>We recorded income tax expense at an effective rate of 42.8% for the three months ended March 31, 2019, as compared to an effective rate of 29.6% for the three months ended March 31, 2018. The 2019 rate was unfavorably impacted by the transition of the French CICE subsidy, which was non-taxable, to new French subsidies in January 2019 that are taxable, and the recognition of valuation allowances against certain tax losses. The 42.8% effective tax rate in the quarter was higher than the United States Federal statutory rate of 21% primarily due to the French business tax, restructuring costs recorded in the quarter, our overall mix of earnings and the recognition of valuation allowances against certain tax losses.</w:t>
      </w:r>
    </w:p>
    <w:p>
      <w:pPr>
        <w:spacing w:after="0" w:line="17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Net earnings per share - diluted was $0.88 and $1.45 in the first quarter of 2019 and 2018, respectively. Foreign currency exchange rates unfavorably impacted net earnings per share - diluted by approximately $0.12 per share in the first quarter of 2019. Restructuring costs recorded in the first quarter of 2019 and 2018 negatively impacted net earnings per share - diluted by approximately $0.51 and $0.27 per share, net of tax, in the first quarter of 2019 and 2018, respectively.</w:t>
      </w:r>
    </w:p>
    <w:p>
      <w:pPr>
        <w:spacing w:after="0" w:line="18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Weighted average shares - diluted decreased 8.9% to 61.0 million in the first quarter of 2019 from 66.9 million in the first quarter of 2018. This decrease was due to the impact of share repurchases completed since the first quarter of 2018, partially offset by shares issued as a result of exercises and vesting of share-based awards since the first quarter of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225" w:lineRule="exact"/>
        <w:rPr>
          <w:sz w:val="20"/>
          <w:szCs w:val="20"/>
          <w:color w:val="auto"/>
        </w:rPr>
      </w:pPr>
    </w:p>
    <w:p>
      <w:pPr>
        <w:jc w:val="both"/>
        <w:ind w:right="60"/>
        <w:spacing w:after="0" w:line="285" w:lineRule="auto"/>
        <w:rPr>
          <w:sz w:val="20"/>
          <w:szCs w:val="20"/>
          <w:color w:val="auto"/>
        </w:rPr>
      </w:pPr>
      <w:r>
        <w:rPr>
          <w:rFonts w:ascii="Arial" w:cs="Arial" w:eastAsia="Arial" w:hAnsi="Arial"/>
          <w:sz w:val="16"/>
          <w:szCs w:val="16"/>
          <w:color w:val="auto"/>
        </w:rPr>
        <w:t>In the Americas, revenues from services decreased 1.5% (increase of 3.0% in constant currency) in the first quarter of 2019 compared to 2018. In the United States, revenues from services decreased 2.1% in the first quarter of 2019 compared to 2018, primarily driven by a decline in demand for our staffing/interim services and the unfavorable impact of approximately one fewer billing day, partially offset by a 4.9% increase in our permanent recruitment business and an increase in our ManpowerGroup Solutions business, primarily within our MSP offering. In Other Americas, revenues from services decreased 0.6% (increase of 10.7% in constant currency) in the first quarter of 2019 compared to 2018. We experienced revenue growth in Mexico, Canada, Colombia, and Peru of</w:t>
      </w:r>
    </w:p>
    <w:p>
      <w:pPr>
        <w:spacing w:after="0" w:line="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4.4%, 7.7%, 1.6%, and 10.5%, respectively (7.0%, 13.2%, 11.4%, and 13.4%, respectively, in constant currency). These increases were partially offset by decreases in Argentina and Brazil of 41.7% and 1.0%, respectively (increases of 15.5% and 14.8%, respectively, in constant currency). The constant currency increase in Argentina was primarily due to inflation. There has been a steady devaluation of the Argentine peso relative to the United States dollar in the last few years. As of July 1, 2018, the Argentina economy was designated as highly-inflationary and was treated as such for accounting purposes starting in the third quarter of 2018.</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8" w:right="239" w:bottom="1440" w:gutter="0" w:footer="0" w:header="0"/>
        </w:sectPr>
      </w:pPr>
    </w:p>
    <w:bookmarkStart w:id="22" w:name="page23"/>
    <w:bookmarkEnd w:id="22"/>
    <w:p>
      <w:pPr>
        <w:ind w:right="100"/>
        <w:spacing w:after="0" w:line="259" w:lineRule="auto"/>
        <w:rPr>
          <w:sz w:val="20"/>
          <w:szCs w:val="20"/>
          <w:color w:val="auto"/>
        </w:rPr>
      </w:pPr>
      <w:r>
        <w:rPr>
          <w:rFonts w:ascii="Arial" w:cs="Arial" w:eastAsia="Arial" w:hAnsi="Arial"/>
          <w:sz w:val="18"/>
          <w:szCs w:val="18"/>
          <w:color w:val="auto"/>
        </w:rPr>
        <w:t xml:space="preserve">Gross profit margin decreased in the first quarter of 2019 compared to 2018 due to business mix changes within our </w:t>
      </w:r>
      <w:r>
        <w:rPr>
          <w:rFonts w:ascii="Arial" w:cs="Arial" w:eastAsia="Arial" w:hAnsi="Arial"/>
          <w:sz w:val="18"/>
          <w:szCs w:val="18"/>
          <w:color w:val="282A32"/>
        </w:rPr>
        <w:t>s</w:t>
      </w:r>
      <w:r>
        <w:rPr>
          <w:rFonts w:ascii="Arial" w:cs="Arial" w:eastAsia="Arial" w:hAnsi="Arial"/>
          <w:sz w:val="18"/>
          <w:szCs w:val="18"/>
          <w:color w:val="auto"/>
        </w:rPr>
        <w:t>taffing/interim business, as a larger percentage of our revenues came from our lower-margin entities within Other Americas. This decrease was partially offset by an improved staffing/interim margin in the United States, due to pricing discipline and lower payroll tax and insurance costs, as well as an increase of 3.1% (5.3% in constant currency) in the permanent recruitment business.</w:t>
      </w:r>
    </w:p>
    <w:p>
      <w:pPr>
        <w:spacing w:after="0" w:line="18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In the first quarter of 2019, selling and administrative expenses increased 5.3% (9.6% in constant currency), due primarily to an increase in salary-related expenses, as a result of higher headcount related to growth initiatives, increased costs as a result of investment in certain technology and back-office and delivery channel optimization activities in the United States, and an increase in restructuring costs to $5.1 million in the first quarter of 2019 from $0.3 million in the first quarter of 2018.</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Operating Unit Profit (“OUP”) margin in the Americas was 3.1% and 4.2% for the first quarter of 2019 and 2018, respectively. In the United States, OUP margin decreased to 2.7% in the first quarter of 2019 from 4.3% in 2018. The margin decrease in 2019 in the United States was primarily due to the restructuring costs incurred in the first quarter of 2019 and increased costs as a result of headcount increases for growth initiatives, investment in certain technology and back-office and delivery channel optimization activities. Other Americas OUP margin decreased to 3.7% in the first quarter of 2019 compared to 4.0% in 2018 due to the increase in restructuring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Southern Europe</w:t>
      </w:r>
    </w:p>
    <w:p>
      <w:pPr>
        <w:spacing w:after="0" w:line="22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Southern Europe, which includes operations in France and Italy, revenues from services decreased 9.1% (-1.6% in constant currency) in the first quarter of 2019 compared to 2018. In the first quarter of 2019, revenues from services decreased 8.6% (-1.1% in constant currency) in France (which represents 62% of Southern Europe’s revenues) and decreased 14.0% (-6.9% in constant currency) in Italy (which represents 17% of Southern Europe’s revenues). The decrease in France is primarily due to the unfavorable impact of changes in currency exchange rates and the unfavorable impact of approximately one fewer billing day, partially offset by a constant currency increase in our permanent recruitment business of 5.8% (-2.3% as reported). The decrease in Italy was due to decreased demand for our Manpower staffing services as a result of a challenging economic environment, partially offset by a 7.4% increase (16.3% in constant currency) in the permanent recruitment business. In Other Southern Europe, revenues from services decreased 6.2% (increase of 1.5% in constant currency) during the first quarter of 2019 compared to 2018, due to the unfavorable impact of changes in currency exchange rates, partially offset by an increase in our ManpowerGroup Solutions business and the constant currency increase in our permanent recruitment business of 4.8% (-3.7% as reported).</w:t>
      </w:r>
    </w:p>
    <w:p>
      <w:pPr>
        <w:spacing w:after="0" w:line="16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Gross profit margin increased in the first quarter of 2019 compared to 2018 primarily due to the increase in France's staffing/interim margin as a result of favorable pricing actions, favorable direct costs adjustments and various initiatives to offset the unfavorable impact from transition of the CICE program to a new subsidy program. These increases were partially offset by the unfavorable impact of transition of the CICE program to a new subsidy program. The Southern Europe gross profit margin also increased due to growth in our higher-margin ManpowerGroup Solutions business and a 7.9% constant currency increase (-0.5% as reported) in the permanent recruitment business. These increases were partially offset by </w:t>
      </w:r>
      <w:r>
        <w:rPr>
          <w:rFonts w:ascii="Arial" w:cs="Arial" w:eastAsia="Arial" w:hAnsi="Arial"/>
          <w:sz w:val="18"/>
          <w:szCs w:val="18"/>
          <w:color w:val="282A32"/>
        </w:rPr>
        <w:t>a decrease in Italy's Manpower staffing margin</w:t>
      </w:r>
      <w:r>
        <w:rPr>
          <w:rFonts w:ascii="Arial" w:cs="Arial" w:eastAsia="Arial" w:hAnsi="Arial"/>
          <w:sz w:val="18"/>
          <w:szCs w:val="18"/>
          <w:color w:val="auto"/>
        </w:rPr>
        <w:t xml:space="preserve"> </w:t>
      </w:r>
      <w:r>
        <w:rPr>
          <w:rFonts w:ascii="Arial" w:cs="Arial" w:eastAsia="Arial" w:hAnsi="Arial"/>
          <w:sz w:val="18"/>
          <w:szCs w:val="18"/>
          <w:color w:val="282A32"/>
        </w:rPr>
        <w:t>primarily due to the loss of certain subsidies</w:t>
      </w:r>
      <w:r>
        <w:rPr>
          <w:rFonts w:ascii="Arial" w:cs="Arial" w:eastAsia="Arial" w:hAnsi="Arial"/>
          <w:sz w:val="18"/>
          <w:szCs w:val="18"/>
          <w:color w:val="000000"/>
        </w:rPr>
        <w:t>.</w:t>
      </w:r>
    </w:p>
    <w:p>
      <w:pPr>
        <w:spacing w:after="0" w:line="193"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 xml:space="preserve">Selling and administrative expenses decreased 5.7% (increase of 2.1% in constant currency) during the first quarter of 2019 compared to 2018 due to the favorable impact of changes in currency exchange rates, partially offset by </w:t>
      </w:r>
      <w:r>
        <w:rPr>
          <w:rFonts w:ascii="Arial" w:cs="Arial" w:eastAsia="Arial" w:hAnsi="Arial"/>
          <w:sz w:val="17"/>
          <w:szCs w:val="17"/>
          <w:color w:val="282A32"/>
        </w:rPr>
        <w:t>an increase in salary-related expenses, as a result of higher headcount, and an</w:t>
      </w:r>
      <w:r>
        <w:rPr>
          <w:rFonts w:ascii="Arial" w:cs="Arial" w:eastAsia="Arial" w:hAnsi="Arial"/>
          <w:sz w:val="17"/>
          <w:szCs w:val="17"/>
          <w:color w:val="auto"/>
        </w:rPr>
        <w:t xml:space="preserve"> </w:t>
      </w:r>
      <w:r>
        <w:rPr>
          <w:rFonts w:ascii="Arial" w:cs="Arial" w:eastAsia="Arial" w:hAnsi="Arial"/>
          <w:sz w:val="17"/>
          <w:szCs w:val="17"/>
          <w:color w:val="282A32"/>
        </w:rPr>
        <w:t>increase of restructuring costs to $5.4 million in the first quarter of 2019 from $3.1 million in the first quarter of 2018.</w:t>
      </w:r>
    </w:p>
    <w:p>
      <w:pPr>
        <w:spacing w:after="0" w:line="16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OUP margin in Southern Europe was 4.1% for the first quarter of 2019 compared to 4.2% for 2018. In France, the OUP margin increased to 4.3% for the first quarter of 2019 from 4.1% in 2018, primarily due to the improvement in the gross profit margin, partially offset by an increase in salary-related expenses. In Italy, the OUP margin decreased to 5.7% for the first quarter of 2019 from 6.1% for 2018, primarily due to the increase in restructuring costs, partially offset by an increase in the gross profit margin. Other Southern Europe’s OUP margin decreased to 2.5% for the first quarter of 2019 from 3.1% in 2018, due to a decline in the gross profit margin and the increase in restructuring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Northern Europe</w:t>
      </w:r>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 xml:space="preserve">In Northern Europe, which includes operations in the United Kingdom, Germany, the Nordics, the Netherlands and Belgium (comprising 32%, 18%, 21%, 12%, and 8%, respectively, of Northern Europe’s revenues), revenues from services decreased 16.1% (-8.8% in constant currency) in the first quarter of 2019 compared to 2018. We experienced revenue declines in the United Kingdom, Germany, the Nordics, the Netherlands and Belgium of 10.7%, 29.1%, 6.1%, 27.6% and 12.1% (-4.7%, -23.2%, increase of 4.0%, -21.7% and -4.9%, respectively, in constant currency). </w:t>
      </w:r>
      <w:r>
        <w:rPr>
          <w:rFonts w:ascii="Arial" w:cs="Arial" w:eastAsia="Arial" w:hAnsi="Arial"/>
          <w:sz w:val="17"/>
          <w:szCs w:val="17"/>
          <w:color w:val="282A32"/>
        </w:rPr>
        <w:t>The Northern Europe revenue decrease is</w:t>
      </w:r>
      <w:r>
        <w:rPr>
          <w:rFonts w:ascii="Arial" w:cs="Arial" w:eastAsia="Arial" w:hAnsi="Arial"/>
          <w:sz w:val="17"/>
          <w:szCs w:val="17"/>
          <w:color w:val="auto"/>
        </w:rPr>
        <w:t xml:space="preserve"> </w:t>
      </w:r>
      <w:r>
        <w:rPr>
          <w:rFonts w:ascii="Arial" w:cs="Arial" w:eastAsia="Arial" w:hAnsi="Arial"/>
          <w:sz w:val="17"/>
          <w:szCs w:val="17"/>
          <w:color w:val="282A32"/>
        </w:rPr>
        <w:t xml:space="preserve">primarily due to reduced demand for our Manpower staffing services, primarily because of the decrease in Germany resulting from lower production activity in the manufacturing sector in that market, decrease in the UK due to reduced production from one of our automotive clients, and reduced demand in the Netherlands. This decrease was also due to a decrease in our ManpowerGroup Solutions business from the disposition of our language translation business in the Netherlands at the end of December 2018 and the </w:t>
      </w:r>
      <w:r>
        <w:rPr>
          <w:rFonts w:ascii="Arial" w:cs="Arial" w:eastAsia="Arial" w:hAnsi="Arial"/>
          <w:sz w:val="17"/>
          <w:szCs w:val="17"/>
          <w:color w:val="000000"/>
        </w:rPr>
        <w:t>14.5%</w:t>
      </w:r>
      <w:r>
        <w:rPr>
          <w:rFonts w:ascii="Arial" w:cs="Arial" w:eastAsia="Arial" w:hAnsi="Arial"/>
          <w:sz w:val="17"/>
          <w:szCs w:val="17"/>
          <w:color w:val="282A32"/>
        </w:rPr>
        <w:t xml:space="preserve"> decrease (</w:t>
      </w:r>
      <w:r>
        <w:rPr>
          <w:rFonts w:ascii="Arial" w:cs="Arial" w:eastAsia="Arial" w:hAnsi="Arial"/>
          <w:sz w:val="17"/>
          <w:szCs w:val="17"/>
          <w:color w:val="000000"/>
        </w:rPr>
        <w:t>-7.0%</w:t>
      </w:r>
      <w:r>
        <w:rPr>
          <w:rFonts w:ascii="Arial" w:cs="Arial" w:eastAsia="Arial" w:hAnsi="Arial"/>
          <w:sz w:val="17"/>
          <w:szCs w:val="17"/>
          <w:color w:val="282A32"/>
        </w:rPr>
        <w:t xml:space="preserve"> in constant currency) in the permanent recruitment business. These decreases were partially offset an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ind w:right="180"/>
        <w:spacing w:after="0" w:line="277" w:lineRule="auto"/>
        <w:rPr>
          <w:sz w:val="20"/>
          <w:szCs w:val="20"/>
          <w:color w:val="auto"/>
        </w:rPr>
      </w:pPr>
      <w:r>
        <w:rPr>
          <w:rFonts w:ascii="Arial" w:cs="Arial" w:eastAsia="Arial" w:hAnsi="Arial"/>
          <w:sz w:val="18"/>
          <w:szCs w:val="18"/>
          <w:color w:val="282A32"/>
        </w:rPr>
        <w:t>increased demand for our staffing/interim services in Norway as well as a constant currency increase in our Experis interim business primarily within the IT sector in the United Kingdom.</w:t>
      </w:r>
    </w:p>
    <w:p>
      <w:pPr>
        <w:spacing w:after="0" w:line="17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 xml:space="preserve">Gross profit margin decreased in the first quarter of 2019 compared to 2018 due to the </w:t>
      </w:r>
      <w:r>
        <w:rPr>
          <w:rFonts w:ascii="Arial" w:cs="Arial" w:eastAsia="Arial" w:hAnsi="Arial"/>
          <w:sz w:val="16"/>
          <w:szCs w:val="16"/>
          <w:color w:val="282A32"/>
        </w:rPr>
        <w:t>decline in our staffing/interim margin, primarily as a result of business</w:t>
      </w:r>
      <w:r>
        <w:rPr>
          <w:rFonts w:ascii="Arial" w:cs="Arial" w:eastAsia="Arial" w:hAnsi="Arial"/>
          <w:sz w:val="16"/>
          <w:szCs w:val="16"/>
          <w:color w:val="auto"/>
        </w:rPr>
        <w:t xml:space="preserve"> </w:t>
      </w:r>
      <w:r>
        <w:rPr>
          <w:rFonts w:ascii="Arial" w:cs="Arial" w:eastAsia="Arial" w:hAnsi="Arial"/>
          <w:sz w:val="16"/>
          <w:szCs w:val="16"/>
          <w:color w:val="282A32"/>
        </w:rPr>
        <w:t>mix changes, lower associate utilization and higher vacation and sickness rates in Germany, and the decrease in our permanent recruitment business</w:t>
      </w:r>
      <w:r>
        <w:rPr>
          <w:rFonts w:ascii="Arial" w:cs="Arial" w:eastAsia="Arial" w:hAnsi="Arial"/>
          <w:sz w:val="16"/>
          <w:szCs w:val="16"/>
          <w:color w:val="000000"/>
        </w:rPr>
        <w:t>.</w:t>
      </w:r>
    </w:p>
    <w:p>
      <w:pPr>
        <w:spacing w:after="0" w:line="12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Selling and administrative expenses decreased 14.3% (-6.8% in constant currency; -6.2% in organic constant currency) in the first quarter of 2019 compared to 2018 due primarily to a decrease in organic salary-related expenses as a result of a reduction in headcount, a decrease in office-related expenses driven by a decrease in the number of offices, and a decrease </w:t>
      </w:r>
      <w:r>
        <w:rPr>
          <w:rFonts w:ascii="Arial" w:cs="Arial" w:eastAsia="Arial" w:hAnsi="Arial"/>
          <w:sz w:val="17"/>
          <w:szCs w:val="17"/>
          <w:color w:val="282A32"/>
        </w:rPr>
        <w:t>in consulting costs related to certain technology projects,</w:t>
      </w:r>
      <w:r>
        <w:rPr>
          <w:rFonts w:ascii="Arial" w:cs="Arial" w:eastAsia="Arial" w:hAnsi="Arial"/>
          <w:sz w:val="17"/>
          <w:szCs w:val="17"/>
          <w:color w:val="auto"/>
        </w:rPr>
        <w:t xml:space="preserve"> front-office centralization and back-office optimization activities incurred in the first quarter of 2018. The decrease is also due to the decrease of restructuring costs to $18.7 million in the first quarter of 2019 from $20.1 million in the first quarter of 2018. The 2019 restructuring costs related to delivery model and other front-office centralization activities as well as back-office optimization activities primarily in Germany, the Netherlands, Sweden, and Belgium.</w:t>
      </w:r>
    </w:p>
    <w:p>
      <w:pPr>
        <w:spacing w:after="0" w:line="178"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OUP margin for Northern Europe for the first quarter of 2019 decreased to 0.1% compared to 1.2% in 2018. The decrease in the OUP margin was primarily due to a decrease in the gross profit margin, as well as deleveraging, as we were unable to reduce costs at the same rate as the revenue decline.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APME</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Revenues from services decreased 2.8% (increase of 1.9% in constant currency and 5.9% in organic constant currency) in the first quarter of 2019 compared to 2018. In Japan (which represents 33% of APME’s revenues), revenues from services increased 0.9% (2.8% in constant currency) due to the increased demand for our staffing/interim services and a 11.5% increase (13.7% in constant currency) in our permanent recruitment business, partially offset by the unfavorable impact of one fewer billing day in the quarter. In Australia (which represents 18% of APME’s revenues), revenues from services decreased</w:t>
      </w:r>
    </w:p>
    <w:p>
      <w:pPr>
        <w:spacing w:after="0" w:line="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13.3% (-4.4% in constant currency) as we chose to exit out of certain low-margin business to improve profitability, and due to the 13.0% decrease (-4.0% in constant currency) in our permanent recruitment business. The slight revenue decrease in the remaining markets in APME is due to the disposition of a low-margin business in Greater China at the end of December 2018, partially offset by increased demand for our Manpower staffing services, mostly in India, Greater China, Thailand, and Singapore.</w:t>
      </w:r>
    </w:p>
    <w:p>
      <w:pPr>
        <w:spacing w:after="0" w:line="190"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Gross profit margin remained flat in the first quarter of 2019 compared to 2018 as the increase in our staffing/interim margin due to the Greater China business disposition in 2018 was offset by the decrease in our permanent recruitment business of 9.5% (-2.9% in constant currency).</w:t>
      </w:r>
    </w:p>
    <w:p>
      <w:pPr>
        <w:spacing w:after="0" w:line="14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Selling and administrative expenses increased 2.9% (8.4% in constant currency) in the first quarter of 2019 compared to 2018 due primarily to an increase in restructuring costs to $4.4 million, incurred in Australia and New Zealand, in first quarter of 2019 compared to no restructuring costs incurred in the first quarter of 2018, and the increase in organic salary-related costs due to higher headcount, which supported the constant currency increase in revenues. These increases were offset by a decrease in selling and administrative expenses as a result of the Greater China business disposition in 2018.</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OUP margin for APME decreased to 2.9% in the first quarter of 2019 from 3.6% in 2018 due to the restructuring costs incurred in the first quarter of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Management</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Revenues from services decreased 8.4% (-4.5% in constant currency) in the first quarter of 2019 compared to 2018. The decrease is primarily due to the 7.2% decrease (-3.5% in constant currency) in our outplacement services as we experienced softer demand in our Americas and European markets. Our talent management business decreased 12.3% (-7.9% in constant currency) in the first quarter of 2019 compared to 2018 due mostly to softening demand across all markets.</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Gross profit margin decreased in the first quarter of 2019 compared to 2018 due to </w:t>
      </w:r>
      <w:r>
        <w:rPr>
          <w:rFonts w:ascii="Arial" w:cs="Arial" w:eastAsia="Arial" w:hAnsi="Arial"/>
          <w:sz w:val="18"/>
          <w:szCs w:val="18"/>
          <w:color w:val="282A32"/>
        </w:rPr>
        <w:t>the decrease in both our outplacement and talent management businesses</w:t>
      </w:r>
      <w:r>
        <w:rPr>
          <w:rFonts w:ascii="Arial" w:cs="Arial" w:eastAsia="Arial" w:hAnsi="Arial"/>
          <w:sz w:val="18"/>
          <w:szCs w:val="18"/>
          <w:color w:val="auto"/>
        </w:rPr>
        <w:t xml:space="preserve"> </w:t>
      </w:r>
      <w:r>
        <w:rPr>
          <w:rFonts w:ascii="Arial" w:cs="Arial" w:eastAsia="Arial" w:hAnsi="Arial"/>
          <w:sz w:val="18"/>
          <w:szCs w:val="18"/>
          <w:color w:val="282A32"/>
        </w:rPr>
        <w:t>gross profit margins, partially offset by the change in business mix as the higher-margin outplacement business represented a higher percentage of the revenues mix</w:t>
      </w:r>
      <w:r>
        <w:rPr>
          <w:rFonts w:ascii="Arial" w:cs="Arial" w:eastAsia="Arial" w:hAnsi="Arial"/>
          <w:sz w:val="18"/>
          <w:szCs w:val="18"/>
          <w:color w:val="000000"/>
        </w:rPr>
        <w:t>.</w:t>
      </w:r>
    </w:p>
    <w:p>
      <w:pPr>
        <w:spacing w:after="0" w:line="18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Selling and administrative expenses increased 6.1% (9.9% in constant currency) in the first quarter of 2019 compared to 2018 primarily due to the increase of restructuring costs to $4.7 million in the first quarter of 2019 compared to $0.5 million in the first quarter of 2018, partially offset by a decrease in salary-related expenses as a result of a reduction in headcount and a decrease in office-related expenses related to a decrease in the number of offices.</w:t>
      </w:r>
    </w:p>
    <w:p>
      <w:pPr>
        <w:spacing w:after="0" w:line="14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OUP margin for Right Management decreased to 4.5% in the first quarter of 2019 from 12.9% in 2018 due to the increase in restructuring costs and the decline in the gross profit margin.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Financial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Constant Currency and Organic Constant Currency Reconciliation</w:t>
      </w:r>
    </w:p>
    <w:p>
      <w:pPr>
        <w:spacing w:after="0" w:line="225"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Changes in our financial results include the impact of changes in foreign currency exchange rates, acquisitions, and dispositions. We provide “constant currency” and “organic constant currency” calculations in this report to remove the impact of these items. We express year-over-year variances that are calculated in constant currency and organic constant currency as a percentage.</w:t>
      </w:r>
    </w:p>
    <w:p>
      <w:pPr>
        <w:spacing w:after="0" w:line="18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When we use the term “constant currency,” it means that we have translated financial data for a period into United States dollars using the same foreign currency exchange rates that we used to translate financial data for the previous period. We believe that this calculation is a useful measure, indicating the actual growth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reported earnings and not our actual cash flow unless earnings are repatriated.</w:t>
      </w:r>
    </w:p>
    <w:p>
      <w:pPr>
        <w:spacing w:after="0" w:line="16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of our ongoing business.</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constant currency and organic constant currency financial measures are used to supplement those measures that are in accordance with United States Generally Accepted Accounting Principles (“GAAP”). These Non-GAAP financial measures may not provide information that is directly comparable to that provided by other companies in our industry, as other companies may calculate such financial results differently. These Non-GAAP financial measures are not measurements of financial performance under GAAP, and should not be considered as alternatives to measures presented in accordance with GAAP.</w:t>
      </w:r>
    </w:p>
    <w:p>
      <w:pPr>
        <w:spacing w:after="0" w:line="15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Constant currency and organic constant currency percent variances, along with a reconciliation of these amounts to certain of our reported results, are provided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20" w:type="dxa"/>
            <w:vAlign w:val="bottom"/>
            <w:gridSpan w:val="8"/>
          </w:tcPr>
          <w:p>
            <w:pPr>
              <w:ind w:left="580"/>
              <w:spacing w:after="0"/>
              <w:rPr>
                <w:sz w:val="20"/>
                <w:szCs w:val="20"/>
                <w:color w:val="auto"/>
              </w:rPr>
            </w:pPr>
            <w:r>
              <w:rPr>
                <w:rFonts w:ascii="Arial" w:cs="Arial" w:eastAsia="Arial" w:hAnsi="Arial"/>
                <w:sz w:val="18"/>
                <w:szCs w:val="18"/>
                <w:b w:val="1"/>
                <w:bCs w:val="1"/>
                <w:color w:val="auto"/>
              </w:rPr>
              <w:t>3 Months Ended March 31, 2019 Compared to 2018</w:t>
            </w:r>
          </w:p>
        </w:tc>
        <w:tc>
          <w:tcPr>
            <w:tcW w:w="1020" w:type="dxa"/>
            <w:vAlign w:val="bottom"/>
          </w:tcPr>
          <w:p>
            <w:pPr>
              <w:spacing w:after="0"/>
              <w:rPr>
                <w:sz w:val="20"/>
                <w:szCs w:val="20"/>
                <w:color w:val="auto"/>
              </w:rPr>
            </w:pPr>
          </w:p>
        </w:tc>
      </w:tr>
      <w:tr>
        <w:trPr>
          <w:trHeight w:val="27"/>
        </w:trPr>
        <w:tc>
          <w:tcPr>
            <w:tcW w:w="3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2"/>
        </w:trPr>
        <w:tc>
          <w:tcPr>
            <w:tcW w:w="3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Impact of</w:t>
            </w:r>
          </w:p>
        </w:tc>
        <w:tc>
          <w:tcPr>
            <w:tcW w:w="1020" w:type="dxa"/>
            <w:vAlign w:val="bottom"/>
          </w:tcPr>
          <w:p>
            <w:pPr>
              <w:spacing w:after="0"/>
              <w:rPr>
                <w:sz w:val="19"/>
                <w:szCs w:val="19"/>
                <w:color w:val="auto"/>
              </w:rPr>
            </w:pPr>
          </w:p>
        </w:tc>
      </w:tr>
      <w:tr>
        <w:trPr>
          <w:trHeight w:val="216"/>
        </w:trPr>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Acquisitions</w:t>
            </w:r>
          </w:p>
        </w:tc>
        <w:tc>
          <w:tcPr>
            <w:tcW w:w="102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and</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Organic</w:t>
            </w:r>
          </w:p>
        </w:tc>
      </w:tr>
      <w:tr>
        <w:trPr>
          <w:trHeight w:val="216"/>
        </w:trPr>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280"/>
              <w:spacing w:after="0"/>
              <w:rPr>
                <w:sz w:val="20"/>
                <w:szCs w:val="20"/>
                <w:color w:val="auto"/>
              </w:rPr>
            </w:pPr>
            <w:r>
              <w:rPr>
                <w:rFonts w:ascii="Arial" w:cs="Arial" w:eastAsia="Arial" w:hAnsi="Arial"/>
                <w:sz w:val="18"/>
                <w:szCs w:val="18"/>
                <w:color w:val="auto"/>
              </w:rPr>
              <w:t>Constant</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Dispositions</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Constant</w:t>
            </w:r>
          </w:p>
        </w:tc>
      </w:tr>
      <w:tr>
        <w:trPr>
          <w:trHeight w:val="216"/>
        </w:trPr>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w w:val="97"/>
              </w:rPr>
              <w:t>Reported</w:t>
            </w:r>
          </w:p>
        </w:tc>
        <w:tc>
          <w:tcPr>
            <w:tcW w:w="120" w:type="dxa"/>
            <w:vAlign w:val="bottom"/>
          </w:tcPr>
          <w:p>
            <w:pPr>
              <w:spacing w:after="0"/>
              <w:rPr>
                <w:sz w:val="18"/>
                <w:szCs w:val="18"/>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Reported</w:t>
            </w:r>
          </w:p>
        </w:tc>
        <w:tc>
          <w:tcPr>
            <w:tcW w:w="1320" w:type="dxa"/>
            <w:vAlign w:val="bottom"/>
            <w:gridSpan w:val="2"/>
          </w:tcPr>
          <w:p>
            <w:pPr>
              <w:ind w:left="260"/>
              <w:spacing w:after="0"/>
              <w:rPr>
                <w:sz w:val="20"/>
                <w:szCs w:val="20"/>
                <w:color w:val="auto"/>
              </w:rPr>
            </w:pPr>
            <w:r>
              <w:rPr>
                <w:rFonts w:ascii="Arial" w:cs="Arial" w:eastAsia="Arial" w:hAnsi="Arial"/>
                <w:sz w:val="18"/>
                <w:szCs w:val="18"/>
                <w:color w:val="auto"/>
              </w:rPr>
              <w:t>Impact of</w:t>
            </w:r>
          </w:p>
        </w:tc>
        <w:tc>
          <w:tcPr>
            <w:tcW w:w="1320" w:type="dxa"/>
            <w:vAlign w:val="bottom"/>
            <w:gridSpan w:val="2"/>
          </w:tcPr>
          <w:p>
            <w:pPr>
              <w:ind w:left="280"/>
              <w:spacing w:after="0"/>
              <w:rPr>
                <w:sz w:val="20"/>
                <w:szCs w:val="20"/>
                <w:color w:val="auto"/>
              </w:rPr>
            </w:pPr>
            <w:r>
              <w:rPr>
                <w:rFonts w:ascii="Arial" w:cs="Arial" w:eastAsia="Arial" w:hAnsi="Arial"/>
                <w:sz w:val="18"/>
                <w:szCs w:val="18"/>
                <w:color w:val="auto"/>
              </w:rPr>
              <w:t>Currency</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(In Constant</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Currency</w:t>
            </w:r>
          </w:p>
        </w:tc>
      </w:tr>
      <w:tr>
        <w:trPr>
          <w:trHeight w:val="257"/>
        </w:trPr>
        <w:tc>
          <w:tcPr>
            <w:tcW w:w="3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90"/>
              <w:spacing w:after="0" w:line="257" w:lineRule="exact"/>
              <w:rPr>
                <w:sz w:val="20"/>
                <w:szCs w:val="20"/>
                <w:color w:val="auto"/>
              </w:rPr>
            </w:pPr>
            <w:r>
              <w:rPr>
                <w:rFonts w:ascii="Arial" w:cs="Arial" w:eastAsia="Arial" w:hAnsi="Arial"/>
                <w:sz w:val="18"/>
                <w:szCs w:val="18"/>
                <w:color w:val="auto"/>
                <w:w w:val="92"/>
              </w:rPr>
              <w:t>Amount</w:t>
            </w:r>
            <w:r>
              <w:rPr>
                <w:rFonts w:ascii="Arial" w:cs="Arial" w:eastAsia="Arial" w:hAnsi="Arial"/>
                <w:sz w:val="25"/>
                <w:szCs w:val="25"/>
                <w:color w:val="auto"/>
                <w:w w:val="92"/>
                <w:vertAlign w:val="superscript"/>
              </w:rPr>
              <w:t>(a)</w:t>
            </w:r>
          </w:p>
        </w:tc>
        <w:tc>
          <w:tcPr>
            <w:tcW w:w="120" w:type="dxa"/>
            <w:vAlign w:val="bottom"/>
          </w:tcPr>
          <w:p>
            <w:pPr>
              <w:spacing w:after="0"/>
              <w:rPr>
                <w:sz w:val="22"/>
                <w:szCs w:val="22"/>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Variance</w:t>
            </w:r>
          </w:p>
        </w:tc>
        <w:tc>
          <w:tcPr>
            <w:tcW w:w="1320" w:type="dxa"/>
            <w:vAlign w:val="bottom"/>
            <w:gridSpan w:val="2"/>
          </w:tcPr>
          <w:p>
            <w:pPr>
              <w:ind w:left="260"/>
              <w:spacing w:after="0"/>
              <w:rPr>
                <w:sz w:val="20"/>
                <w:szCs w:val="20"/>
                <w:color w:val="auto"/>
              </w:rPr>
            </w:pPr>
            <w:r>
              <w:rPr>
                <w:rFonts w:ascii="Arial" w:cs="Arial" w:eastAsia="Arial" w:hAnsi="Arial"/>
                <w:sz w:val="18"/>
                <w:szCs w:val="18"/>
                <w:color w:val="auto"/>
              </w:rPr>
              <w:t>Currency</w:t>
            </w:r>
          </w:p>
        </w:tc>
        <w:tc>
          <w:tcPr>
            <w:tcW w:w="1320" w:type="dxa"/>
            <w:vAlign w:val="bottom"/>
            <w:gridSpan w:val="2"/>
          </w:tcPr>
          <w:p>
            <w:pPr>
              <w:ind w:left="300"/>
              <w:spacing w:after="0"/>
              <w:rPr>
                <w:sz w:val="20"/>
                <w:szCs w:val="20"/>
                <w:color w:val="auto"/>
              </w:rPr>
            </w:pPr>
            <w:r>
              <w:rPr>
                <w:rFonts w:ascii="Arial" w:cs="Arial" w:eastAsia="Arial" w:hAnsi="Arial"/>
                <w:sz w:val="18"/>
                <w:szCs w:val="18"/>
                <w:color w:val="auto"/>
              </w:rPr>
              <w:t>Variance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Currency)</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Variance</w:t>
            </w:r>
          </w:p>
        </w:tc>
      </w:tr>
      <w:tr>
        <w:trPr>
          <w:trHeight w:val="244"/>
        </w:trPr>
        <w:tc>
          <w:tcPr>
            <w:tcW w:w="3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services: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Americas: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 %</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Other Americas</w:t>
            </w:r>
          </w:p>
        </w:tc>
        <w:tc>
          <w:tcPr>
            <w:tcW w:w="1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403.7</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10.7</w:t>
            </w:r>
          </w:p>
        </w:tc>
      </w:tr>
      <w:tr>
        <w:trPr>
          <w:trHeight w:val="27"/>
        </w:trPr>
        <w:tc>
          <w:tcPr>
            <w:tcW w:w="3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64"/>
        </w:trPr>
        <w:tc>
          <w:tcPr>
            <w:tcW w:w="3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1,007.3</w:t>
            </w:r>
          </w:p>
        </w:tc>
        <w:tc>
          <w:tcPr>
            <w:tcW w:w="12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w:t>
            </w:r>
          </w:p>
        </w:tc>
      </w:tr>
      <w:tr>
        <w:trPr>
          <w:trHeight w:val="237"/>
        </w:trPr>
        <w:tc>
          <w:tcPr>
            <w:tcW w:w="38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Southern Europe:</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France</w:t>
            </w:r>
          </w:p>
        </w:tc>
        <w:tc>
          <w:tcPr>
            <w:tcW w:w="1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1,301.4</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(1.1)</w:t>
            </w: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Italy</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355.9</w:t>
            </w:r>
          </w:p>
        </w:tc>
        <w:tc>
          <w:tcPr>
            <w:tcW w:w="12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(6.9)</w:t>
            </w: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Other Southern Europe</w:t>
            </w:r>
          </w:p>
        </w:tc>
        <w:tc>
          <w:tcPr>
            <w:tcW w:w="1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444.9</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1.5</w:t>
            </w:r>
          </w:p>
        </w:tc>
      </w:tr>
      <w:tr>
        <w:trPr>
          <w:trHeight w:val="27"/>
        </w:trPr>
        <w:tc>
          <w:tcPr>
            <w:tcW w:w="3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64"/>
        </w:trPr>
        <w:tc>
          <w:tcPr>
            <w:tcW w:w="3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2,102.2</w:t>
            </w:r>
          </w:p>
        </w:tc>
        <w:tc>
          <w:tcPr>
            <w:tcW w:w="12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r>
      <w:tr>
        <w:trPr>
          <w:trHeight w:val="264"/>
        </w:trPr>
        <w:tc>
          <w:tcPr>
            <w:tcW w:w="386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Northern Europe</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1,189.7</w:t>
            </w:r>
          </w:p>
        </w:tc>
        <w:tc>
          <w:tcPr>
            <w:tcW w:w="12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(8.2)</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APME</w:t>
            </w:r>
          </w:p>
        </w:tc>
        <w:tc>
          <w:tcPr>
            <w:tcW w:w="1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699.9</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5.9</w:t>
            </w: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Right Management</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w:t>
            </w:r>
          </w:p>
        </w:tc>
        <w:tc>
          <w:tcPr>
            <w:tcW w:w="12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w:t>
            </w:r>
          </w:p>
        </w:tc>
      </w:tr>
      <w:tr>
        <w:trPr>
          <w:trHeight w:val="297"/>
        </w:trPr>
        <w:tc>
          <w:tcPr>
            <w:tcW w:w="3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Consolidated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5,044.9</w:t>
            </w:r>
          </w:p>
        </w:tc>
        <w:tc>
          <w:tcPr>
            <w:tcW w:w="124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(1.5)</w:t>
            </w:r>
          </w:p>
        </w:tc>
      </w:tr>
      <w:tr>
        <w:trPr>
          <w:trHeight w:val="230"/>
        </w:trPr>
        <w:tc>
          <w:tcPr>
            <w:tcW w:w="3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804.8</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(2.5)</w:t>
            </w: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699.3</w:t>
            </w:r>
          </w:p>
        </w:tc>
        <w:tc>
          <w:tcPr>
            <w:tcW w:w="12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105.5</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(25.4)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In millions for the three months ended March 31, 2019.</w:t>
      </w:r>
    </w:p>
    <w:p>
      <w:pPr>
        <w:sectPr>
          <w:pgSz w:w="11900" w:h="16838" w:orient="portrait"/>
          <w:cols w:equalWidth="0" w:num="1">
            <w:col w:w="11420"/>
          </w:cols>
          <w:pgMar w:left="240" w:top="36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368" w:right="2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Cash used to fund our operations is primarily generated through operating activities and provided by our existing credit facilities. We believe our available cash and existing credit facilities are sufficient to cover our cash needs for the foreseeable future. We assess and monitor our liquidity and capital resources globally. We use a global cash pooling arrangement, intercompany lending, and some local credit lines to meet funding needs and allocate our capital resources among our various entities. As of March 31, 2019, we had $363.5 million of cash held by foreign subsidiaries. We have historically made and anticipate future cash repatriations to the United States from certain foreign subsidiaries to fund domestic operations. With the enactment of the United States Tax Cuts and Jobs Act in December 2017, we no longer recorded United States federal income taxes on unremitted earnings of non-United States subsidiaries. However, we do record deferred tax liabilities related to non-United States withholding and other taxes on unremitted earnings that are not considered permanently invested.</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Cash provided by operating activities was $101.9 million during the three months ended March 31, 2019 compared to cash used in operating activities of</w:t>
      </w:r>
    </w:p>
    <w:p>
      <w:pPr>
        <w:spacing w:after="0" w:line="4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$58.4 million during the three months ended March 31, 2018. Changes in operating assets and liabilities utilized $11.9 million of cash during the three months ended March 31, 2019 compared to $177.8 million during the three months ended March 31, 2018. These changes are primarily attributable to the timing of collections and payments and the contingent consideration of $24.1 million paid in 2018 in excess of the contingent consideration liabilities initially recognized on the acquisition date.</w:t>
      </w:r>
    </w:p>
    <w:p>
      <w:pPr>
        <w:spacing w:after="0" w:line="1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Accounts receivable decreased to $5,186.3 million as of March 31, 2019 from $5,276.1 million as of December 31, 2018. This decrease is primarily due to the revenue decline and changes in currency exchange rates, partially offset by higher Days Sales Outstanding ("DSO"). DSO increased by approximately two days from December 31, 2018 due primarily to unfavorable mix changes, as countries with a higher average DSO represented a higher percentage of our consolidated revenues.</w:t>
      </w:r>
    </w:p>
    <w:p>
      <w:pPr>
        <w:spacing w:after="0" w:line="187"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Capital expenditures were $10.0 million for the three months ended March 31, 2019 compared to $12.7 million for the three months ended March 31, 2018. These expenditures were primarily comprised of purchases of computer equipment, office furniture and other costs related to office openings and refurbishments, as well as capitalized software costs. The higher expenditures in 2018 compared to 2019 was primarily due to additional technology investment and the timing of capital expenditures.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From time to time, we acquire and invest in companies throughout the world, including franchises. For the three months ended March 31, 2019, the total cash consideration paid for acquisitions, net of cash acquired, was $0.6 million, which represents contingent consideration payments related to previous acquisitions. For the three months ended March 31, 2018, the total cash consideration for acquisitions, net of cash acquired, was $41.0 million, the majority of which took place in the Netherlands. This balance includes initial acquisition payments of $8.2 million and contingent consideration payments of $32.8 million ($8.7 million of which had been recognized as a liability at the acquisition date).</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Cash provided by net debt borrowings was $2.6 million in the three months ended March 31, 2019 compared to net debt repayments of $4.4 million in the three months ended March 31, 2018.</w:t>
      </w:r>
    </w:p>
    <w:p>
      <w:pPr>
        <w:spacing w:after="0" w:line="17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Our €500.0 million notes and €400.0 million notes are due June 2026 and September 2022, respectively. When the notes mature, we plan to repay the amounts with available cash, borrowings under our $600.0 million revolving credit facility or a new borrowing. The credit terms, including interest rate and facility fees, of any replacement borrowings will be dependent upon the condition of the credit markets at that time. We currently do not anticipate any problems accessing the credit markets should we decide to replace either the €500.0 million notes or the €400.0 million notes.</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March 31, 2019, we had letters of credit totaling $0.5 million issued under our $600.0 million revolving credit facility. Additional borrowings of $599.5 million were available to us under the facility as of March 31, 2019.</w:t>
      </w:r>
    </w:p>
    <w:p>
      <w:pPr>
        <w:spacing w:after="0" w:line="17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$600.0 million revolving credit agreement requires that we comply with a leverage ratio (Net Debt-to-Net Earnings before interest and other expenses, provision for income taxes, intangible asset amortization expense, depreciation and amortization expense ("EBITDA")) of not greater than 3.5 to 1 and a fixed charge coverage ratio of not less than 1.5 to 1. As defined in the agreement, we had a Net Debt-to-EBITDA ratio of 1.03 to 1 and a fixed charge coverage ratio of 5.32 to 1 as of March 31, 2019. Based on our current forecast, we expect to be in compliance with our financial covenants for the next 12 months.</w:t>
      </w:r>
    </w:p>
    <w:p>
      <w:pPr>
        <w:spacing w:after="0" w:line="15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 addition to the previously mentioned facilities, we maintain separate bank credit lines with financial institutions to meet working capital needs of our subsidiary operations. As of March 31, 2019, such uncommitted credit lines totaled $318.9 million, of which $265.5 million was unused. Under the Credit Agreement, total subsidiary borrowings cannot exceed $300.0 million in the first, second and fourth quarters, and $600.0 million in the third quarter of each year. Due to these limitations, additional borrowings of $246.6 million could have been made under these lines as of March 31, 2019.</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68" w:right="239" w:bottom="1440" w:gutter="0" w:footer="0" w:header="0"/>
        </w:sectPr>
      </w:pPr>
    </w:p>
    <w:bookmarkStart w:id="26" w:name="page27"/>
    <w:bookmarkEnd w:id="26"/>
    <w:p>
      <w:pPr>
        <w:ind w:right="40"/>
        <w:spacing w:after="0" w:line="273" w:lineRule="auto"/>
        <w:rPr>
          <w:sz w:val="20"/>
          <w:szCs w:val="20"/>
          <w:color w:val="auto"/>
        </w:rPr>
      </w:pPr>
      <w:r>
        <w:rPr>
          <w:rFonts w:ascii="Arial" w:cs="Arial" w:eastAsia="Arial" w:hAnsi="Arial"/>
          <w:sz w:val="17"/>
          <w:szCs w:val="17"/>
          <w:color w:val="auto"/>
        </w:rPr>
        <w:t>In August 2018, the Board of Directors authorized the repurchase of 6.0 million shares of our common stock. This authorization is in addition to the July 2016 Board authorization to repurchase 6.0 million shares of our common stock. Share repurchases may be made from time to time through a variety of methods, including open market purchases, block transactions, privately negotiated transactions or similar facilities. During the first quarter of 2019, we repurchased a total of 1.2 million shares at a cost of $101.0 million under the 2018 authorization. During the first quarter of 2018, we repurchased 0.4 million shares at a cost of $50.1 million under the 2016 authorization. As of March 31, 2019, there were 1.9 million shares remaining authorized for repurchase under the 2018 authorization and no shares remaining authorized for repurchase under the 2016 authorization.</w:t>
      </w:r>
    </w:p>
    <w:p>
      <w:pPr>
        <w:spacing w:after="0" w:line="1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had aggregate commitments of $2,102.8 as of March 31, 2019 related to debt, operating leases, severances and office closure costs, transition tax resulting from the Tax Act and certain other commitments compared to $2,236.4 million as of December 31, 2018.</w:t>
      </w:r>
    </w:p>
    <w:p>
      <w:pPr>
        <w:spacing w:after="0" w:line="170" w:lineRule="exact"/>
        <w:rPr>
          <w:sz w:val="20"/>
          <w:szCs w:val="20"/>
          <w:color w:val="auto"/>
        </w:rPr>
      </w:pPr>
    </w:p>
    <w:p>
      <w:pPr>
        <w:jc w:val="both"/>
        <w:ind w:right="140"/>
        <w:spacing w:after="0" w:line="272" w:lineRule="auto"/>
        <w:rPr>
          <w:sz w:val="20"/>
          <w:szCs w:val="20"/>
          <w:color w:val="auto"/>
        </w:rPr>
      </w:pPr>
      <w:r>
        <w:rPr>
          <w:rFonts w:ascii="Arial" w:cs="Arial" w:eastAsia="Arial" w:hAnsi="Arial"/>
          <w:sz w:val="17"/>
          <w:szCs w:val="17"/>
          <w:color w:val="auto"/>
        </w:rPr>
        <w:t>We also have entered into guarantee contracts and stand-by letters of credit totaling approximately $184.2 million and $190.3 million as of March 31, 2019 and December 31, 2018, respectively, which consist of $132.9 million and $139.0 million for guarantees, respectively, and $51.3 million for stand-by letters of credit as of both March 31, 2019 and December 31, 2018. Guarantees primarily relate to bank accounts, operating leases and indebtedness. The letters of credit relate to workers’ compensation, operating leases and indebtedness. If certain conditions were met under these arrangements, we would be required to satisfy our obligations in cash. Due to the nature of these arrangements and our historical experience, we do not expect any significant payments under these arrangements. Therefore, they have been excluded from our aggregate commitments. The cost of these guarantees and letters of credit was $0.4 million and $0.5 million for the three months ended March 31, 2019 and 2018, respectively.</w:t>
      </w:r>
    </w:p>
    <w:p>
      <w:pPr>
        <w:spacing w:after="0" w:line="178"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We recorded net restructuring costs of $39.8 million and $24.0 million during the three months ended March 31, 2019 and 2018, respectively, in selling and administrative expenses, primarily related to severances and office closures and consolidations in multiple countries and territories. During the three months ended March 31, 2019, we made payments, utilized or transferred $22.1 million out of our restructuring reserve ($7.6 million of this amount was transferred to current operating lease liabilities). We expect a majority of the remaining $33.2 million reserve will be paid by the end of 2019.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Event (Acquisition of remaining interests in Switzerland)</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April 3, 2019, we acquired the remaining 51% controlling interest in our Swiss franchise (“Manpower Switzerland”) to obtain full ownership of the entity. Additionally, as part of the purchase agreement we acquired the remaining 20% interest in Experis AG. Manpower Switzerland provides contingent staffing services under our Manpower brand in the four main language regions in Switzerland. The aggregate cash consideration paid was $212.7 million and was funded through cash on hand. Of the total consideration paid, $58.3 million was for the acquired interests and the remaining $154.4 million was for cash and cash equivalents.</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Our investment in Manpower Switzerland prior to the acquisition was accounted for under the equity method of accounting and we recorded our share of equity income or loss in interest and other expenses on the Consolidated Statements of Operations.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acquisition of the remaining controlling interest in Manpower Switzerland will be accounted for as a business combination and the assets and liabilities of Manpower Switzerland will be included in the Consolidated Balance Sheets as of the acquisition date, and its performance will be included in the Consolidated Statements of Operations subsequent to the acquisition date. The major classes of assets and liabilities of Manpower Switzerland are expected to be cash and cash equivalents, accounts receivable, current and long-term liabilities, goodwill and other intangible assets (amortizable and non-amortizable) and the funded status of its defined benefit pension plan.</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acquisition of the remaining interest in Experis AG will be accounted for as the purchase of a noncontrolling interest as we previously consolidated the entity.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25"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Statements made in this quarterly report that are not statements of historical fact are forward-looking statements. In addition, from time to time, we and our representatives may make statements that are forward-looking. All forward-looking statements involve risks and uncertainties. The information in Item 1A. Risk Factors in our annual report on Form 10-K for the year ended December 31, 2018, which information is incorporated herein by reference, provides cautionary statements identifying, for purposes of the safe harbor provisions of the Private Securities Litigation Reform Act of 1995, important factors that could cause our actual results to differ materially from those contained in the forward-looking statements. Forward-looking statements can be identified by words such as “expect,” “anticipate,” “intend,” “plan,” “may,” “believe,” “seek,” “estimate,” and similar expressions. Some or all of the factors identified in our annual report on Form 10-K may be beyond our control. Other risks and uncertainties include, but are not limited to, the following: changes in tax legislation in places we do business; challenges in growing our business in certain European markets; failure to implement strategic technology investments; and other factors that may be disclosed from time to time in our SEC filings or otherwise. We caution that any forward-looking statement reflects only our belief at the time the statement is made. We undertake no obligation to update any forward-looking statements to reflect subsequent events or circumstances.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Quantitative and Qualitative Disclosures About Market Risk</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2018 Annual Report on Form 10-K contains certain disclosures about market risks affecting us. There have been no material changes to the information provided which would require additional disclosures as of the date of this filing.</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Controls and Procedures</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We carried out an evaluation, under the supervision and with the participation of our management, including our Chief Executive Officer and our Executive Vice President and Chief Financial Officer, of the effectiveness of the design and operation of our disclosure controls and procedures at a reasonable assurance level pursuant to Rule 13a-15 of the Exchange Act. Based on that evaluation, our Chief Executive Officer and our Executive Vice President and Chief Financial Officer concluded that, as of the end of the period covered by this report, our disclosure controls and procedures were effective at the reasonable assurance level.</w:t>
      </w:r>
    </w:p>
    <w:p>
      <w:pPr>
        <w:spacing w:after="0" w:line="17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68" w:right="239" w:bottom="1440" w:gutter="0" w:footer="0" w:header="0"/>
        </w:sectPr>
      </w:pPr>
    </w:p>
    <w:bookmarkStart w:id="28" w:name="page29"/>
    <w:bookmarkEnd w:id="28"/>
    <w:p>
      <w:pPr>
        <w:ind w:left="4300"/>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 Unregistered Sales of Equity Securities and Use of Proceeds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August 2018, the Board of Directors authorized the repurchase of 6.0 million shares of our common stock. We conduct share repurchases from time to time through a variety of methods, including open market purchases, block transactions, privately negotiated transactions or similar facilities. The following table shows the total number of shares repurchased during the first quarter of 2019.</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5480" w:type="dxa"/>
            <w:vAlign w:val="bottom"/>
            <w:gridSpan w:val="6"/>
          </w:tcPr>
          <w:p>
            <w:pPr>
              <w:ind w:left="1060"/>
              <w:spacing w:after="0"/>
              <w:rPr>
                <w:sz w:val="20"/>
                <w:szCs w:val="20"/>
                <w:color w:val="auto"/>
              </w:rPr>
            </w:pPr>
            <w:r>
              <w:rPr>
                <w:rFonts w:ascii="Arial" w:cs="Arial" w:eastAsia="Arial" w:hAnsi="Arial"/>
                <w:sz w:val="18"/>
                <w:szCs w:val="18"/>
                <w:b w:val="1"/>
                <w:bCs w:val="1"/>
                <w:color w:val="auto"/>
              </w:rPr>
              <w:t>ISSUER PURCHASES OF EQUITY SECURITIES</w:t>
            </w: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52"/>
        </w:trPr>
        <w:tc>
          <w:tcPr>
            <w:tcW w:w="26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3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26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5"/>
              </w:rPr>
              <w:t>shares purchased</w:t>
            </w:r>
          </w:p>
        </w:tc>
        <w:tc>
          <w:tcPr>
            <w:tcW w:w="3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 shares</w:t>
            </w:r>
          </w:p>
        </w:tc>
      </w:tr>
      <w:tr>
        <w:trPr>
          <w:trHeight w:val="216"/>
        </w:trPr>
        <w:tc>
          <w:tcPr>
            <w:tcW w:w="26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Total number of</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60"/>
              <w:spacing w:after="0"/>
              <w:rPr>
                <w:sz w:val="20"/>
                <w:szCs w:val="20"/>
                <w:color w:val="auto"/>
              </w:rPr>
            </w:pPr>
            <w:r>
              <w:rPr>
                <w:rFonts w:ascii="Arial" w:cs="Arial" w:eastAsia="Arial" w:hAnsi="Arial"/>
                <w:sz w:val="18"/>
                <w:szCs w:val="18"/>
                <w:b w:val="1"/>
                <w:bCs w:val="1"/>
                <w:color w:val="auto"/>
              </w:rPr>
              <w:t>Average price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 publicly</w:t>
            </w:r>
          </w:p>
        </w:tc>
        <w:tc>
          <w:tcPr>
            <w:tcW w:w="3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that may yet be</w:t>
            </w:r>
          </w:p>
        </w:tc>
      </w:tr>
      <w:tr>
        <w:trPr>
          <w:trHeight w:val="234"/>
        </w:trPr>
        <w:tc>
          <w:tcPr>
            <w:tcW w:w="26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w w:val="90"/>
              </w:rPr>
              <w:t>shares purchased</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ind w:left="40"/>
              <w:spacing w:after="0"/>
              <w:rPr>
                <w:sz w:val="20"/>
                <w:szCs w:val="20"/>
                <w:color w:val="auto"/>
              </w:rPr>
            </w:pPr>
            <w:r>
              <w:rPr>
                <w:rFonts w:ascii="Arial" w:cs="Arial" w:eastAsia="Arial" w:hAnsi="Arial"/>
                <w:sz w:val="18"/>
                <w:szCs w:val="18"/>
                <w:b w:val="1"/>
                <w:bCs w:val="1"/>
                <w:color w:val="auto"/>
              </w:rPr>
              <w:t>paid per share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 plan</w:t>
            </w:r>
          </w:p>
        </w:tc>
        <w:tc>
          <w:tcPr>
            <w:tcW w:w="3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purchased</w:t>
            </w:r>
          </w:p>
        </w:tc>
      </w:tr>
      <w:tr>
        <w:trPr>
          <w:trHeight w:val="27"/>
        </w:trPr>
        <w:tc>
          <w:tcPr>
            <w:tcW w:w="266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1 - 30, 2019</w:t>
            </w:r>
          </w:p>
        </w:tc>
        <w:tc>
          <w:tcPr>
            <w:tcW w:w="33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225</w:t>
            </w:r>
          </w:p>
        </w:tc>
        <w:tc>
          <w:tcPr>
            <w:tcW w:w="36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rPr>
              <w:t>(1)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3,148,793</w:t>
            </w: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February 1 - 28, 2019</w:t>
            </w:r>
          </w:p>
        </w:tc>
        <w:tc>
          <w:tcPr>
            <w:tcW w:w="3300" w:type="dxa"/>
            <w:vAlign w:val="bottom"/>
            <w:gridSpan w:val="2"/>
          </w:tcPr>
          <w:p>
            <w:pPr>
              <w:jc w:val="right"/>
              <w:ind w:right="30"/>
              <w:spacing w:after="0"/>
              <w:rPr>
                <w:sz w:val="20"/>
                <w:szCs w:val="20"/>
                <w:color w:val="auto"/>
              </w:rPr>
            </w:pPr>
            <w:r>
              <w:rPr>
                <w:rFonts w:ascii="Arial" w:cs="Arial" w:eastAsia="Arial" w:hAnsi="Arial"/>
                <w:sz w:val="18"/>
                <w:szCs w:val="18"/>
                <w:color w:val="auto"/>
              </w:rPr>
              <w:t>912,347</w:t>
            </w:r>
          </w:p>
        </w:tc>
        <w:tc>
          <w:tcPr>
            <w:tcW w:w="360" w:type="dxa"/>
            <w:vAlign w:val="bottom"/>
          </w:tcPr>
          <w:p>
            <w:pPr>
              <w:jc w:val="right"/>
              <w:ind w:right="117"/>
              <w:spacing w:after="0"/>
              <w:rPr>
                <w:sz w:val="20"/>
                <w:szCs w:val="20"/>
                <w:color w:val="auto"/>
              </w:rPr>
            </w:pPr>
            <w:r>
              <w:rPr>
                <w:rFonts w:ascii="Arial" w:cs="Arial" w:eastAsia="Arial" w:hAnsi="Arial"/>
                <w:sz w:val="13"/>
                <w:szCs w:val="13"/>
                <w:color w:val="auto"/>
              </w:rPr>
              <w:t>(2)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83.13</w:t>
            </w:r>
          </w:p>
        </w:tc>
        <w:tc>
          <w:tcPr>
            <w:tcW w:w="3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841,797</w:t>
            </w:r>
          </w:p>
        </w:tc>
        <w:tc>
          <w:tcPr>
            <w:tcW w:w="1800" w:type="dxa"/>
            <w:vAlign w:val="bottom"/>
            <w:gridSpan w:val="2"/>
          </w:tcPr>
          <w:p>
            <w:pPr>
              <w:jc w:val="right"/>
              <w:ind w:right="10"/>
              <w:spacing w:after="0"/>
              <w:rPr>
                <w:sz w:val="20"/>
                <w:szCs w:val="20"/>
                <w:color w:val="auto"/>
              </w:rPr>
            </w:pPr>
            <w:r>
              <w:rPr>
                <w:rFonts w:ascii="Arial" w:cs="Arial" w:eastAsia="Arial" w:hAnsi="Arial"/>
                <w:sz w:val="18"/>
                <w:szCs w:val="18"/>
                <w:color w:val="auto"/>
              </w:rPr>
              <w:t>2,306,996</w:t>
            </w:r>
          </w:p>
        </w:tc>
      </w:tr>
      <w:tr>
        <w:trPr>
          <w:trHeight w:val="27"/>
        </w:trPr>
        <w:tc>
          <w:tcPr>
            <w:tcW w:w="26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1 - 31, 2019</w:t>
            </w:r>
          </w:p>
        </w:tc>
        <w:tc>
          <w:tcPr>
            <w:tcW w:w="18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367,937</w:t>
            </w:r>
          </w:p>
        </w:tc>
        <w:tc>
          <w:tcPr>
            <w:tcW w:w="3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84.23</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367,937</w:t>
            </w:r>
          </w:p>
        </w:tc>
        <w:tc>
          <w:tcPr>
            <w:tcW w:w="18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1,939,059</w:t>
            </w:r>
          </w:p>
        </w:tc>
      </w:tr>
      <w:tr>
        <w:trPr>
          <w:trHeight w:val="257"/>
        </w:trPr>
        <w:tc>
          <w:tcPr>
            <w:tcW w:w="2660" w:type="dxa"/>
            <w:vAlign w:val="bottom"/>
          </w:tcPr>
          <w:p>
            <w:pPr>
              <w:ind w:left="280"/>
              <w:spacing w:after="0"/>
              <w:rPr>
                <w:sz w:val="20"/>
                <w:szCs w:val="20"/>
                <w:color w:val="auto"/>
              </w:rPr>
            </w:pPr>
            <w:r>
              <w:rPr>
                <w:rFonts w:ascii="Arial" w:cs="Arial" w:eastAsia="Arial" w:hAnsi="Arial"/>
                <w:sz w:val="18"/>
                <w:szCs w:val="18"/>
                <w:color w:val="auto"/>
              </w:rPr>
              <w:t>Total</w:t>
            </w:r>
          </w:p>
        </w:tc>
        <w:tc>
          <w:tcPr>
            <w:tcW w:w="180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1,280,509</w:t>
            </w:r>
          </w:p>
        </w:tc>
        <w:tc>
          <w:tcPr>
            <w:tcW w:w="3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83.47</w:t>
            </w:r>
          </w:p>
        </w:tc>
        <w:tc>
          <w:tcPr>
            <w:tcW w:w="34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1,209,734</w:t>
            </w:r>
          </w:p>
        </w:tc>
        <w:tc>
          <w:tcPr>
            <w:tcW w:w="1800" w:type="dxa"/>
            <w:vAlign w:val="bottom"/>
            <w:gridSpan w:val="2"/>
          </w:tcPr>
          <w:p>
            <w:pPr>
              <w:jc w:val="right"/>
              <w:ind w:right="10"/>
              <w:spacing w:after="0"/>
              <w:rPr>
                <w:sz w:val="20"/>
                <w:szCs w:val="20"/>
                <w:color w:val="auto"/>
              </w:rPr>
            </w:pPr>
            <w:r>
              <w:rPr>
                <w:rFonts w:ascii="Arial" w:cs="Arial" w:eastAsia="Arial" w:hAnsi="Arial"/>
                <w:sz w:val="18"/>
                <w:szCs w:val="18"/>
                <w:color w:val="auto"/>
              </w:rPr>
              <w:t>1,939,059</w:t>
            </w:r>
          </w:p>
        </w:tc>
      </w:tr>
      <w:tr>
        <w:trPr>
          <w:trHeight w:val="20"/>
        </w:trPr>
        <w:tc>
          <w:tcPr>
            <w:tcW w:w="26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20" w:hanging="332"/>
        <w:spacing w:after="0" w:line="258"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225 shares of common stock were withheld by ManpowerGroup to satisfy tax withholding obligations on shares acquired by an officer in settlement of restricted stock.</w:t>
      </w:r>
    </w:p>
    <w:p>
      <w:pPr>
        <w:spacing w:after="0" w:line="1" w:lineRule="exact"/>
        <w:rPr>
          <w:rFonts w:ascii="Arial" w:cs="Arial" w:eastAsia="Arial" w:hAnsi="Arial"/>
          <w:sz w:val="18"/>
          <w:szCs w:val="18"/>
          <w:color w:val="auto"/>
        </w:rPr>
      </w:pPr>
    </w:p>
    <w:p>
      <w:pPr>
        <w:ind w:left="340" w:right="320" w:hanging="332"/>
        <w:spacing w:after="0" w:line="261"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70,550 shares of common stock withheld by ManpowerGroup to satisfy tax withholding obligations on shares acquired by certain officers in settlement of restricted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 Approval of Audit-Related and Non-Audit Services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Audit Committee of our Board of Directors has approved the following audit-related and non-audit services performed or to be performed for us by our independent registered public accounting firm, Deloitte &amp; Touche LLP and affiliates, to date in 2019:</w:t>
      </w:r>
    </w:p>
    <w:p>
      <w:pPr>
        <w:spacing w:after="0" w:line="116" w:lineRule="exact"/>
        <w:rPr>
          <w:sz w:val="20"/>
          <w:szCs w:val="20"/>
          <w:color w:val="auto"/>
        </w:rPr>
      </w:pPr>
    </w:p>
    <w:p>
      <w:pPr>
        <w:ind w:left="500" w:right="180" w:hanging="465"/>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preparation and/or review of tax returns, including sales and use tax, excise tax, income tax, local tax, property tax, and value-added tax, consultation regarding appropriate handling of items on the United States and international tax returns;</w:t>
      </w:r>
    </w:p>
    <w:p>
      <w:pPr>
        <w:spacing w:after="0" w:line="183" w:lineRule="exact"/>
        <w:rPr>
          <w:rFonts w:ascii="Arial" w:cs="Arial" w:eastAsia="Arial" w:hAnsi="Arial"/>
          <w:sz w:val="18"/>
          <w:szCs w:val="18"/>
          <w:color w:val="auto"/>
        </w:rPr>
      </w:pPr>
    </w:p>
    <w:p>
      <w:pPr>
        <w:ind w:left="500" w:right="380" w:hanging="465"/>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advice and assistance with respect to transfer pricing matters, as well as communicating with various taxing authorities regarding the requirements associated with royalties and inter-company pricing, and tax audits; and</w:t>
      </w:r>
    </w:p>
    <w:p>
      <w:pPr>
        <w:spacing w:after="0" w:line="183" w:lineRule="exact"/>
        <w:rPr>
          <w:rFonts w:ascii="Arial" w:cs="Arial" w:eastAsia="Arial" w:hAnsi="Arial"/>
          <w:sz w:val="18"/>
          <w:szCs w:val="18"/>
          <w:color w:val="auto"/>
        </w:rPr>
      </w:pPr>
    </w:p>
    <w:p>
      <w:pPr>
        <w:ind w:left="500" w:hanging="465"/>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audit services with respect to certain procedures and certifications where required; and</w:t>
      </w:r>
    </w:p>
    <w:p>
      <w:pPr>
        <w:spacing w:after="0" w:line="238" w:lineRule="exact"/>
        <w:rPr>
          <w:rFonts w:ascii="Arial" w:cs="Arial" w:eastAsia="Arial" w:hAnsi="Arial"/>
          <w:sz w:val="18"/>
          <w:szCs w:val="18"/>
          <w:color w:val="auto"/>
        </w:rPr>
      </w:pPr>
    </w:p>
    <w:p>
      <w:pPr>
        <w:ind w:left="500" w:hanging="465"/>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services consisting of market research to benchmark certain aspects of our business.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6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auto"/>
        </w:rPr>
        <w:t>Item 6 – Exhibits</w:t>
      </w:r>
    </w:p>
    <w:p>
      <w:pPr>
        <w:spacing w:after="0" w:line="387" w:lineRule="exact"/>
        <w:rPr>
          <w:sz w:val="20"/>
          <w:szCs w:val="20"/>
          <w:color w:val="auto"/>
        </w:rPr>
      </w:pPr>
    </w:p>
    <w:p>
      <w:pPr>
        <w:ind w:left="40"/>
        <w:spacing w:after="0"/>
        <w:tabs>
          <w:tab w:leader="none" w:pos="580" w:val="left"/>
        </w:tabs>
        <w:rPr>
          <w:rFonts w:ascii="Arial" w:cs="Arial" w:eastAsia="Arial" w:hAnsi="Arial"/>
          <w:sz w:val="16"/>
          <w:szCs w:val="16"/>
          <w:u w:val="single" w:color="auto"/>
          <w:color w:val="0000FF"/>
        </w:rPr>
      </w:pPr>
      <w:hyperlink w:anchor="page32">
        <w:r>
          <w:rPr>
            <w:rFonts w:ascii="Arial" w:cs="Arial" w:eastAsia="Arial" w:hAnsi="Arial"/>
            <w:sz w:val="18"/>
            <w:szCs w:val="18"/>
            <w:u w:val="single" w:color="auto"/>
            <w:color w:val="0000FF"/>
          </w:rPr>
          <w:t>10.1</w:t>
        </w:r>
      </w:hyperlink>
      <w:r>
        <w:rPr>
          <w:rFonts w:ascii="Arial" w:cs="Arial" w:eastAsia="Arial" w:hAnsi="Arial"/>
          <w:sz w:val="18"/>
          <w:szCs w:val="18"/>
          <w:u w:val="single" w:color="auto"/>
          <w:color w:val="0000FF"/>
        </w:rPr>
        <w:tab/>
      </w:r>
      <w:hyperlink w:anchor="page32">
        <w:r>
          <w:rPr>
            <w:rFonts w:ascii="Arial" w:cs="Arial" w:eastAsia="Arial" w:hAnsi="Arial"/>
            <w:sz w:val="16"/>
            <w:szCs w:val="16"/>
            <w:u w:val="single" w:color="auto"/>
            <w:color w:val="0000FF"/>
          </w:rPr>
          <w:t>Form of 2019 Stock Option Agreement under the 2011 Equity Incentive Plan.</w:t>
        </w:r>
      </w:hyperlink>
    </w:p>
    <w:p>
      <w:pPr>
        <w:spacing w:after="0" w:line="387" w:lineRule="exact"/>
        <w:rPr>
          <w:sz w:val="20"/>
          <w:szCs w:val="20"/>
          <w:color w:val="auto"/>
        </w:rPr>
      </w:pPr>
    </w:p>
    <w:p>
      <w:pPr>
        <w:ind w:left="40"/>
        <w:spacing w:after="0"/>
        <w:tabs>
          <w:tab w:leader="none" w:pos="580" w:val="left"/>
        </w:tabs>
        <w:rPr>
          <w:rFonts w:ascii="Arial" w:cs="Arial" w:eastAsia="Arial" w:hAnsi="Arial"/>
          <w:sz w:val="16"/>
          <w:szCs w:val="16"/>
          <w:u w:val="single" w:color="auto"/>
          <w:color w:val="0000FF"/>
        </w:rPr>
      </w:pPr>
      <w:hyperlink w:anchor="page36">
        <w:r>
          <w:rPr>
            <w:rFonts w:ascii="Arial" w:cs="Arial" w:eastAsia="Arial" w:hAnsi="Arial"/>
            <w:sz w:val="18"/>
            <w:szCs w:val="18"/>
            <w:u w:val="single" w:color="auto"/>
            <w:color w:val="0000FF"/>
          </w:rPr>
          <w:t>10.2</w:t>
        </w:r>
      </w:hyperlink>
      <w:r>
        <w:rPr>
          <w:rFonts w:ascii="Arial" w:cs="Arial" w:eastAsia="Arial" w:hAnsi="Arial"/>
          <w:sz w:val="18"/>
          <w:szCs w:val="18"/>
          <w:u w:val="single" w:color="auto"/>
          <w:color w:val="0000FF"/>
        </w:rPr>
        <w:tab/>
      </w:r>
      <w:hyperlink w:anchor="page36">
        <w:r>
          <w:rPr>
            <w:rFonts w:ascii="Arial" w:cs="Arial" w:eastAsia="Arial" w:hAnsi="Arial"/>
            <w:sz w:val="16"/>
            <w:szCs w:val="16"/>
            <w:u w:val="single" w:color="auto"/>
            <w:color w:val="0000FF"/>
          </w:rPr>
          <w:t>Form of 2019 Performance Share Unit Agreement for Executive Officers under the 2011 Equity Incentive Plan.</w:t>
        </w:r>
      </w:hyperlink>
    </w:p>
    <w:p>
      <w:pPr>
        <w:spacing w:after="0" w:line="387" w:lineRule="exact"/>
        <w:rPr>
          <w:sz w:val="20"/>
          <w:szCs w:val="20"/>
          <w:color w:val="auto"/>
        </w:rPr>
      </w:pPr>
    </w:p>
    <w:p>
      <w:pPr>
        <w:ind w:left="40"/>
        <w:spacing w:after="0"/>
        <w:tabs>
          <w:tab w:leader="none" w:pos="580" w:val="left"/>
        </w:tabs>
        <w:rPr>
          <w:rFonts w:ascii="Arial" w:cs="Arial" w:eastAsia="Arial" w:hAnsi="Arial"/>
          <w:sz w:val="16"/>
          <w:szCs w:val="16"/>
          <w:u w:val="single" w:color="auto"/>
          <w:color w:val="0000FF"/>
        </w:rPr>
      </w:pPr>
      <w:hyperlink w:anchor="page42">
        <w:r>
          <w:rPr>
            <w:rFonts w:ascii="Arial" w:cs="Arial" w:eastAsia="Arial" w:hAnsi="Arial"/>
            <w:sz w:val="18"/>
            <w:szCs w:val="18"/>
            <w:u w:val="single" w:color="auto"/>
            <w:color w:val="0000FF"/>
          </w:rPr>
          <w:t>31.1</w:t>
        </w:r>
      </w:hyperlink>
      <w:r>
        <w:rPr>
          <w:rFonts w:ascii="Arial" w:cs="Arial" w:eastAsia="Arial" w:hAnsi="Arial"/>
          <w:sz w:val="18"/>
          <w:szCs w:val="18"/>
          <w:u w:val="single" w:color="auto"/>
          <w:color w:val="0000FF"/>
        </w:rPr>
        <w:tab/>
      </w:r>
      <w:hyperlink w:anchor="page42">
        <w:r>
          <w:rPr>
            <w:rFonts w:ascii="Arial" w:cs="Arial" w:eastAsia="Arial" w:hAnsi="Arial"/>
            <w:sz w:val="16"/>
            <w:szCs w:val="16"/>
            <w:u w:val="single" w:color="auto"/>
            <w:color w:val="0000FF"/>
          </w:rPr>
          <w:t>Certification of Jonas Prising, Chief Executive Officer, pursuant to Section 13a-14(a) of the Securities Exchange Act of 1934.</w:t>
        </w:r>
      </w:hyperlink>
    </w:p>
    <w:p>
      <w:pPr>
        <w:spacing w:after="0" w:line="387" w:lineRule="exact"/>
        <w:rPr>
          <w:sz w:val="20"/>
          <w:szCs w:val="20"/>
          <w:color w:val="auto"/>
        </w:rPr>
      </w:pPr>
    </w:p>
    <w:p>
      <w:pPr>
        <w:ind w:left="600" w:hanging="566"/>
        <w:spacing w:after="0" w:line="277" w:lineRule="auto"/>
        <w:tabs>
          <w:tab w:leader="none" w:pos="580" w:val="left"/>
        </w:tabs>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31.2</w:t>
        </w:r>
      </w:hyperlink>
      <w:r>
        <w:rPr>
          <w:rFonts w:ascii="Arial" w:cs="Arial" w:eastAsia="Arial" w:hAnsi="Arial"/>
          <w:sz w:val="18"/>
          <w:szCs w:val="18"/>
          <w:u w:val="single" w:color="auto"/>
          <w:color w:val="0000FF"/>
        </w:rPr>
        <w:tab/>
      </w:r>
      <w:hyperlink w:anchor="page43">
        <w:r>
          <w:rPr>
            <w:rFonts w:ascii="Arial" w:cs="Arial" w:eastAsia="Arial" w:hAnsi="Arial"/>
            <w:sz w:val="18"/>
            <w:szCs w:val="18"/>
            <w:u w:val="single" w:color="auto"/>
            <w:color w:val="0000FF"/>
          </w:rPr>
          <w:t>Certification of John T. McGinnis, Executive Vice President and Chief Financial Officer, pursuant to Section 13a-14(a) of the Securities Exchange</w:t>
        </w:r>
      </w:hyperlink>
      <w:r>
        <w:rPr>
          <w:rFonts w:ascii="Arial" w:cs="Arial" w:eastAsia="Arial" w:hAnsi="Arial"/>
          <w:sz w:val="18"/>
          <w:szCs w:val="18"/>
          <w:u w:val="single" w:color="auto"/>
          <w:color w:val="0000FF"/>
        </w:rPr>
        <w:t xml:space="preserve"> </w:t>
      </w:r>
      <w:hyperlink w:anchor="page43">
        <w:r>
          <w:rPr>
            <w:rFonts w:ascii="Arial" w:cs="Arial" w:eastAsia="Arial" w:hAnsi="Arial"/>
            <w:sz w:val="18"/>
            <w:szCs w:val="18"/>
            <w:u w:val="single" w:color="auto"/>
            <w:color w:val="0000FF"/>
          </w:rPr>
          <w:t>Act of 1934.</w:t>
        </w:r>
      </w:hyperlink>
    </w:p>
    <w:p>
      <w:pPr>
        <w:spacing w:after="0" w:line="333" w:lineRule="exact"/>
        <w:rPr>
          <w:rFonts w:ascii="Arial" w:cs="Arial" w:eastAsia="Arial" w:hAnsi="Arial"/>
          <w:sz w:val="18"/>
          <w:szCs w:val="18"/>
          <w:u w:val="single" w:color="auto"/>
          <w:color w:val="0000FF"/>
        </w:rPr>
      </w:pPr>
    </w:p>
    <w:p>
      <w:pPr>
        <w:ind w:left="40"/>
        <w:spacing w:after="0"/>
        <w:tabs>
          <w:tab w:leader="none" w:pos="580" w:val="left"/>
        </w:tabs>
        <w:rPr>
          <w:rFonts w:ascii="Arial" w:cs="Arial" w:eastAsia="Arial" w:hAnsi="Arial"/>
          <w:sz w:val="16"/>
          <w:szCs w:val="16"/>
          <w:u w:val="single" w:color="auto"/>
          <w:color w:val="0000FF"/>
        </w:rPr>
      </w:pPr>
      <w:hyperlink w:anchor="page44">
        <w:r>
          <w:rPr>
            <w:rFonts w:ascii="Arial" w:cs="Arial" w:eastAsia="Arial" w:hAnsi="Arial"/>
            <w:sz w:val="18"/>
            <w:szCs w:val="18"/>
            <w:u w:val="single" w:color="auto"/>
            <w:color w:val="0000FF"/>
          </w:rPr>
          <w:t>32.1</w:t>
        </w:r>
      </w:hyperlink>
      <w:r>
        <w:rPr>
          <w:rFonts w:ascii="Arial" w:cs="Arial" w:eastAsia="Arial" w:hAnsi="Arial"/>
          <w:sz w:val="18"/>
          <w:szCs w:val="18"/>
          <w:u w:val="single" w:color="auto"/>
          <w:color w:val="0000FF"/>
        </w:rPr>
        <w:tab/>
      </w:r>
      <w:hyperlink w:anchor="page44">
        <w:r>
          <w:rPr>
            <w:rFonts w:ascii="Arial" w:cs="Arial" w:eastAsia="Arial" w:hAnsi="Arial"/>
            <w:sz w:val="16"/>
            <w:szCs w:val="16"/>
            <w:u w:val="single" w:color="auto"/>
            <w:color w:val="0000FF"/>
          </w:rPr>
          <w:t>Statement of Jonas Prising, Chief Executive Officer, pursuant to 18 U.S.C. ss. 1350.</w:t>
        </w:r>
      </w:hyperlink>
    </w:p>
    <w:p>
      <w:pPr>
        <w:spacing w:after="0" w:line="387" w:lineRule="exact"/>
        <w:rPr>
          <w:sz w:val="20"/>
          <w:szCs w:val="20"/>
          <w:color w:val="auto"/>
        </w:rPr>
      </w:pPr>
    </w:p>
    <w:p>
      <w:pPr>
        <w:ind w:left="40"/>
        <w:spacing w:after="0"/>
        <w:tabs>
          <w:tab w:leader="none" w:pos="580" w:val="left"/>
        </w:tabs>
        <w:rPr>
          <w:rFonts w:ascii="Arial" w:cs="Arial" w:eastAsia="Arial" w:hAnsi="Arial"/>
          <w:sz w:val="16"/>
          <w:szCs w:val="16"/>
          <w:u w:val="single" w:color="auto"/>
          <w:color w:val="0000FF"/>
        </w:rPr>
      </w:pPr>
      <w:hyperlink w:anchor="page45">
        <w:r>
          <w:rPr>
            <w:rFonts w:ascii="Arial" w:cs="Arial" w:eastAsia="Arial" w:hAnsi="Arial"/>
            <w:sz w:val="18"/>
            <w:szCs w:val="18"/>
            <w:u w:val="single" w:color="auto"/>
            <w:color w:val="0000FF"/>
          </w:rPr>
          <w:t>32.2</w:t>
        </w:r>
      </w:hyperlink>
      <w:r>
        <w:rPr>
          <w:rFonts w:ascii="Arial" w:cs="Arial" w:eastAsia="Arial" w:hAnsi="Arial"/>
          <w:sz w:val="18"/>
          <w:szCs w:val="18"/>
          <w:u w:val="single" w:color="auto"/>
          <w:color w:val="0000FF"/>
        </w:rPr>
        <w:tab/>
      </w:r>
      <w:hyperlink w:anchor="page45">
        <w:r>
          <w:rPr>
            <w:rFonts w:ascii="Arial" w:cs="Arial" w:eastAsia="Arial" w:hAnsi="Arial"/>
            <w:sz w:val="16"/>
            <w:szCs w:val="16"/>
            <w:u w:val="single" w:color="auto"/>
            <w:color w:val="0000FF"/>
          </w:rPr>
          <w:t>Statement of John T. McGinnis, Executive Vice President and Chief Financial Officer, pursuant to 18 U.S.C. ss. 1350.</w:t>
        </w:r>
      </w:hyperlink>
    </w:p>
    <w:p>
      <w:pPr>
        <w:spacing w:after="0" w:line="387" w:lineRule="exact"/>
        <w:rPr>
          <w:sz w:val="20"/>
          <w:szCs w:val="20"/>
          <w:color w:val="auto"/>
        </w:rPr>
      </w:pPr>
    </w:p>
    <w:p>
      <w:pPr>
        <w:ind w:left="600" w:right="340" w:hanging="565"/>
        <w:spacing w:after="0" w:line="259" w:lineRule="auto"/>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following materials from the Company’s Quarterly Report on Form 10-Q for the quarter ended March 31, 2019, formatted in XBRL (Extensible Business Reporting Language): (i) Consolidated Balance Sheets, (ii) Consolidated Statements of Operations, (iii) Consolidated Statements of Comprehensive Income, (iv) Consolidated Statements of Cash Flows, (v) Consolidated Statements of Shareholders' Equity. and (vi)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60"/>
          </w:cols>
          <w:pgMar w:left="240" w:top="368" w:right="499" w:bottom="1440" w:gutter="0" w:footer="0" w:header="0"/>
        </w:sectPr>
      </w:pPr>
    </w:p>
    <w:bookmarkStart w:id="30" w:name="page31"/>
    <w:bookmarkEnd w:id="30"/>
    <w:p>
      <w:pPr>
        <w:ind w:left="538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31750</wp:posOffset>
            </wp:positionV>
            <wp:extent cx="19551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9, 2019</w:t>
      </w:r>
    </w:p>
    <w:p>
      <w:pPr>
        <w:spacing w:after="0" w:line="360"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31750</wp:posOffset>
            </wp:positionV>
            <wp:extent cx="42024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57"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John T. McGinnis</w:t>
      </w:r>
    </w:p>
    <w:p>
      <w:pPr>
        <w:spacing w:after="0" w:line="63"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(Signing on behalf of the Registrant and as the Principal Financial Officer)</w:t>
      </w:r>
    </w:p>
    <w:p>
      <w:pPr>
        <w:spacing w:after="0" w:line="373"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/s/ Donald Mondano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31750</wp:posOffset>
            </wp:positionV>
            <wp:extent cx="42024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57"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Donald Mondano</w:t>
      </w:r>
    </w:p>
    <w:p>
      <w:pPr>
        <w:spacing w:after="0" w:line="6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Senior Vice President, Global Controller and Treasurer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80"/>
          </w:cols>
          <w:pgMar w:left="240" w:top="1229" w:right="37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ManpowerGroup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NONSTATUTORY STOCK OPTION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This Nonstatutory Stock Option Agreement (this “Agreement”) is executed as of </w:t>
      </w:r>
      <w:r>
        <w:rPr>
          <w:rFonts w:ascii="Arial" w:cs="Arial" w:eastAsia="Arial" w:hAnsi="Arial"/>
          <w:sz w:val="17"/>
          <w:szCs w:val="17"/>
          <w:b w:val="1"/>
          <w:bCs w:val="1"/>
          <w:color w:val="auto"/>
        </w:rPr>
        <w:t>_______________</w:t>
      </w:r>
      <w:r>
        <w:rPr>
          <w:rFonts w:ascii="Arial" w:cs="Arial" w:eastAsia="Arial" w:hAnsi="Arial"/>
          <w:sz w:val="17"/>
          <w:szCs w:val="17"/>
          <w:color w:val="auto"/>
        </w:rPr>
        <w:t xml:space="preserve"> by and between ManpowerGroup Inc., a</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Wisconsin corporation (the “Corporation”), and </w:t>
      </w:r>
      <w:r>
        <w:rPr>
          <w:rFonts w:ascii="Arial" w:cs="Arial" w:eastAsia="Arial" w:hAnsi="Arial"/>
          <w:sz w:val="18"/>
          <w:szCs w:val="18"/>
          <w:b w:val="1"/>
          <w:bCs w:val="1"/>
          <w:color w:val="auto"/>
        </w:rPr>
        <w:t>_______________</w:t>
      </w:r>
      <w:r>
        <w:rPr>
          <w:rFonts w:ascii="Arial" w:cs="Arial" w:eastAsia="Arial" w:hAnsi="Arial"/>
          <w:sz w:val="18"/>
          <w:szCs w:val="18"/>
          <w:color w:val="auto"/>
        </w:rPr>
        <w:t xml:space="preserve"> (the “Employee”).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WHEREAS the Board of Directors of the Corporation has established the 2011 Equity Incentive Plan (the “Plan”) for employees and directors of the Corporation and its Subsidiaries;</w:t>
      </w:r>
    </w:p>
    <w:p>
      <w:pPr>
        <w:spacing w:after="0" w:line="170"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WHEREAS, the Corporation anticipates that the Plan will promote the best interests of the Corporation and its shareholders (i) by providing participants who have acquired a proprietary interest in the Corporation with a stronger incentive to put forth maximum effort for the continued success and growth of the Corporation and its Subsidiaries, and (ii) by enabling the Corporation to attract and retain superior employees; and</w:t>
      </w:r>
    </w:p>
    <w:p>
      <w:pPr>
        <w:spacing w:after="0" w:line="16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WHEREAS, the Corporation has granted to the Employee the right to participate in the Plan in the manner and subject to the terms provided in this Agreement and the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NOW, THEREFORE, in consideration of the benefits that the Corporation will derive in connection with the services to be rendered by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Employee, the Corporation and the Employee hereby agree as follows:</w:t>
      </w:r>
    </w:p>
    <w:p>
      <w:pPr>
        <w:spacing w:after="0" w:line="211" w:lineRule="exact"/>
        <w:rPr>
          <w:sz w:val="20"/>
          <w:szCs w:val="20"/>
          <w:color w:val="auto"/>
        </w:rPr>
      </w:pPr>
    </w:p>
    <w:p>
      <w:pPr>
        <w:ind w:right="240" w:firstLine="656"/>
        <w:spacing w:after="0" w:line="302" w:lineRule="auto"/>
        <w:tabs>
          <w:tab w:leader="none" w:pos="828"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Provisions of Plan Control</w:t>
      </w:r>
      <w:r>
        <w:rPr>
          <w:rFonts w:ascii="Arial" w:cs="Arial" w:eastAsia="Arial" w:hAnsi="Arial"/>
          <w:sz w:val="16"/>
          <w:szCs w:val="16"/>
          <w:color w:val="auto"/>
        </w:rPr>
        <w:t>. This Agreement shall be governed by the provisions of the Plan, the terms and conditions of which are incorporated herein by reference. The Plan empowers the Committee to make interpretations, rules and regulations thereunder, and, in general, provides that determinations of such Committee with respect to the Plan shall be binding upon the Employee. Unless otherwise provided herein, all capitalized words in this Agreement shall have the meaning ascribed to them in the Plan. A copy of the Plan will be delivered to the Employee upon reasonable request.</w:t>
      </w:r>
    </w:p>
    <w:p>
      <w:pPr>
        <w:spacing w:after="0" w:line="150" w:lineRule="exact"/>
        <w:rPr>
          <w:rFonts w:ascii="Arial" w:cs="Arial" w:eastAsia="Arial" w:hAnsi="Arial"/>
          <w:sz w:val="16"/>
          <w:szCs w:val="16"/>
          <w:color w:val="auto"/>
        </w:rPr>
      </w:pPr>
    </w:p>
    <w:p>
      <w:pPr>
        <w:ind w:right="20" w:firstLine="656"/>
        <w:spacing w:after="0" w:line="282" w:lineRule="auto"/>
        <w:tabs>
          <w:tab w:leader="none" w:pos="828"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Option; Number of Shares; Option Price</w:t>
      </w:r>
      <w:r>
        <w:rPr>
          <w:rFonts w:ascii="Arial" w:cs="Arial" w:eastAsia="Arial" w:hAnsi="Arial"/>
          <w:sz w:val="18"/>
          <w:szCs w:val="18"/>
          <w:color w:val="auto"/>
        </w:rPr>
        <w:t xml:space="preserve">. The Employee shall have the right and option to purchase all or any part of an aggregate </w:t>
      </w:r>
      <w:r>
        <w:rPr>
          <w:rFonts w:ascii="Arial" w:cs="Arial" w:eastAsia="Arial" w:hAnsi="Arial"/>
          <w:sz w:val="18"/>
          <w:szCs w:val="18"/>
          <w:b w:val="1"/>
          <w:bCs w:val="1"/>
          <w:color w:val="auto"/>
        </w:rPr>
        <w:t>_______</w:t>
      </w:r>
      <w:r>
        <w:rPr>
          <w:rFonts w:ascii="Arial" w:cs="Arial" w:eastAsia="Arial" w:hAnsi="Arial"/>
          <w:sz w:val="18"/>
          <w:szCs w:val="18"/>
          <w:color w:val="auto"/>
        </w:rPr>
        <w:t xml:space="preserve"> Shares (the “Option”) at the purchase price of </w:t>
      </w:r>
      <w:r>
        <w:rPr>
          <w:rFonts w:ascii="Arial" w:cs="Arial" w:eastAsia="Arial" w:hAnsi="Arial"/>
          <w:sz w:val="18"/>
          <w:szCs w:val="18"/>
          <w:b w:val="1"/>
          <w:bCs w:val="1"/>
          <w:color w:val="auto"/>
        </w:rPr>
        <w:t>$_______</w:t>
      </w:r>
      <w:r>
        <w:rPr>
          <w:rFonts w:ascii="Arial" w:cs="Arial" w:eastAsia="Arial" w:hAnsi="Arial"/>
          <w:sz w:val="18"/>
          <w:szCs w:val="18"/>
          <w:color w:val="auto"/>
        </w:rPr>
        <w:t xml:space="preserve"> per Share.</w:t>
      </w:r>
    </w:p>
    <w:p>
      <w:pPr>
        <w:spacing w:after="0" w:line="165" w:lineRule="exact"/>
        <w:rPr>
          <w:rFonts w:ascii="Arial" w:cs="Arial" w:eastAsia="Arial" w:hAnsi="Arial"/>
          <w:sz w:val="18"/>
          <w:szCs w:val="18"/>
          <w:color w:val="auto"/>
        </w:rPr>
      </w:pPr>
    </w:p>
    <w:p>
      <w:pPr>
        <w:ind w:firstLine="656"/>
        <w:spacing w:after="0" w:line="247" w:lineRule="auto"/>
        <w:tabs>
          <w:tab w:leader="none" w:pos="828"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Time Limitations on Exercise of Option</w:t>
      </w:r>
      <w:r>
        <w:rPr>
          <w:rFonts w:ascii="Arial" w:cs="Arial" w:eastAsia="Arial" w:hAnsi="Arial"/>
          <w:sz w:val="17"/>
          <w:szCs w:val="17"/>
          <w:color w:val="auto"/>
        </w:rPr>
        <w:t>. The Option will become exercisable as to 25% of the Shares on the first annual anniversary date hereof and an additional 25% will become exercisable on each of the three (3) subsequent annual anniversaries of such date, provided that the Employee is still in the employ of the Corporation on each such date. To the extent that the number of Shares relating to the Option becoming exercisable on any anniversary date is a fractional number, the cumulative number shall be rounded to the closest whole number, provided however, that to the extent necessary, the cumulative number of Shares relating to the Option becoming exercisable on the 4</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annual anniversary date shall be adjusted so that the total Shares that have become exercisable on or before the 4</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annual anniversary date equals the total number of Shares indicated in Paragraph 2 above. Notwithstanding any limitation established by the Committee on the exercise of the Option or anything else to the contrary contained in this Agreement, the Option shall be immediately exercisable as to all Shares covered by the Option if it has not previously lapsed upon the death of the Employee or upon the Employee’s termination of employment due to the Disability of the Employee. To the extent not previously exercised according to the terms hereof, the Option shall expire on the tenth anniversary of the date hereof.</w:t>
      </w:r>
    </w:p>
    <w:p>
      <w:pPr>
        <w:spacing w:after="0" w:line="199" w:lineRule="exact"/>
        <w:rPr>
          <w:rFonts w:ascii="Arial" w:cs="Arial" w:eastAsia="Arial" w:hAnsi="Arial"/>
          <w:sz w:val="17"/>
          <w:szCs w:val="17"/>
          <w:color w:val="auto"/>
        </w:rPr>
      </w:pPr>
    </w:p>
    <w:p>
      <w:pPr>
        <w:ind w:right="120" w:firstLine="656"/>
        <w:spacing w:after="0" w:line="264" w:lineRule="auto"/>
        <w:tabs>
          <w:tab w:leader="none" w:pos="828"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and/or Triggering Event</w:t>
      </w:r>
      <w:r>
        <w:rPr>
          <w:rFonts w:ascii="Arial" w:cs="Arial" w:eastAsia="Arial" w:hAnsi="Arial"/>
          <w:sz w:val="18"/>
          <w:szCs w:val="18"/>
          <w:color w:val="auto"/>
        </w:rPr>
        <w:t>. Except as otherwise provided in this Agreement, the Option shall be exercisable upon the termination of the Employee’s employment relationship with the Corporation and its Subsidiaries only in the manner and to the extent provided in Paragraph 7 of the Plan.</w:t>
      </w:r>
    </w:p>
    <w:p>
      <w:pPr>
        <w:spacing w:after="0" w:line="18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Notwithstanding the foregoing, the second sentence of Subsection 7(e) of the Plan, regarding acceleration of vesting upon a Triggering Event, shall not apply to this Agreement. Instead, in connection with a Triggering Event, the Option shall be immediately exercisable as to all Shares covered by the Option if it has not previously lapsed upon any of the following:</w:t>
      </w:r>
    </w:p>
    <w:p>
      <w:pPr>
        <w:spacing w:after="0" w:line="181" w:lineRule="exact"/>
        <w:rPr>
          <w:sz w:val="20"/>
          <w:szCs w:val="20"/>
          <w:color w:val="auto"/>
        </w:rPr>
      </w:pPr>
    </w:p>
    <w:p>
      <w:pPr>
        <w:ind w:left="1960" w:right="20" w:hanging="655"/>
        <w:spacing w:after="0" w:line="259" w:lineRule="auto"/>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the Corporation’s shares remain publicly traded on a national securities exchange after the Triggering Event, upon termination of Employee’s employment by the Corporation other than for “Cause,” as defined below, or upon the Employee’s voluntary termination of his employment for “Good Reason,” as defined below, during a Protected Period or within two (2) years following a Triggering Event;</w:t>
      </w:r>
    </w:p>
    <w:p>
      <w:pPr>
        <w:sectPr>
          <w:pgSz w:w="11900" w:h="16838" w:orient="portrait"/>
          <w:cols w:equalWidth="0" w:num="1">
            <w:col w:w="11420"/>
          </w:cols>
          <w:pgMar w:left="240" w:top="580" w:right="239" w:bottom="1440" w:gutter="0" w:footer="0" w:header="0"/>
        </w:sectPr>
      </w:pPr>
    </w:p>
    <w:bookmarkStart w:id="32" w:name="page33"/>
    <w:bookmarkEnd w:id="32"/>
    <w:p>
      <w:pPr>
        <w:jc w:val="both"/>
        <w:ind w:left="1960" w:right="100" w:hanging="655"/>
        <w:spacing w:after="0" w:line="264" w:lineRule="auto"/>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Upon a Triggering Event where the Corporation’s shares do not remain publicly traded on a national securities exchange after the Triggering Event, unless the Options granted hereunder are converted, on a tax-free basis, into options over shares of an acquiring corporation that is publicly traded on a national securities exchange; or</w:t>
      </w:r>
    </w:p>
    <w:p>
      <w:pPr>
        <w:spacing w:after="0" w:line="181" w:lineRule="exact"/>
        <w:rPr>
          <w:rFonts w:ascii="Arial" w:cs="Arial" w:eastAsia="Arial" w:hAnsi="Arial"/>
          <w:sz w:val="18"/>
          <w:szCs w:val="18"/>
          <w:color w:val="auto"/>
        </w:rPr>
      </w:pPr>
    </w:p>
    <w:p>
      <w:pPr>
        <w:ind w:left="1960" w:right="40" w:hanging="655"/>
        <w:spacing w:after="0" w:line="276" w:lineRule="auto"/>
        <w:tabs>
          <w:tab w:leader="none" w:pos="19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the Corporation’s shares do not remain publicly traded on a national securities exchange after the Triggering Event and the Options granted hereunder are converted, on a tax-free basis, into options over shares of an acquiring corporation that is publicly traded on a national securities exchange, upon termination of Employee’s employment by the Corporation other than for “Cause,” as defined below, or upon the Employee’s voluntary termination of his employment for “Good Reason,” as defined below, during a Protected Period or within two (2) years following a Triggering Event.</w:t>
      </w:r>
    </w:p>
    <w:p>
      <w:pPr>
        <w:spacing w:after="0" w:line="1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the event of accelerated vesting due to the termination of Employee’s employment during a Protected Period, the accelerated vesting will occur as of the date of the Triggering Event.</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Further, the provisions of Section 7(g) of the Plan regarding retirement shall not apply to this Agreement. Instead, upon the Employee’s Retirement (as defined below), the Option shall be immediately exercisable as to all Shares covered by the Option that remain outstanding on such date, and the Participant shall have until the date that is ten (10) years after the Option’s date of grant to exercise any Option granted hereunder as to all or part of the Shares subject to such Option.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paragraph:</w:t>
      </w:r>
    </w:p>
    <w:p>
      <w:pPr>
        <w:spacing w:after="0" w:line="225" w:lineRule="exact"/>
        <w:rPr>
          <w:sz w:val="20"/>
          <w:szCs w:val="20"/>
          <w:color w:val="auto"/>
        </w:rPr>
      </w:pPr>
    </w:p>
    <w:p>
      <w:pPr>
        <w:ind w:left="1620" w:hanging="315"/>
        <w:spacing w:after="0"/>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Termination for “Cause” will mean termination of the Employee’s employment upon:</w:t>
      </w:r>
    </w:p>
    <w:p>
      <w:pPr>
        <w:spacing w:after="0" w:line="225" w:lineRule="exact"/>
        <w:rPr>
          <w:rFonts w:ascii="Arial" w:cs="Arial" w:eastAsia="Arial" w:hAnsi="Arial"/>
          <w:sz w:val="18"/>
          <w:szCs w:val="18"/>
          <w:color w:val="auto"/>
        </w:rPr>
      </w:pPr>
    </w:p>
    <w:p>
      <w:pPr>
        <w:ind w:left="2280" w:right="340" w:hanging="651"/>
        <w:spacing w:after="0" w:line="277" w:lineRule="auto"/>
        <w:tabs>
          <w:tab w:leader="none" w:pos="22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Employee’s repeated failure to perform his duties with the Corporation in a competent, diligent and satisfactory manner as determined by the Corporation’s Chief Executive Officer in his reasonable judgment;</w:t>
      </w:r>
    </w:p>
    <w:p>
      <w:pPr>
        <w:spacing w:after="0" w:line="170" w:lineRule="exact"/>
        <w:rPr>
          <w:rFonts w:ascii="Arial" w:cs="Arial" w:eastAsia="Arial" w:hAnsi="Arial"/>
          <w:sz w:val="18"/>
          <w:szCs w:val="18"/>
          <w:color w:val="auto"/>
        </w:rPr>
      </w:pPr>
    </w:p>
    <w:p>
      <w:pPr>
        <w:ind w:left="2280" w:right="40" w:hanging="651"/>
        <w:spacing w:after="0" w:line="302" w:lineRule="auto"/>
        <w:tabs>
          <w:tab w:leader="none" w:pos="22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Employee’s failure or refusal to follow the reasonable instructions or direction of the Corporation’s Chief Executive Officer, which failure or refusal remains uncured, if subject to cure, to the reasonable satisfaction of the Corporation’s Chief Executive Officer for five (5) business days after receiving notice thereof from the Corporation’s Chief Executive Officer, or repeated failure or refusal to follow the reasonable instructions or directions of the Corporation’s Chief Executive Officer;</w:t>
      </w:r>
    </w:p>
    <w:p>
      <w:pPr>
        <w:spacing w:after="0" w:line="154" w:lineRule="exact"/>
        <w:rPr>
          <w:rFonts w:ascii="Arial" w:cs="Arial" w:eastAsia="Arial" w:hAnsi="Arial"/>
          <w:sz w:val="16"/>
          <w:szCs w:val="16"/>
          <w:color w:val="auto"/>
        </w:rPr>
      </w:pPr>
    </w:p>
    <w:p>
      <w:pPr>
        <w:ind w:left="2280" w:hanging="651"/>
        <w:spacing w:after="0"/>
        <w:tabs>
          <w:tab w:leader="none" w:pos="22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act by Employee of fraud, material dishonesty or material disloyalty involving ManpowerGroup;</w:t>
      </w:r>
    </w:p>
    <w:p>
      <w:pPr>
        <w:spacing w:after="0" w:line="225" w:lineRule="exact"/>
        <w:rPr>
          <w:rFonts w:ascii="Arial" w:cs="Arial" w:eastAsia="Arial" w:hAnsi="Arial"/>
          <w:sz w:val="18"/>
          <w:szCs w:val="18"/>
          <w:color w:val="auto"/>
        </w:rPr>
      </w:pPr>
    </w:p>
    <w:p>
      <w:pPr>
        <w:jc w:val="both"/>
        <w:ind w:left="2280" w:hanging="651"/>
        <w:spacing w:after="0" w:line="264" w:lineRule="auto"/>
        <w:tabs>
          <w:tab w:leader="none" w:pos="22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violation by Employee of a ManpowerGroup policy of material import (including, but not limited to, the Code of Business Conduct and Ethics, the Statement of Policy on Securities Trading, the Anti-Corruption Policy, Policy on Gifts, Entertainment and Sponsorships and policies included in the Employee Handbook);</w:t>
      </w:r>
    </w:p>
    <w:p>
      <w:pPr>
        <w:spacing w:after="0" w:line="181" w:lineRule="exact"/>
        <w:rPr>
          <w:rFonts w:ascii="Arial" w:cs="Arial" w:eastAsia="Arial" w:hAnsi="Arial"/>
          <w:sz w:val="18"/>
          <w:szCs w:val="18"/>
          <w:color w:val="auto"/>
        </w:rPr>
      </w:pPr>
    </w:p>
    <w:p>
      <w:pPr>
        <w:ind w:left="2280" w:right="240" w:hanging="651"/>
        <w:spacing w:after="0" w:line="277" w:lineRule="auto"/>
        <w:tabs>
          <w:tab w:leader="none" w:pos="22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act by Employee of moral turpitude which is likely to result in discredit to or loss of business, reputation or goodwill of ManpowerGroup;</w:t>
      </w:r>
    </w:p>
    <w:p>
      <w:pPr>
        <w:spacing w:after="0" w:line="170" w:lineRule="exact"/>
        <w:rPr>
          <w:rFonts w:ascii="Arial" w:cs="Arial" w:eastAsia="Arial" w:hAnsi="Arial"/>
          <w:sz w:val="18"/>
          <w:szCs w:val="18"/>
          <w:color w:val="auto"/>
        </w:rPr>
      </w:pPr>
    </w:p>
    <w:p>
      <w:pPr>
        <w:ind w:left="2280" w:hanging="651"/>
        <w:spacing w:after="0"/>
        <w:tabs>
          <w:tab w:leader="none" w:pos="22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Employee’s chronic absence from work other than by reason of a serious health condition;</w:t>
      </w:r>
    </w:p>
    <w:p>
      <w:pPr>
        <w:spacing w:after="0" w:line="225" w:lineRule="exact"/>
        <w:rPr>
          <w:rFonts w:ascii="Arial" w:cs="Arial" w:eastAsia="Arial" w:hAnsi="Arial"/>
          <w:sz w:val="18"/>
          <w:szCs w:val="18"/>
          <w:color w:val="auto"/>
        </w:rPr>
      </w:pPr>
    </w:p>
    <w:p>
      <w:pPr>
        <w:ind w:left="2280" w:right="260" w:hanging="651"/>
        <w:spacing w:after="0" w:line="277" w:lineRule="auto"/>
        <w:tabs>
          <w:tab w:leader="none" w:pos="22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Employee’s commissions of a crime the circumstances of which substantially relate to Employee’s employment duties with ManpowerGroup; or</w:t>
      </w:r>
    </w:p>
    <w:p>
      <w:pPr>
        <w:spacing w:after="0" w:line="170" w:lineRule="exact"/>
        <w:rPr>
          <w:rFonts w:ascii="Arial" w:cs="Arial" w:eastAsia="Arial" w:hAnsi="Arial"/>
          <w:sz w:val="18"/>
          <w:szCs w:val="18"/>
          <w:color w:val="auto"/>
        </w:rPr>
      </w:pPr>
    </w:p>
    <w:p>
      <w:pPr>
        <w:ind w:left="2280" w:right="220" w:hanging="651"/>
        <w:spacing w:after="0" w:line="264" w:lineRule="auto"/>
        <w:tabs>
          <w:tab w:leader="none" w:pos="22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willful engaging by Employee in conduct which is demonstrably and materially injurious to ManpowerGroup. For purposes of this Agreement, no act, or failure to act, on Employee’s part will be deemed “willful” unless done, or omitted to be done, by Employee not in good faith.</w:t>
      </w:r>
    </w:p>
    <w:p>
      <w:pPr>
        <w:sectPr>
          <w:pgSz w:w="11900" w:h="16838" w:orient="portrait"/>
          <w:cols w:equalWidth="0" w:num="1">
            <w:col w:w="11420"/>
          </w:cols>
          <w:pgMar w:left="240" w:top="800" w:right="239" w:bottom="1440" w:gutter="0" w:footer="0" w:header="0"/>
        </w:sectPr>
      </w:pPr>
    </w:p>
    <w:bookmarkStart w:id="33" w:name="page34"/>
    <w:bookmarkEnd w:id="33"/>
    <w:p>
      <w:pPr>
        <w:ind w:left="964" w:hanging="315"/>
        <w:spacing w:after="0"/>
        <w:tabs>
          <w:tab w:leader="none" w:pos="9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“Good Reason” will mean, without the Employee’s consent, the occurrence of any one or more of the following:</w:t>
      </w:r>
    </w:p>
    <w:p>
      <w:pPr>
        <w:spacing w:after="0" w:line="225" w:lineRule="exact"/>
        <w:rPr>
          <w:rFonts w:ascii="Arial" w:cs="Arial" w:eastAsia="Arial" w:hAnsi="Arial"/>
          <w:sz w:val="18"/>
          <w:szCs w:val="18"/>
          <w:color w:val="auto"/>
        </w:rPr>
      </w:pPr>
    </w:p>
    <w:p>
      <w:pPr>
        <w:ind w:left="1624" w:right="460" w:hanging="651"/>
        <w:spacing w:after="0" w:line="277" w:lineRule="auto"/>
        <w:tabs>
          <w:tab w:leader="none" w:pos="1624"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material breach of any material obligation of the Corporation for the payment or provision of compensation or other benefits to Employee;</w:t>
      </w:r>
    </w:p>
    <w:p>
      <w:pPr>
        <w:spacing w:after="0" w:line="170" w:lineRule="exact"/>
        <w:rPr>
          <w:rFonts w:ascii="Arial" w:cs="Arial" w:eastAsia="Arial" w:hAnsi="Arial"/>
          <w:sz w:val="18"/>
          <w:szCs w:val="18"/>
          <w:color w:val="auto"/>
        </w:rPr>
      </w:pPr>
    </w:p>
    <w:p>
      <w:pPr>
        <w:ind w:left="1624" w:hanging="651"/>
        <w:spacing w:after="0"/>
        <w:tabs>
          <w:tab w:leader="none" w:pos="1624" w:val="left"/>
        </w:tabs>
        <w:numPr>
          <w:ilvl w:val="1"/>
          <w:numId w:val="26"/>
        </w:numPr>
        <w:rPr>
          <w:rFonts w:ascii="Arial" w:cs="Arial" w:eastAsia="Arial" w:hAnsi="Arial"/>
          <w:sz w:val="18"/>
          <w:szCs w:val="18"/>
          <w:color w:val="auto"/>
        </w:rPr>
      </w:pPr>
      <w:r>
        <w:rPr>
          <w:rFonts w:ascii="Arial" w:cs="Arial" w:eastAsia="Arial" w:hAnsi="Arial"/>
          <w:sz w:val="18"/>
          <w:szCs w:val="18"/>
          <w:color w:val="auto"/>
        </w:rPr>
        <w:t>a material dimunition in Employee’s base salary;</w:t>
      </w:r>
    </w:p>
    <w:p>
      <w:pPr>
        <w:spacing w:after="0" w:line="225" w:lineRule="exact"/>
        <w:rPr>
          <w:rFonts w:ascii="Arial" w:cs="Arial" w:eastAsia="Arial" w:hAnsi="Arial"/>
          <w:sz w:val="18"/>
          <w:szCs w:val="18"/>
          <w:color w:val="auto"/>
        </w:rPr>
      </w:pPr>
    </w:p>
    <w:p>
      <w:pPr>
        <w:jc w:val="both"/>
        <w:ind w:left="1624" w:right="120" w:hanging="651"/>
        <w:spacing w:after="0" w:line="264" w:lineRule="auto"/>
        <w:tabs>
          <w:tab w:leader="none" w:pos="1624" w:val="left"/>
        </w:tabs>
        <w:numPr>
          <w:ilvl w:val="1"/>
          <w:numId w:val="26"/>
        </w:numPr>
        <w:rPr>
          <w:rFonts w:ascii="Arial" w:cs="Arial" w:eastAsia="Arial" w:hAnsi="Arial"/>
          <w:sz w:val="18"/>
          <w:szCs w:val="18"/>
          <w:color w:val="auto"/>
        </w:rPr>
      </w:pPr>
      <w:r>
        <w:rPr>
          <w:rFonts w:ascii="Arial" w:cs="Arial" w:eastAsia="Arial" w:hAnsi="Arial"/>
          <w:sz w:val="18"/>
          <w:szCs w:val="18"/>
          <w:color w:val="auto"/>
        </w:rPr>
        <w:t>a material dimunition in Employee’s authority, duties or responsibilities, accompanied by a material reduction in Employee’s target bonus opportunity for a given fiscal year(as compared to the prior fiscal year), except where all senior level executives have similar proportionate reductions in their target bonus percentages;</w:t>
      </w:r>
    </w:p>
    <w:p>
      <w:pPr>
        <w:spacing w:after="0" w:line="181" w:lineRule="exact"/>
        <w:rPr>
          <w:rFonts w:ascii="Arial" w:cs="Arial" w:eastAsia="Arial" w:hAnsi="Arial"/>
          <w:sz w:val="18"/>
          <w:szCs w:val="18"/>
          <w:color w:val="auto"/>
        </w:rPr>
      </w:pPr>
    </w:p>
    <w:p>
      <w:pPr>
        <w:ind w:left="1624" w:hanging="651"/>
        <w:spacing w:after="0" w:line="342" w:lineRule="auto"/>
        <w:tabs>
          <w:tab w:leader="none" w:pos="1624" w:val="left"/>
        </w:tabs>
        <w:numPr>
          <w:ilvl w:val="1"/>
          <w:numId w:val="26"/>
        </w:numPr>
        <w:rPr>
          <w:rFonts w:ascii="Arial" w:cs="Arial" w:eastAsia="Arial" w:hAnsi="Arial"/>
          <w:sz w:val="16"/>
          <w:szCs w:val="16"/>
          <w:color w:val="auto"/>
        </w:rPr>
      </w:pPr>
      <w:r>
        <w:rPr>
          <w:rFonts w:ascii="Arial" w:cs="Arial" w:eastAsia="Arial" w:hAnsi="Arial"/>
          <w:sz w:val="16"/>
          <w:szCs w:val="16"/>
          <w:color w:val="auto"/>
        </w:rPr>
        <w:t>a material dimunition in Employee’s authority, duties or responsibilities, which is not accompanied by a material reduction in Employee’s target bonus opportunity but which diminution occurs within two years after the occurrence of a Triggering Event;</w:t>
      </w:r>
    </w:p>
    <w:p>
      <w:pPr>
        <w:spacing w:after="0" w:line="123" w:lineRule="exact"/>
        <w:rPr>
          <w:rFonts w:ascii="Arial" w:cs="Arial" w:eastAsia="Arial" w:hAnsi="Arial"/>
          <w:sz w:val="16"/>
          <w:szCs w:val="16"/>
          <w:color w:val="auto"/>
        </w:rPr>
      </w:pPr>
    </w:p>
    <w:p>
      <w:pPr>
        <w:ind w:left="1624" w:right="360" w:hanging="651"/>
        <w:spacing w:after="0" w:line="264" w:lineRule="auto"/>
        <w:tabs>
          <w:tab w:leader="none" w:pos="1624" w:val="left"/>
        </w:tabs>
        <w:numPr>
          <w:ilvl w:val="1"/>
          <w:numId w:val="26"/>
        </w:numPr>
        <w:rPr>
          <w:rFonts w:ascii="Arial" w:cs="Arial" w:eastAsia="Arial" w:hAnsi="Arial"/>
          <w:sz w:val="18"/>
          <w:szCs w:val="18"/>
          <w:color w:val="auto"/>
        </w:rPr>
      </w:pPr>
      <w:r>
        <w:rPr>
          <w:rFonts w:ascii="Arial" w:cs="Arial" w:eastAsia="Arial" w:hAnsi="Arial"/>
          <w:sz w:val="18"/>
          <w:szCs w:val="18"/>
          <w:color w:val="auto"/>
        </w:rPr>
        <w:t>a material reduction in Employee’s annual target bonus opportunity for a given fiscal year (as compared to the prior fiscal year) which is not accompanied by a material diminution in Employee’s authority, duties or responsibilities, but which reduction occurs within two years after the occurrence of a Triggering Event; or</w:t>
      </w:r>
    </w:p>
    <w:p>
      <w:pPr>
        <w:spacing w:after="0" w:line="181" w:lineRule="exact"/>
        <w:rPr>
          <w:rFonts w:ascii="Arial" w:cs="Arial" w:eastAsia="Arial" w:hAnsi="Arial"/>
          <w:sz w:val="18"/>
          <w:szCs w:val="18"/>
          <w:color w:val="auto"/>
        </w:rPr>
      </w:pPr>
    </w:p>
    <w:p>
      <w:pPr>
        <w:ind w:left="1624" w:right="320" w:hanging="651"/>
        <w:spacing w:after="0" w:line="308" w:lineRule="auto"/>
        <w:tabs>
          <w:tab w:leader="none" w:pos="1624" w:val="left"/>
        </w:tabs>
        <w:numPr>
          <w:ilvl w:val="1"/>
          <w:numId w:val="26"/>
        </w:numPr>
        <w:rPr>
          <w:rFonts w:ascii="Arial" w:cs="Arial" w:eastAsia="Arial" w:hAnsi="Arial"/>
          <w:sz w:val="17"/>
          <w:szCs w:val="17"/>
          <w:color w:val="auto"/>
        </w:rPr>
      </w:pPr>
      <w:r>
        <w:rPr>
          <w:rFonts w:ascii="Arial" w:cs="Arial" w:eastAsia="Arial" w:hAnsi="Arial"/>
          <w:sz w:val="17"/>
          <w:szCs w:val="17"/>
          <w:color w:val="auto"/>
        </w:rPr>
        <w:t>Employee’s being required by the Corporation to materially change the location of his principal office; provided such new location is one in excess of fifty miles from the location of Employee’s principal office before such change.</w:t>
      </w:r>
    </w:p>
    <w:p>
      <w:pPr>
        <w:spacing w:after="0" w:line="147" w:lineRule="exact"/>
        <w:rPr>
          <w:sz w:val="20"/>
          <w:szCs w:val="20"/>
          <w:color w:val="auto"/>
        </w:rPr>
      </w:pPr>
    </w:p>
    <w:p>
      <w:pPr>
        <w:jc w:val="both"/>
        <w:ind w:left="964" w:right="120"/>
        <w:spacing w:after="0" w:line="302" w:lineRule="auto"/>
        <w:rPr>
          <w:sz w:val="20"/>
          <w:szCs w:val="20"/>
          <w:color w:val="auto"/>
        </w:rPr>
      </w:pPr>
      <w:r>
        <w:rPr>
          <w:rFonts w:ascii="Arial" w:cs="Arial" w:eastAsia="Arial" w:hAnsi="Arial"/>
          <w:sz w:val="16"/>
          <w:szCs w:val="16"/>
          <w:color w:val="auto"/>
        </w:rPr>
        <w:t>Notwithstanding the provisions above, Good Reason does not exist unless (i) Employee objects to any material dimunition or breach described above by written notice to the Corporation within twenty (20) business days after such dimunition or breach occurs, (ii) the Corporation fails to cure such dimunition or breach within thirty (30) days after such notice is given and (iii) Employee’s employment with the Corporation is terminated by Employee within ninety (90) days after such diminution or breach occurs.</w:t>
      </w:r>
    </w:p>
    <w:p>
      <w:pPr>
        <w:spacing w:after="0" w:line="154" w:lineRule="exact"/>
        <w:rPr>
          <w:sz w:val="20"/>
          <w:szCs w:val="20"/>
          <w:color w:val="auto"/>
        </w:rPr>
      </w:pPr>
    </w:p>
    <w:p>
      <w:pPr>
        <w:ind w:left="964" w:right="260" w:hanging="315"/>
        <w:spacing w:after="0" w:line="277" w:lineRule="auto"/>
        <w:tabs>
          <w:tab w:leader="none" w:pos="964" w:val="left"/>
        </w:tabs>
        <w:numPr>
          <w:ilvl w:val="1"/>
          <w:numId w:val="27"/>
        </w:numPr>
        <w:rPr>
          <w:rFonts w:ascii="Arial" w:cs="Arial" w:eastAsia="Arial" w:hAnsi="Arial"/>
          <w:sz w:val="18"/>
          <w:szCs w:val="18"/>
          <w:color w:val="auto"/>
        </w:rPr>
      </w:pPr>
      <w:r>
        <w:rPr>
          <w:rFonts w:ascii="Arial" w:cs="Arial" w:eastAsia="Arial" w:hAnsi="Arial"/>
          <w:sz w:val="18"/>
          <w:szCs w:val="18"/>
          <w:color w:val="auto"/>
        </w:rPr>
        <w:t>“Retirement” means termination of the Employee’s employment on or after the Employee has attained age 55 and has completed 10 years of Service.</w:t>
      </w:r>
    </w:p>
    <w:p>
      <w:pPr>
        <w:spacing w:after="0" w:line="170" w:lineRule="exact"/>
        <w:rPr>
          <w:rFonts w:ascii="Arial" w:cs="Arial" w:eastAsia="Arial" w:hAnsi="Arial"/>
          <w:sz w:val="18"/>
          <w:szCs w:val="18"/>
          <w:color w:val="auto"/>
        </w:rPr>
      </w:pPr>
    </w:p>
    <w:p>
      <w:pPr>
        <w:ind w:left="964" w:right="320" w:hanging="315"/>
        <w:spacing w:after="0" w:line="277" w:lineRule="auto"/>
        <w:tabs>
          <w:tab w:leader="none" w:pos="964" w:val="left"/>
        </w:tabs>
        <w:numPr>
          <w:ilvl w:val="1"/>
          <w:numId w:val="27"/>
        </w:numPr>
        <w:rPr>
          <w:rFonts w:ascii="Arial" w:cs="Arial" w:eastAsia="Arial" w:hAnsi="Arial"/>
          <w:sz w:val="18"/>
          <w:szCs w:val="18"/>
          <w:color w:val="auto"/>
        </w:rPr>
      </w:pPr>
      <w:r>
        <w:rPr>
          <w:rFonts w:ascii="Arial" w:cs="Arial" w:eastAsia="Arial" w:hAnsi="Arial"/>
          <w:sz w:val="18"/>
          <w:szCs w:val="18"/>
          <w:color w:val="auto"/>
        </w:rPr>
        <w:t>“Service” means the period beginning on the date the Employee’s employment with the Corporation commences and ending on the date the Employee’s employment with the Corporation terminates.</w:t>
      </w:r>
    </w:p>
    <w:p>
      <w:pPr>
        <w:spacing w:after="0" w:line="170" w:lineRule="exact"/>
        <w:rPr>
          <w:rFonts w:ascii="Arial" w:cs="Arial" w:eastAsia="Arial" w:hAnsi="Arial"/>
          <w:sz w:val="18"/>
          <w:szCs w:val="18"/>
          <w:color w:val="auto"/>
        </w:rPr>
      </w:pPr>
    </w:p>
    <w:p>
      <w:pPr>
        <w:ind w:left="-656" w:right="20" w:firstLine="656"/>
        <w:spacing w:after="0" w:line="293" w:lineRule="auto"/>
        <w:tabs>
          <w:tab w:leader="none" w:pos="172"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Method of Exercising Option</w:t>
      </w:r>
      <w:r>
        <w:rPr>
          <w:rFonts w:ascii="Arial" w:cs="Arial" w:eastAsia="Arial" w:hAnsi="Arial"/>
          <w:sz w:val="16"/>
          <w:szCs w:val="16"/>
          <w:color w:val="auto"/>
        </w:rPr>
        <w:t>. The Option may be exercised in whole or in part in accordance with the manner prescribed by the Corporation in effect on the date of exercise. The Employee may contact the Plan Administrator at the Corporation by calling (414) 961-1000 to receive details regarding the manner of exercise prescribed by the Corporation and in effect on the date of exercise. The Corporation shall have the right to delay the issue or delivery of any Shares to be delivered hereunder until (a) the completion of such registration or qualification of such Shares under federal, state, or foreign law, ruling, or regulation as the Corporation shall deem to be necessary or advisable, and (b) receipt from the Employee of such documents and information as the Committee may deem necessary or appropriate in connection with such registration or qualification or the issuance of Shares hereunder.</w:t>
      </w:r>
    </w:p>
    <w:p>
      <w:pPr>
        <w:spacing w:after="0" w:line="164" w:lineRule="exact"/>
        <w:rPr>
          <w:rFonts w:ascii="Arial" w:cs="Arial" w:eastAsia="Arial" w:hAnsi="Arial"/>
          <w:sz w:val="16"/>
          <w:szCs w:val="16"/>
          <w:color w:val="auto"/>
        </w:rPr>
      </w:pPr>
    </w:p>
    <w:p>
      <w:pPr>
        <w:ind w:left="-656" w:right="60" w:firstLine="656"/>
        <w:spacing w:after="0" w:line="264" w:lineRule="auto"/>
        <w:tabs>
          <w:tab w:leader="none" w:pos="172"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Prohibition Against Transfer</w:t>
      </w:r>
      <w:r>
        <w:rPr>
          <w:rFonts w:ascii="Arial" w:cs="Arial" w:eastAsia="Arial" w:hAnsi="Arial"/>
          <w:sz w:val="18"/>
          <w:szCs w:val="18"/>
          <w:color w:val="auto"/>
        </w:rPr>
        <w:t>. Unless otherwise provided by the Committee and except as provided in Paragraph 7 of the Plan, the Option, and the rights and privileges conferred hereby, may not be transferred by the Employee, and shall be exercisable during the lifetime of the Employee only by the Employee.</w:t>
      </w:r>
    </w:p>
    <w:p>
      <w:pPr>
        <w:spacing w:after="0" w:line="181" w:lineRule="exact"/>
        <w:rPr>
          <w:rFonts w:ascii="Arial" w:cs="Arial" w:eastAsia="Arial" w:hAnsi="Arial"/>
          <w:sz w:val="18"/>
          <w:szCs w:val="18"/>
          <w:color w:val="auto"/>
        </w:rPr>
      </w:pPr>
    </w:p>
    <w:p>
      <w:pPr>
        <w:ind w:left="-656" w:right="220" w:firstLine="656"/>
        <w:spacing w:after="0" w:line="257" w:lineRule="auto"/>
        <w:tabs>
          <w:tab w:leader="none" w:pos="172"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to be given to the Corporation under the terms of this Agreement shall be given in writing either to the management of the Subsidiary employing the Employee, or to the Corporation in care of its Secretary at 100 Manpower Place, Milwaukee, Wisconsin 53212. Any notice to be given to the Employee may be addressed to him at his address as it appears on the payroll records of the Corporation or any Subsidiary thereof. Any such notice shall be deemed to have been duly given if and when actually received by the party to whom it is addressed, as evidenced by a written receipt to that effect.</w:t>
      </w:r>
    </w:p>
    <w:p>
      <w:pPr>
        <w:sectPr>
          <w:pgSz w:w="11900" w:h="16838" w:orient="portrait"/>
          <w:cols w:equalWidth="0" w:num="1">
            <w:col w:w="10744"/>
          </w:cols>
          <w:pgMar w:left="896" w:top="800" w:right="259" w:bottom="1440" w:gutter="0" w:footer="0" w:header="0"/>
        </w:sectPr>
      </w:pPr>
    </w:p>
    <w:bookmarkStart w:id="34" w:name="page35"/>
    <w:bookmarkEnd w:id="34"/>
    <w:p>
      <w:pPr>
        <w:ind w:right="180" w:firstLine="656"/>
        <w:spacing w:after="0" w:line="264" w:lineRule="auto"/>
        <w:tabs>
          <w:tab w:leader="none" w:pos="828"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The Corporation may require payment or reimbursement of or may withhold any tax that it believes is required as a result of the grant or exercise of the Option, and the Corporation may defer making delivery with respect to Shares or cash payable hereunder or otherwise until arrangements satisfactory to the Corporation have been made with respect to such withholding obligations.</w:t>
      </w:r>
    </w:p>
    <w:p>
      <w:pPr>
        <w:spacing w:after="0" w:line="181" w:lineRule="exact"/>
        <w:rPr>
          <w:rFonts w:ascii="Arial" w:cs="Arial" w:eastAsia="Arial" w:hAnsi="Arial"/>
          <w:sz w:val="18"/>
          <w:szCs w:val="18"/>
          <w:color w:val="auto"/>
        </w:rPr>
      </w:pPr>
    </w:p>
    <w:p>
      <w:pPr>
        <w:ind w:firstLine="656"/>
        <w:spacing w:after="0" w:line="257" w:lineRule="auto"/>
        <w:tabs>
          <w:tab w:leader="none" w:pos="828"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Rights of Employee</w:t>
      </w:r>
      <w:r>
        <w:rPr>
          <w:rFonts w:ascii="Arial" w:cs="Arial" w:eastAsia="Arial" w:hAnsi="Arial"/>
          <w:sz w:val="18"/>
          <w:szCs w:val="18"/>
          <w:color w:val="auto"/>
        </w:rPr>
        <w:t>. The Option, and any payments or other benefits received by the Employee under the Option, is discretionary and shall not be deemed a part of the Employee’s regular, recurring compensation for any purpose, including without limitation for purposes of termination, indemnity, or severance pay law of any country and shall not be included in, nor have any effect on, the determination of benefits under any other employee benefit plan, contract or similar arrangement provided to the Employee unless expressly so provided by such other plan, contract or arrangement, or unless the Committee expressly determines otherwise.</w:t>
      </w:r>
    </w:p>
    <w:p>
      <w:pPr>
        <w:spacing w:after="0" w:line="188" w:lineRule="exact"/>
        <w:rPr>
          <w:rFonts w:ascii="Arial" w:cs="Arial" w:eastAsia="Arial" w:hAnsi="Arial"/>
          <w:sz w:val="18"/>
          <w:szCs w:val="18"/>
          <w:color w:val="auto"/>
        </w:rPr>
      </w:pPr>
    </w:p>
    <w:p>
      <w:pPr>
        <w:ind w:right="260" w:firstLine="656"/>
        <w:spacing w:after="0" w:line="277" w:lineRule="auto"/>
        <w:tabs>
          <w:tab w:leader="none" w:pos="918"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Multiple Executed Copies</w:t>
      </w:r>
      <w:r>
        <w:rPr>
          <w:rFonts w:ascii="Arial" w:cs="Arial" w:eastAsia="Arial" w:hAnsi="Arial"/>
          <w:sz w:val="18"/>
          <w:szCs w:val="18"/>
          <w:color w:val="auto"/>
        </w:rPr>
        <w:t>. This Agreement may be executed in multiple copies, each of which will constitute an original, and which together will constitute one and the same agreement providing for a single Option grant.</w:t>
      </w:r>
    </w:p>
    <w:p>
      <w:pPr>
        <w:spacing w:after="0" w:line="170" w:lineRule="exact"/>
        <w:rPr>
          <w:sz w:val="20"/>
          <w:szCs w:val="20"/>
          <w:color w:val="auto"/>
        </w:rPr>
      </w:pPr>
    </w:p>
    <w:p>
      <w:pPr>
        <w:ind w:right="300" w:firstLine="176"/>
        <w:spacing w:after="0" w:line="277" w:lineRule="auto"/>
        <w:rPr>
          <w:sz w:val="20"/>
          <w:szCs w:val="20"/>
          <w:color w:val="auto"/>
        </w:rPr>
      </w:pPr>
      <w:r>
        <w:rPr>
          <w:rFonts w:ascii="Arial" w:cs="Arial" w:eastAsia="Arial" w:hAnsi="Arial"/>
          <w:sz w:val="18"/>
          <w:szCs w:val="18"/>
          <w:color w:val="auto"/>
        </w:rPr>
        <w:t>IN WITNESS WHEREOF, the Corporation has caused these presents to be executed as of the date and year first above written, which is the date of the granting of the Option evidenced hereby.</w:t>
      </w:r>
    </w:p>
    <w:p>
      <w:pPr>
        <w:spacing w:after="0" w:line="38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ManpowerGroup Inc.</w:t>
      </w: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By:_______________________________________</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undersigned Employee hereby accepts the foregoing Option and agrees to the several terms and conditions hereof and of the Plan.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__________________________________________</w:t>
      </w:r>
    </w:p>
    <w:p>
      <w:pPr>
        <w:spacing w:after="0" w:line="23" w:lineRule="exact"/>
        <w:rPr>
          <w:sz w:val="20"/>
          <w:szCs w:val="20"/>
          <w:color w:val="auto"/>
        </w:rPr>
      </w:pPr>
    </w:p>
    <w:p>
      <w:pPr>
        <w:ind w:left="5200"/>
        <w:spacing w:after="0"/>
        <w:tabs>
          <w:tab w:leader="none" w:pos="6400" w:val="left"/>
        </w:tabs>
        <w:rPr>
          <w:sz w:val="20"/>
          <w:szCs w:val="20"/>
          <w:color w:val="auto"/>
        </w:rPr>
      </w:pPr>
      <w:r>
        <w:rPr>
          <w:rFonts w:ascii="Arial" w:cs="Arial" w:eastAsia="Arial" w:hAnsi="Arial"/>
          <w:sz w:val="18"/>
          <w:szCs w:val="18"/>
          <w:color w:val="auto"/>
        </w:rPr>
        <w:t>[Insert Name]</w:t>
      </w:r>
      <w:r>
        <w:rPr>
          <w:sz w:val="20"/>
          <w:szCs w:val="20"/>
          <w:color w:val="auto"/>
        </w:rPr>
        <w:tab/>
      </w:r>
      <w:r>
        <w:rPr>
          <w:rFonts w:ascii="Arial" w:cs="Arial" w:eastAsia="Arial" w:hAnsi="Arial"/>
          <w:sz w:val="16"/>
          <w:szCs w:val="16"/>
          <w:color w:val="auto"/>
        </w:rPr>
        <w:t>Employee</w:t>
      </w:r>
    </w:p>
    <w:p>
      <w:pPr>
        <w:sectPr>
          <w:pgSz w:w="11900" w:h="16838" w:orient="portrait"/>
          <w:cols w:equalWidth="0" w:num="1">
            <w:col w:w="11360"/>
          </w:cols>
          <w:pgMar w:left="240" w:top="584" w:right="29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10.2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ManpowerGroup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 PERFORMANCE SHARE UNIT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This Performance Share Unit Agreement (this “Agreement”) is executed as of </w:t>
      </w:r>
      <w:r>
        <w:rPr>
          <w:rFonts w:ascii="Arial" w:cs="Arial" w:eastAsia="Arial" w:hAnsi="Arial"/>
          <w:sz w:val="17"/>
          <w:szCs w:val="17"/>
          <w:b w:val="1"/>
          <w:bCs w:val="1"/>
          <w:color w:val="auto"/>
        </w:rPr>
        <w:t>_________________</w:t>
      </w:r>
      <w:r>
        <w:rPr>
          <w:rFonts w:ascii="Arial" w:cs="Arial" w:eastAsia="Arial" w:hAnsi="Arial"/>
          <w:sz w:val="17"/>
          <w:szCs w:val="17"/>
          <w:color w:val="auto"/>
        </w:rPr>
        <w:t xml:space="preserve"> by and between ManpowerGroup Inc., a</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Wisconsin corporation (the “Corporation”), and </w:t>
      </w:r>
      <w:r>
        <w:rPr>
          <w:rFonts w:ascii="Arial" w:cs="Arial" w:eastAsia="Arial" w:hAnsi="Arial"/>
          <w:sz w:val="18"/>
          <w:szCs w:val="18"/>
          <w:b w:val="1"/>
          <w:bCs w:val="1"/>
          <w:color w:val="auto"/>
        </w:rPr>
        <w:t>_________________</w:t>
      </w:r>
      <w:r>
        <w:rPr>
          <w:rFonts w:ascii="Arial" w:cs="Arial" w:eastAsia="Arial" w:hAnsi="Arial"/>
          <w:sz w:val="18"/>
          <w:szCs w:val="18"/>
          <w:color w:val="auto"/>
        </w:rPr>
        <w:t xml:space="preserve"> (the “Employee”).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WHEREAS the Board of Directors of the Corporation has established the 2011 Equity Incentive Plan (the “Plan”) with the approval of the shareholders of the Corporation;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the Employee has been granted Performance Share Units under the Plan subject to the terms provided in this Agreement and the Plan.</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Corporation and the Employee hereby agree as follows:</w:t>
      </w:r>
    </w:p>
    <w:p>
      <w:pPr>
        <w:spacing w:after="0" w:line="252" w:lineRule="exact"/>
        <w:rPr>
          <w:sz w:val="20"/>
          <w:szCs w:val="20"/>
          <w:color w:val="auto"/>
        </w:rPr>
      </w:pPr>
    </w:p>
    <w:p>
      <w:pPr>
        <w:ind w:right="100" w:firstLine="656"/>
        <w:spacing w:after="0" w:line="354" w:lineRule="auto"/>
        <w:tabs>
          <w:tab w:leader="none" w:pos="1431"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Provisions of Plan Control</w:t>
      </w:r>
      <w:r>
        <w:rPr>
          <w:rFonts w:ascii="Arial" w:cs="Arial" w:eastAsia="Arial" w:hAnsi="Arial"/>
          <w:sz w:val="16"/>
          <w:szCs w:val="16"/>
          <w:color w:val="auto"/>
        </w:rPr>
        <w:t>. This Agreement shall be governed by the provisions of the Plan, the terms and conditions of which are incorporated herein by reference. The Plan empowers the Administrator to make interpretations, rules and regulations thereunder, and, in general, provides that determinations of the Administrator with respect to the Plan shall be binding upon the Employee. Unless otherwise provided herein, all capitalized terms in this Agreement shall have the meanings ascribed to them in the Plan. A copy of the Plan will be delivered to the Employee upon reasonable request.</w:t>
      </w:r>
    </w:p>
    <w:p>
      <w:pPr>
        <w:spacing w:after="0" w:line="152" w:lineRule="exact"/>
        <w:rPr>
          <w:rFonts w:ascii="Arial" w:cs="Arial" w:eastAsia="Arial" w:hAnsi="Arial"/>
          <w:sz w:val="16"/>
          <w:szCs w:val="16"/>
          <w:color w:val="auto"/>
        </w:rPr>
      </w:pPr>
    </w:p>
    <w:p>
      <w:pPr>
        <w:ind w:right="20" w:firstLine="656"/>
        <w:spacing w:after="0" w:line="336" w:lineRule="auto"/>
        <w:tabs>
          <w:tab w:leader="none" w:pos="1431"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Terms of Award and Performance Goal</w:t>
      </w:r>
      <w:r>
        <w:rPr>
          <w:rFonts w:ascii="Arial" w:cs="Arial" w:eastAsia="Arial" w:hAnsi="Arial"/>
          <w:sz w:val="16"/>
          <w:szCs w:val="16"/>
          <w:color w:val="auto"/>
        </w:rPr>
        <w:t xml:space="preserve">. The Employee has been granted a Target Grant of </w:t>
      </w:r>
      <w:r>
        <w:rPr>
          <w:rFonts w:ascii="Arial" w:cs="Arial" w:eastAsia="Arial" w:hAnsi="Arial"/>
          <w:sz w:val="16"/>
          <w:szCs w:val="16"/>
          <w:b w:val="1"/>
          <w:bCs w:val="1"/>
          <w:color w:val="auto"/>
        </w:rPr>
        <w:t>______</w:t>
      </w:r>
      <w:r>
        <w:rPr>
          <w:rFonts w:ascii="Arial" w:cs="Arial" w:eastAsia="Arial" w:hAnsi="Arial"/>
          <w:sz w:val="16"/>
          <w:szCs w:val="16"/>
          <w:color w:val="auto"/>
        </w:rPr>
        <w:t xml:space="preserve"> Performance Share Units under the Plan. The actual number of Performance Share Units that may be earned by Employee will be determined as described below, based upon the actual results for the Performance Period compared to the Performance Goal. If the Conditions are not satisfied, then except as otherwise provided in this Agreement, or the Plan (to the extent not superseded by this Agreement), no Performance Share Units shall be vested. The Performance Goal and the number of Performance</w:t>
      </w:r>
    </w:p>
    <w:p>
      <w:pPr>
        <w:ind w:left="1300" w:right="2460" w:hanging="1297"/>
        <w:spacing w:after="0" w:line="293" w:lineRule="auto"/>
        <w:rPr>
          <w:rFonts w:ascii="Arial" w:cs="Arial" w:eastAsia="Arial" w:hAnsi="Arial"/>
          <w:sz w:val="16"/>
          <w:szCs w:val="16"/>
          <w:color w:val="auto"/>
        </w:rPr>
      </w:pPr>
      <w:r>
        <w:rPr>
          <w:rFonts w:ascii="Arial" w:cs="Arial" w:eastAsia="Arial" w:hAnsi="Arial"/>
          <w:sz w:val="18"/>
          <w:szCs w:val="18"/>
          <w:color w:val="auto"/>
        </w:rPr>
        <w:t>Share Units that may be earned based on actual results for the average OPMP for the Performance Period will be as follows: a. Initial Calculation of Performance Share Units Earned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40" w:type="dxa"/>
            <w:vAlign w:val="bottom"/>
          </w:tcPr>
          <w:p>
            <w:pPr>
              <w:spacing w:after="0"/>
              <w:rPr>
                <w:sz w:val="20"/>
                <w:szCs w:val="20"/>
                <w:color w:val="auto"/>
              </w:rPr>
            </w:pPr>
            <w:r>
              <w:rPr>
                <w:rFonts w:ascii="Arial" w:cs="Arial" w:eastAsia="Arial" w:hAnsi="Arial"/>
                <w:sz w:val="18"/>
                <w:szCs w:val="18"/>
                <w:color w:val="auto"/>
                <w:w w:val="90"/>
              </w:rPr>
              <w:t>Average OPMP for the Performance Period</w:t>
            </w:r>
          </w:p>
        </w:tc>
        <w:tc>
          <w:tcPr>
            <w:tcW w:w="200" w:type="dxa"/>
            <w:vAlign w:val="bottom"/>
          </w:tcPr>
          <w:p>
            <w:pPr>
              <w:spacing w:after="0"/>
              <w:rPr>
                <w:sz w:val="18"/>
                <w:szCs w:val="18"/>
                <w:color w:val="auto"/>
              </w:rPr>
            </w:pPr>
          </w:p>
        </w:tc>
        <w:tc>
          <w:tcPr>
            <w:tcW w:w="4700" w:type="dxa"/>
            <w:vAlign w:val="bottom"/>
            <w:gridSpan w:val="2"/>
          </w:tcPr>
          <w:p>
            <w:pPr>
              <w:ind w:left="1860"/>
              <w:spacing w:after="0"/>
              <w:rPr>
                <w:sz w:val="20"/>
                <w:szCs w:val="20"/>
                <w:color w:val="auto"/>
              </w:rPr>
            </w:pPr>
            <w:r>
              <w:rPr>
                <w:rFonts w:ascii="Arial" w:cs="Arial" w:eastAsia="Arial" w:hAnsi="Arial"/>
                <w:sz w:val="18"/>
                <w:szCs w:val="18"/>
                <w:color w:val="auto"/>
                <w:w w:val="90"/>
              </w:rPr>
              <w:t>Initial Performance Share Units Earned</w:t>
            </w:r>
          </w:p>
        </w:tc>
      </w:tr>
      <w:tr>
        <w:trPr>
          <w:trHeight w:val="218"/>
        </w:trPr>
        <w:tc>
          <w:tcPr>
            <w:tcW w:w="314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rPr>
              <w:t>Threshold OPMP (</w:t>
            </w:r>
            <w:r>
              <w:rPr>
                <w:rFonts w:ascii="Arial" w:cs="Arial" w:eastAsia="Arial" w:hAnsi="Arial"/>
                <w:sz w:val="18"/>
                <w:szCs w:val="18"/>
                <w:b w:val="1"/>
                <w:bCs w:val="1"/>
                <w:color w:val="auto"/>
              </w:rPr>
              <w:t>___</w:t>
            </w: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60" w:type="dxa"/>
            <w:vAlign w:val="bottom"/>
          </w:tcPr>
          <w:p>
            <w:pPr>
              <w:ind w:left="240"/>
              <w:spacing w:after="0"/>
              <w:rPr>
                <w:sz w:val="20"/>
                <w:szCs w:val="20"/>
                <w:color w:val="auto"/>
              </w:rPr>
            </w:pPr>
            <w:r>
              <w:rPr>
                <w:rFonts w:ascii="Arial" w:cs="Arial" w:eastAsia="Arial" w:hAnsi="Arial"/>
                <w:sz w:val="18"/>
                <w:szCs w:val="18"/>
                <w:color w:val="auto"/>
                <w:w w:val="98"/>
              </w:rPr>
              <w:t>50% of Target Grant</w:t>
            </w:r>
          </w:p>
        </w:tc>
        <w:tc>
          <w:tcPr>
            <w:tcW w:w="2840" w:type="dxa"/>
            <w:vAlign w:val="bottom"/>
            <w:tcBorders>
              <w:top w:val="single" w:sz="8" w:color="auto"/>
            </w:tcBorders>
          </w:tcPr>
          <w:p>
            <w:pPr>
              <w:spacing w:after="0"/>
              <w:rPr>
                <w:sz w:val="18"/>
                <w:szCs w:val="18"/>
                <w:color w:val="auto"/>
              </w:rPr>
            </w:pPr>
          </w:p>
        </w:tc>
      </w:tr>
      <w:tr>
        <w:trPr>
          <w:trHeight w:val="216"/>
        </w:trPr>
        <w:tc>
          <w:tcPr>
            <w:tcW w:w="3340" w:type="dxa"/>
            <w:vAlign w:val="bottom"/>
            <w:gridSpan w:val="2"/>
          </w:tcPr>
          <w:p>
            <w:pPr>
              <w:ind w:left="660"/>
              <w:spacing w:after="0"/>
              <w:rPr>
                <w:sz w:val="20"/>
                <w:szCs w:val="20"/>
                <w:color w:val="auto"/>
              </w:rPr>
            </w:pPr>
            <w:r>
              <w:rPr>
                <w:rFonts w:ascii="Arial" w:cs="Arial" w:eastAsia="Arial" w:hAnsi="Arial"/>
                <w:sz w:val="18"/>
                <w:szCs w:val="18"/>
                <w:color w:val="auto"/>
              </w:rPr>
              <w:t>Target OPMP (</w:t>
            </w:r>
            <w:r>
              <w:rPr>
                <w:rFonts w:ascii="Arial" w:cs="Arial" w:eastAsia="Arial" w:hAnsi="Arial"/>
                <w:sz w:val="18"/>
                <w:szCs w:val="18"/>
                <w:b w:val="1"/>
                <w:bCs w:val="1"/>
                <w:color w:val="auto"/>
              </w:rPr>
              <w:t>___%</w:t>
            </w:r>
            <w:r>
              <w:rPr>
                <w:rFonts w:ascii="Arial" w:cs="Arial" w:eastAsia="Arial" w:hAnsi="Arial"/>
                <w:sz w:val="18"/>
                <w:szCs w:val="18"/>
                <w:color w:val="auto"/>
              </w:rPr>
              <w:t>-</w:t>
            </w:r>
            <w:r>
              <w:rPr>
                <w:rFonts w:ascii="Arial" w:cs="Arial" w:eastAsia="Arial" w:hAnsi="Arial"/>
                <w:sz w:val="18"/>
                <w:szCs w:val="18"/>
                <w:b w:val="1"/>
                <w:bCs w:val="1"/>
                <w:color w:val="auto"/>
              </w:rPr>
              <w:t>___%</w:t>
            </w:r>
            <w:r>
              <w:rPr>
                <w:rFonts w:ascii="Arial" w:cs="Arial" w:eastAsia="Arial" w:hAnsi="Arial"/>
                <w:sz w:val="18"/>
                <w:szCs w:val="18"/>
                <w:color w:val="auto"/>
              </w:rPr>
              <w:t>)</w:t>
            </w:r>
          </w:p>
        </w:tc>
        <w:tc>
          <w:tcPr>
            <w:tcW w:w="4700" w:type="dxa"/>
            <w:vAlign w:val="bottom"/>
            <w:gridSpan w:val="2"/>
          </w:tcPr>
          <w:p>
            <w:pPr>
              <w:ind w:left="320"/>
              <w:spacing w:after="0"/>
              <w:rPr>
                <w:sz w:val="20"/>
                <w:szCs w:val="20"/>
                <w:color w:val="auto"/>
              </w:rPr>
            </w:pPr>
            <w:r>
              <w:rPr>
                <w:rFonts w:ascii="Arial" w:cs="Arial" w:eastAsia="Arial" w:hAnsi="Arial"/>
                <w:sz w:val="18"/>
                <w:szCs w:val="18"/>
                <w:color w:val="auto"/>
              </w:rPr>
              <w:t>100% of Target Grant</w:t>
            </w:r>
          </w:p>
        </w:tc>
      </w:tr>
      <w:tr>
        <w:trPr>
          <w:trHeight w:val="234"/>
        </w:trPr>
        <w:tc>
          <w:tcPr>
            <w:tcW w:w="3340" w:type="dxa"/>
            <w:vAlign w:val="bottom"/>
            <w:gridSpan w:val="2"/>
          </w:tcPr>
          <w:p>
            <w:pPr>
              <w:ind w:left="660"/>
              <w:spacing w:after="0"/>
              <w:rPr>
                <w:sz w:val="20"/>
                <w:szCs w:val="20"/>
                <w:color w:val="auto"/>
              </w:rPr>
            </w:pPr>
            <w:r>
              <w:rPr>
                <w:rFonts w:ascii="Arial" w:cs="Arial" w:eastAsia="Arial" w:hAnsi="Arial"/>
                <w:sz w:val="18"/>
                <w:szCs w:val="18"/>
                <w:color w:val="auto"/>
              </w:rPr>
              <w:t>Outstanding OPMP (</w:t>
            </w:r>
            <w:r>
              <w:rPr>
                <w:rFonts w:ascii="Arial" w:cs="Arial" w:eastAsia="Arial" w:hAnsi="Arial"/>
                <w:sz w:val="18"/>
                <w:szCs w:val="18"/>
                <w:b w:val="1"/>
                <w:bCs w:val="1"/>
                <w:color w:val="auto"/>
              </w:rPr>
              <w:t>___</w:t>
            </w:r>
            <w:r>
              <w:rPr>
                <w:rFonts w:ascii="Arial" w:cs="Arial" w:eastAsia="Arial" w:hAnsi="Arial"/>
                <w:sz w:val="18"/>
                <w:szCs w:val="18"/>
                <w:color w:val="auto"/>
              </w:rPr>
              <w:t>%)</w:t>
            </w:r>
          </w:p>
        </w:tc>
        <w:tc>
          <w:tcPr>
            <w:tcW w:w="4700" w:type="dxa"/>
            <w:vAlign w:val="bottom"/>
            <w:gridSpan w:val="2"/>
          </w:tcPr>
          <w:p>
            <w:pPr>
              <w:ind w:left="220"/>
              <w:spacing w:after="0"/>
              <w:rPr>
                <w:sz w:val="20"/>
                <w:szCs w:val="20"/>
                <w:color w:val="auto"/>
              </w:rPr>
            </w:pPr>
            <w:r>
              <w:rPr>
                <w:rFonts w:ascii="Arial" w:cs="Arial" w:eastAsia="Arial" w:hAnsi="Arial"/>
                <w:sz w:val="18"/>
                <w:szCs w:val="18"/>
                <w:color w:val="auto"/>
              </w:rPr>
              <w:t>200% of Target Grant</w:t>
            </w:r>
          </w:p>
        </w:tc>
      </w:tr>
    </w:tbl>
    <w:p>
      <w:pPr>
        <w:spacing w:after="0" w:line="20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 xml:space="preserve">If actual OPMP for the Performance Period is below Threshold OPMP specified above, no Performance Share Units will be earned, and if actual OPMP for the Performance Period exceeds Outstanding OPMP specified above, the number of Performance Share Units earned will equal the number earned for Outstanding OPMP. Actual OPMP for the Performance Period between Threshold OPMP and Target OPMP shall result in a number of Performance Share Units earned determined on a linear basis between </w:t>
      </w:r>
      <w:r>
        <w:rPr>
          <w:rFonts w:ascii="Arial" w:cs="Arial" w:eastAsia="Arial" w:hAnsi="Arial"/>
          <w:sz w:val="18"/>
          <w:szCs w:val="18"/>
          <w:b w:val="1"/>
          <w:bCs w:val="1"/>
          <w:color w:val="auto"/>
        </w:rPr>
        <w:t>___</w:t>
      </w:r>
      <w:r>
        <w:rPr>
          <w:rFonts w:ascii="Arial" w:cs="Arial" w:eastAsia="Arial" w:hAnsi="Arial"/>
          <w:sz w:val="18"/>
          <w:szCs w:val="18"/>
          <w:color w:val="auto"/>
        </w:rPr>
        <w:t xml:space="preserve">% and </w:t>
      </w:r>
      <w:r>
        <w:rPr>
          <w:rFonts w:ascii="Arial" w:cs="Arial" w:eastAsia="Arial" w:hAnsi="Arial"/>
          <w:sz w:val="18"/>
          <w:szCs w:val="18"/>
          <w:b w:val="1"/>
          <w:bCs w:val="1"/>
          <w:color w:val="auto"/>
        </w:rPr>
        <w:t>___</w:t>
      </w:r>
      <w:r>
        <w:rPr>
          <w:rFonts w:ascii="Arial" w:cs="Arial" w:eastAsia="Arial" w:hAnsi="Arial"/>
          <w:sz w:val="18"/>
          <w:szCs w:val="18"/>
          <w:color w:val="auto"/>
        </w:rPr>
        <w:t xml:space="preserve">% OPMP. Actual OPMP that falls within the Target OPMP range of </w:t>
      </w:r>
      <w:r>
        <w:rPr>
          <w:rFonts w:ascii="Arial" w:cs="Arial" w:eastAsia="Arial" w:hAnsi="Arial"/>
          <w:sz w:val="18"/>
          <w:szCs w:val="18"/>
          <w:b w:val="1"/>
          <w:bCs w:val="1"/>
          <w:color w:val="auto"/>
        </w:rPr>
        <w:t>___</w:t>
      </w:r>
      <w:r>
        <w:rPr>
          <w:rFonts w:ascii="Arial" w:cs="Arial" w:eastAsia="Arial" w:hAnsi="Arial"/>
          <w:sz w:val="18"/>
          <w:szCs w:val="18"/>
          <w:color w:val="auto"/>
        </w:rPr>
        <w:t xml:space="preserve">% to </w:t>
      </w:r>
      <w:r>
        <w:rPr>
          <w:rFonts w:ascii="Arial" w:cs="Arial" w:eastAsia="Arial" w:hAnsi="Arial"/>
          <w:sz w:val="18"/>
          <w:szCs w:val="18"/>
          <w:b w:val="1"/>
          <w:bCs w:val="1"/>
          <w:color w:val="auto"/>
        </w:rPr>
        <w:t>___</w:t>
      </w:r>
      <w:r>
        <w:rPr>
          <w:rFonts w:ascii="Arial" w:cs="Arial" w:eastAsia="Arial" w:hAnsi="Arial"/>
          <w:sz w:val="18"/>
          <w:szCs w:val="18"/>
          <w:color w:val="auto"/>
        </w:rPr>
        <w:t xml:space="preserve">% shall result in 100% of the Target Grant being earned. Actual OPMP for the Performance Period between Target OPMP and Outstanding OPMP shall result in a number of Performance Share Units earned determined on a linear basis between </w:t>
      </w:r>
      <w:r>
        <w:rPr>
          <w:rFonts w:ascii="Arial" w:cs="Arial" w:eastAsia="Arial" w:hAnsi="Arial"/>
          <w:sz w:val="18"/>
          <w:szCs w:val="18"/>
          <w:b w:val="1"/>
          <w:bCs w:val="1"/>
          <w:color w:val="auto"/>
        </w:rPr>
        <w:t>___</w:t>
      </w:r>
      <w:r>
        <w:rPr>
          <w:rFonts w:ascii="Arial" w:cs="Arial" w:eastAsia="Arial" w:hAnsi="Arial"/>
          <w:sz w:val="18"/>
          <w:szCs w:val="18"/>
          <w:color w:val="auto"/>
        </w:rPr>
        <w:t xml:space="preserve">% and </w:t>
      </w:r>
      <w:r>
        <w:rPr>
          <w:rFonts w:ascii="Arial" w:cs="Arial" w:eastAsia="Arial" w:hAnsi="Arial"/>
          <w:sz w:val="18"/>
          <w:szCs w:val="18"/>
          <w:b w:val="1"/>
          <w:bCs w:val="1"/>
          <w:color w:val="auto"/>
        </w:rPr>
        <w:t>___</w:t>
      </w:r>
      <w:r>
        <w:rPr>
          <w:rFonts w:ascii="Arial" w:cs="Arial" w:eastAsia="Arial" w:hAnsi="Arial"/>
          <w:sz w:val="18"/>
          <w:szCs w:val="18"/>
          <w:color w:val="auto"/>
        </w:rPr>
        <w:t xml:space="preserve">% OPMP. Notwithstanding the foregoing, if the OP Dollar Gate of </w:t>
      </w:r>
      <w:r>
        <w:rPr>
          <w:rFonts w:ascii="Arial" w:cs="Arial" w:eastAsia="Arial" w:hAnsi="Arial"/>
          <w:sz w:val="18"/>
          <w:szCs w:val="18"/>
          <w:b w:val="1"/>
          <w:bCs w:val="1"/>
          <w:color w:val="auto"/>
        </w:rPr>
        <w:t>$___________</w:t>
      </w:r>
      <w:r>
        <w:rPr>
          <w:rFonts w:ascii="Arial" w:cs="Arial" w:eastAsia="Arial" w:hAnsi="Arial"/>
          <w:sz w:val="18"/>
          <w:szCs w:val="18"/>
          <w:color w:val="auto"/>
        </w:rPr>
        <w:t xml:space="preserve"> is not achieved during the Performance Period, the maximum number of Performance Share Units that can be earned will not exceed the Target Grant.</w:t>
      </w:r>
    </w:p>
    <w:p>
      <w:pPr>
        <w:spacing w:after="0" w:line="192" w:lineRule="exact"/>
        <w:rPr>
          <w:sz w:val="20"/>
          <w:szCs w:val="20"/>
          <w:color w:val="auto"/>
        </w:rPr>
      </w:pPr>
    </w:p>
    <w:p>
      <w:pPr>
        <w:ind w:left="1300"/>
        <w:spacing w:after="0"/>
        <w:tabs>
          <w:tab w:leader="none" w:pos="160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Committee Adjustment of Performance Share Units Earned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Committee may negatively or positively adjust the number of Performance Share Units calculated in accordance with Section 2(a), above, by up to </w:t>
      </w:r>
      <w:r>
        <w:rPr>
          <w:rFonts w:ascii="Arial" w:cs="Arial" w:eastAsia="Arial" w:hAnsi="Arial"/>
          <w:sz w:val="16"/>
          <w:szCs w:val="16"/>
          <w:b w:val="1"/>
          <w:bCs w:val="1"/>
          <w:color w:val="auto"/>
        </w:rPr>
        <w:t>_____</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percent (</w:t>
      </w:r>
      <w:r>
        <w:rPr>
          <w:rFonts w:ascii="Arial" w:cs="Arial" w:eastAsia="Arial" w:hAnsi="Arial"/>
          <w:sz w:val="17"/>
          <w:szCs w:val="17"/>
          <w:b w:val="1"/>
          <w:bCs w:val="1"/>
          <w:color w:val="auto"/>
        </w:rPr>
        <w:t>____%)</w:t>
      </w:r>
      <w:r>
        <w:rPr>
          <w:rFonts w:ascii="Arial" w:cs="Arial" w:eastAsia="Arial" w:hAnsi="Arial"/>
          <w:sz w:val="17"/>
          <w:szCs w:val="17"/>
          <w:color w:val="auto"/>
        </w:rPr>
        <w:t xml:space="preserve"> based on the Committee’s determination, in its sole discretion, of the Corporation’s achievement of certain Key Performance Indicators</w:t>
      </w:r>
    </w:p>
    <w:p>
      <w:pPr>
        <w:spacing w:after="0" w:line="21"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 xml:space="preserve">during the Performance Period attached hereto as Exhibit A (the “KPIs”). Notwithstanding the foregoing, no such adjustment shall (i) reduce the number of Performance Share Units earned below the number of Performance Share Units earned for achieving Threshold OPMP, (ii) increase the number of Performance Share Units earned in excess of the number of Performance Share Units earned in Section 2(a) above for achieving Outstanding OPMP, or (iii) increase the number of Performance Share Units earned above the number of Performance Share Units earned for achieving Target OPMP if the OP Dollar Gate of </w:t>
      </w:r>
      <w:r>
        <w:rPr>
          <w:rFonts w:ascii="Arial" w:cs="Arial" w:eastAsia="Arial" w:hAnsi="Arial"/>
          <w:sz w:val="18"/>
          <w:szCs w:val="18"/>
          <w:b w:val="1"/>
          <w:bCs w:val="1"/>
          <w:color w:val="auto"/>
        </w:rPr>
        <w:t>$___________</w:t>
      </w:r>
      <w:r>
        <w:rPr>
          <w:rFonts w:ascii="Arial" w:cs="Arial" w:eastAsia="Arial" w:hAnsi="Arial"/>
          <w:sz w:val="18"/>
          <w:szCs w:val="18"/>
          <w:color w:val="auto"/>
        </w:rPr>
        <w:t xml:space="preserve"> is not achieved during the Performance Period. The Committee shall analyze the level of achievement with respect to the KPIs periodically over the</w:t>
      </w:r>
    </w:p>
    <w:p>
      <w:pPr>
        <w:sectPr>
          <w:pgSz w:w="11900" w:h="16838" w:orient="portrait"/>
          <w:cols w:equalWidth="0" w:num="1">
            <w:col w:w="11420"/>
          </w:cols>
          <w:pgMar w:left="240" w:top="580" w:right="239" w:bottom="1440" w:gutter="0" w:footer="0" w:header="0"/>
        </w:sectPr>
      </w:pPr>
    </w:p>
    <w:bookmarkStart w:id="36" w:name="page37"/>
    <w:bookmarkEnd w:id="36"/>
    <w:p>
      <w:pPr>
        <w:spacing w:after="0"/>
        <w:rPr>
          <w:sz w:val="20"/>
          <w:szCs w:val="20"/>
          <w:color w:val="auto"/>
        </w:rPr>
      </w:pPr>
      <w:r>
        <w:rPr>
          <w:rFonts w:ascii="Arial" w:cs="Arial" w:eastAsia="Arial" w:hAnsi="Arial"/>
          <w:sz w:val="16"/>
          <w:szCs w:val="16"/>
          <w:color w:val="auto"/>
        </w:rPr>
        <w:t>Performance Period and determine, within its sole discretion, whether and to what extent any adjustment shall be made in accordance with this Section 2(b).</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anything herein to the contrary, the Committee retains the discretion to decrease the number of Performance Share Units earned under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Award by any amount.</w:t>
      </w:r>
    </w:p>
    <w:p>
      <w:pPr>
        <w:spacing w:after="0" w:line="238" w:lineRule="exact"/>
        <w:rPr>
          <w:sz w:val="20"/>
          <w:szCs w:val="20"/>
          <w:color w:val="auto"/>
        </w:rPr>
      </w:pPr>
    </w:p>
    <w:p>
      <w:pPr>
        <w:ind w:right="140" w:firstLine="656"/>
        <w:spacing w:after="0" w:line="341" w:lineRule="auto"/>
        <w:tabs>
          <w:tab w:leader="none" w:pos="1431"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Award Payment</w:t>
      </w:r>
      <w:r>
        <w:rPr>
          <w:rFonts w:ascii="Arial" w:cs="Arial" w:eastAsia="Arial" w:hAnsi="Arial"/>
          <w:sz w:val="16"/>
          <w:szCs w:val="16"/>
          <w:color w:val="auto"/>
        </w:rPr>
        <w:t>. The number of Performance Share Units earned shall be paid in Shares in February of the year after the Performance Period as soon as administratively practicable after the Committee has approved and certified the number of Performance Share Units that have been earned hereunder. Notwithstanding the foregoing, Awards of Performance Share Units that become earned and vested upon the Employee’s death, Disability or a Triggering Event as provided in Sections 4 or 5(b) below shall be paid in Shares as soon as administratively practicable after such death, Disability or Triggering Event. Further, to the extent that Performance Share Units granted hereunder become earned and vested in connection with the Employee’s Regular or Qualified Retirement, or upon an involuntary termination of employment (other than for Cause) or voluntary termination for Good Reason as provided in Section 5(a) below, such Award shall be paid to the Employee in Shares as soon as administratively practicable after the date the Committee has certified and approved the number of Performance Share Units that have been earned hereunder or, if required in order to avoid the imposition of a Section 409A penalty tax to the Employee, the payment of the Award shall be further delayed until the first business day after the date that is six (6) months after the date of the Employee’s “separation of service” as such term is defined under Section 409A of the Code.</w:t>
      </w:r>
    </w:p>
    <w:p>
      <w:pPr>
        <w:spacing w:after="0" w:line="167" w:lineRule="exact"/>
        <w:rPr>
          <w:rFonts w:ascii="Arial" w:cs="Arial" w:eastAsia="Arial" w:hAnsi="Arial"/>
          <w:sz w:val="16"/>
          <w:szCs w:val="16"/>
          <w:color w:val="auto"/>
        </w:rPr>
      </w:pPr>
    </w:p>
    <w:p>
      <w:pPr>
        <w:ind w:firstLine="656"/>
        <w:spacing w:after="0" w:line="318" w:lineRule="auto"/>
        <w:tabs>
          <w:tab w:leader="none" w:pos="1431"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w:t>
      </w:r>
      <w:r>
        <w:rPr>
          <w:rFonts w:ascii="Arial" w:cs="Arial" w:eastAsia="Arial" w:hAnsi="Arial"/>
          <w:sz w:val="17"/>
          <w:szCs w:val="17"/>
          <w:color w:val="auto"/>
        </w:rPr>
        <w:t>. Except as otherwise provided in the Plan and except as otherwise provided in this Agreement, Employee must be an employee of the Corporation or any of its direct and indirect subsidiaries (the “ManpowerGroup”) continuously from the date of this Award until the last day of the Performance Period in order for Employee to receive any Shares with respect to any Performance Share units he or she may earn hereunder. Notwithstanding the foregoing, Sections 10(d)(2) and (3) of the Plan, regarding the earning and accelerated vesting of Awards upon a death, Disability or Retirement, shall not apply to this Agreement. Instead, upon Employee’s death or Disability during the Performance Period, Employee will immediately earn and become vested in the number of Performance Share Units the Employee would have otherwise earned if 100% of the Target Performance Goal had been achieved at the end of the Performance Period, with no adjustment under Section 2(b) above. In the event of Employee’s Regular Retirement during the Performance Period, Employee shall earn and become vested in a prorated number of Performance Share Units. The number of Performance Share Units earned and vested in connection with a Regular Retirement shall be the number of Performance Share Units determined by multiplying the number of Performance Share Units that would have been earned, taking into account the achievement of the Annual OP Dollar Gate during the Performance Period, if Employee had remained an Employee until the last day of the Performance Period, determined in accordance with the actual OPMP achieved at the end of the Performance Period, taking into account any adjustment pursuant to Section 2(b), above, by the quotient of (x) the number of full months between the first day of the Performance Period and the last day of the month in which the Employee’s Regular Retirement occurs divided by (y) 36 months. Upon Employee’s Qualified Retirement, Employee shall earn and become vested in the same number of Performance Share Units as a Regular Retirement, except that no proration shall be applied.</w:t>
      </w:r>
    </w:p>
    <w:p>
      <w:pPr>
        <w:spacing w:after="0" w:line="180" w:lineRule="exact"/>
        <w:rPr>
          <w:rFonts w:ascii="Arial" w:cs="Arial" w:eastAsia="Arial" w:hAnsi="Arial"/>
          <w:sz w:val="17"/>
          <w:szCs w:val="17"/>
          <w:color w:val="auto"/>
        </w:rPr>
      </w:pPr>
    </w:p>
    <w:p>
      <w:pPr>
        <w:ind w:right="120" w:firstLine="656"/>
        <w:spacing w:after="0" w:line="324" w:lineRule="auto"/>
        <w:tabs>
          <w:tab w:leader="none" w:pos="1431"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Triggering Event</w:t>
      </w:r>
      <w:r>
        <w:rPr>
          <w:rFonts w:ascii="Arial" w:cs="Arial" w:eastAsia="Arial" w:hAnsi="Arial"/>
          <w:sz w:val="18"/>
          <w:szCs w:val="18"/>
          <w:color w:val="auto"/>
        </w:rPr>
        <w:t>. Section 10(e) of the Plan, regarding the earning and accelerated vesting of Awards after a Triggering Event or during a Protected Period, shall not apply to this Agreement. Instead,</w:t>
      </w:r>
    </w:p>
    <w:p>
      <w:pPr>
        <w:spacing w:after="0" w:line="143" w:lineRule="exact"/>
        <w:rPr>
          <w:rFonts w:ascii="Arial" w:cs="Arial" w:eastAsia="Arial" w:hAnsi="Arial"/>
          <w:sz w:val="18"/>
          <w:szCs w:val="18"/>
          <w:color w:val="auto"/>
        </w:rPr>
      </w:pPr>
    </w:p>
    <w:p>
      <w:pPr>
        <w:ind w:left="1960" w:right="20" w:hanging="655"/>
        <w:spacing w:after="0" w:line="290" w:lineRule="auto"/>
        <w:tabs>
          <w:tab w:leader="none" w:pos="19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If a Triggering Event occurs during the Performance Period, upon the Employee’s termination of employment by the ManpowerGroup other than for Cause or upon the Employee’s voluntary termination of employment for Good Reason during the two-year period following the Triggering Event (but not later than the end of the Performance Period), Employee shall earn and/or become vested in the number of Performance Share Units that would have been earned if Employee had remained an Employee until the last day of the Performance Period (as determined by the Committee, taking into account (i) treatment of Participants with similar grants whose employment has continued beyond the Performance Period, (ii) revised Performance Goals, if any, as agreed to between the relevant parties to the Triggering Event, and (iii) the Corporation’s achievement toward the Performance Goals and the KPIs at the end of the Performance Period, if measurable after the Triggering Event.</w:t>
      </w:r>
    </w:p>
    <w:p>
      <w:pPr>
        <w:spacing w:after="0" w:line="166" w:lineRule="exact"/>
        <w:rPr>
          <w:rFonts w:ascii="Arial" w:cs="Arial" w:eastAsia="Arial" w:hAnsi="Arial"/>
          <w:sz w:val="16"/>
          <w:szCs w:val="16"/>
          <w:color w:val="auto"/>
        </w:rPr>
      </w:pPr>
    </w:p>
    <w:p>
      <w:pPr>
        <w:ind w:left="1960" w:right="80" w:hanging="655"/>
        <w:spacing w:after="0" w:line="257" w:lineRule="auto"/>
        <w:tabs>
          <w:tab w:leader="none" w:pos="1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If the Employee’s employment is terminated by the ManpowerGroup other than for Cause or if the Employee voluntarily terminated his or her employment for Good Reason during a Protected Period, upon a Triggering Event, Employee shall earn and become vested in the same number of Performance Share Units that would have been earned if Employee had remained employed until the date of the Triggering Event and was terminated immediately thereafter (i.e., in the manner covered under Section 5(a) above).</w:t>
      </w:r>
    </w:p>
    <w:p>
      <w:pPr>
        <w:sectPr>
          <w:pgSz w:w="11900" w:h="16838" w:orient="portrait"/>
          <w:cols w:equalWidth="0" w:num="1">
            <w:col w:w="11420"/>
          </w:cols>
          <w:pgMar w:left="240" w:top="584" w:right="239" w:bottom="1440" w:gutter="0" w:footer="0" w:header="0"/>
        </w:sectPr>
      </w:pPr>
    </w:p>
    <w:bookmarkStart w:id="37" w:name="page38"/>
    <w:bookmarkEnd w:id="37"/>
    <w:p>
      <w:pPr>
        <w:ind w:left="-656" w:right="360" w:firstLine="656"/>
        <w:spacing w:after="0" w:line="324" w:lineRule="auto"/>
        <w:tabs>
          <w:tab w:leader="none" w:pos="775"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Dividends and Voting Rights</w:t>
      </w:r>
      <w:r>
        <w:rPr>
          <w:rFonts w:ascii="Arial" w:cs="Arial" w:eastAsia="Arial" w:hAnsi="Arial"/>
          <w:sz w:val="18"/>
          <w:szCs w:val="18"/>
          <w:color w:val="auto"/>
        </w:rPr>
        <w:t>. The Employee shall not be entitled to receive any dividends for his or her Performance Share Units and shall not be entitled to voting rights with respect to such Performance Share Units.</w:t>
      </w:r>
    </w:p>
    <w:p>
      <w:pPr>
        <w:spacing w:after="0" w:line="170" w:lineRule="exact"/>
        <w:rPr>
          <w:rFonts w:ascii="Arial" w:cs="Arial" w:eastAsia="Arial" w:hAnsi="Arial"/>
          <w:sz w:val="18"/>
          <w:szCs w:val="18"/>
          <w:color w:val="auto"/>
        </w:rPr>
      </w:pPr>
    </w:p>
    <w:p>
      <w:pPr>
        <w:ind w:left="-656" w:right="240" w:firstLine="656"/>
        <w:spacing w:after="0" w:line="306" w:lineRule="auto"/>
        <w:tabs>
          <w:tab w:leader="none" w:pos="775"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The Corporation may require payment or reimbursement of or may withhold any tax that it believes is required as a result of the grant or vesting of such Performance Share Units or payments of Shares in connection with the Performance Share Units, and the Corporation may defer making delivery of any Shares in respect of Performance Share Units until arrangements satisfactory to the Corporation have been made with regard to any such payment, reimbursement, or withholding obligation.</w:t>
      </w:r>
    </w:p>
    <w:p>
      <w:pPr>
        <w:spacing w:after="0" w:line="186" w:lineRule="exact"/>
        <w:rPr>
          <w:rFonts w:ascii="Arial" w:cs="Arial" w:eastAsia="Arial" w:hAnsi="Arial"/>
          <w:sz w:val="18"/>
          <w:szCs w:val="18"/>
          <w:color w:val="auto"/>
        </w:rPr>
      </w:pPr>
    </w:p>
    <w:p>
      <w:pPr>
        <w:ind w:left="784" w:hanging="784"/>
        <w:spacing w:after="0"/>
        <w:tabs>
          <w:tab w:leader="none" w:pos="784"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238" w:lineRule="exact"/>
        <w:rPr>
          <w:rFonts w:ascii="Arial" w:cs="Arial" w:eastAsia="Arial" w:hAnsi="Arial"/>
          <w:sz w:val="18"/>
          <w:szCs w:val="18"/>
          <w:color w:val="auto"/>
        </w:rPr>
      </w:pPr>
    </w:p>
    <w:p>
      <w:pPr>
        <w:ind w:left="1304" w:hanging="655"/>
        <w:spacing w:after="0"/>
        <w:tabs>
          <w:tab w:leader="none" w:pos="1304" w:val="left"/>
        </w:tabs>
        <w:numPr>
          <w:ilvl w:val="1"/>
          <w:numId w:val="32"/>
        </w:numPr>
        <w:rPr>
          <w:rFonts w:ascii="Arial" w:cs="Arial" w:eastAsia="Arial" w:hAnsi="Arial"/>
          <w:sz w:val="18"/>
          <w:szCs w:val="18"/>
          <w:color w:val="auto"/>
        </w:rPr>
      </w:pPr>
      <w:r>
        <w:rPr>
          <w:rFonts w:ascii="Arial" w:cs="Arial" w:eastAsia="Arial" w:hAnsi="Arial"/>
          <w:sz w:val="18"/>
          <w:szCs w:val="18"/>
          <w:color w:val="auto"/>
        </w:rPr>
        <w:t>“Target Grant” means the number of Performance Share Units established for Employee to earn at Target OPMP.</w:t>
      </w:r>
    </w:p>
    <w:p>
      <w:pPr>
        <w:spacing w:after="0" w:line="225" w:lineRule="exact"/>
        <w:rPr>
          <w:rFonts w:ascii="Arial" w:cs="Arial" w:eastAsia="Arial" w:hAnsi="Arial"/>
          <w:sz w:val="18"/>
          <w:szCs w:val="18"/>
          <w:color w:val="auto"/>
        </w:rPr>
      </w:pPr>
    </w:p>
    <w:p>
      <w:pPr>
        <w:ind w:left="1304" w:hanging="655"/>
        <w:spacing w:after="0" w:line="285" w:lineRule="auto"/>
        <w:tabs>
          <w:tab w:leader="none" w:pos="1304" w:val="left"/>
        </w:tabs>
        <w:numPr>
          <w:ilvl w:val="1"/>
          <w:numId w:val="32"/>
        </w:numPr>
        <w:rPr>
          <w:rFonts w:ascii="Arial" w:cs="Arial" w:eastAsia="Arial" w:hAnsi="Arial"/>
          <w:sz w:val="16"/>
          <w:szCs w:val="16"/>
          <w:color w:val="auto"/>
        </w:rPr>
      </w:pPr>
      <w:r>
        <w:rPr>
          <w:rFonts w:ascii="Arial" w:cs="Arial" w:eastAsia="Arial" w:hAnsi="Arial"/>
          <w:sz w:val="16"/>
          <w:szCs w:val="16"/>
          <w:color w:val="auto"/>
        </w:rPr>
        <w:t>“OPMP” means the Corporation’s annual operating profit divided by revenue from services, both determined in accordance with GAAP as reported on the Corporation’s audited financial statements, with adjustments to be made (a) to reverse the impact of a change in accounting method during the Performance Period; (b) for any of the following items that exceed $10 million in any year (the $10 million threshold to be measured separately for each item category): (i) goodwill impairment; (ii) nonrecurring restructuring gains or charges; (iii) nonrecurring accrual adjustments pertaining to periods outside of the period of measurement; or</w:t>
      </w:r>
    </w:p>
    <w:p>
      <w:pPr>
        <w:spacing w:after="0" w:line="2" w:lineRule="exact"/>
        <w:rPr>
          <w:rFonts w:ascii="Arial" w:cs="Arial" w:eastAsia="Arial" w:hAnsi="Arial"/>
          <w:sz w:val="16"/>
          <w:szCs w:val="16"/>
          <w:color w:val="auto"/>
        </w:rPr>
      </w:pPr>
    </w:p>
    <w:p>
      <w:pPr>
        <w:ind w:left="1304" w:right="80"/>
        <w:spacing w:after="0" w:line="261" w:lineRule="auto"/>
        <w:rPr>
          <w:rFonts w:ascii="Arial" w:cs="Arial" w:eastAsia="Arial" w:hAnsi="Arial"/>
          <w:sz w:val="16"/>
          <w:szCs w:val="16"/>
          <w:color w:val="auto"/>
        </w:rPr>
      </w:pPr>
      <w:r>
        <w:rPr>
          <w:rFonts w:ascii="Arial" w:cs="Arial" w:eastAsia="Arial" w:hAnsi="Arial"/>
          <w:sz w:val="18"/>
          <w:szCs w:val="18"/>
          <w:color w:val="auto"/>
        </w:rPr>
        <w:t>(c) the Committee may adjust OPMP to reflect the impact of significant regulatory developments or material acquisitions made by the Corporation during the Performance Period.</w:t>
      </w:r>
    </w:p>
    <w:p>
      <w:pPr>
        <w:spacing w:after="0" w:line="183" w:lineRule="exact"/>
        <w:rPr>
          <w:rFonts w:ascii="Arial" w:cs="Arial" w:eastAsia="Arial" w:hAnsi="Arial"/>
          <w:sz w:val="16"/>
          <w:szCs w:val="16"/>
          <w:color w:val="auto"/>
        </w:rPr>
      </w:pPr>
    </w:p>
    <w:p>
      <w:pPr>
        <w:ind w:left="1304" w:hanging="655"/>
        <w:spacing w:after="0"/>
        <w:tabs>
          <w:tab w:leader="none" w:pos="1304" w:val="left"/>
        </w:tabs>
        <w:numPr>
          <w:ilvl w:val="1"/>
          <w:numId w:val="32"/>
        </w:numPr>
        <w:rPr>
          <w:rFonts w:ascii="Arial" w:cs="Arial" w:eastAsia="Arial" w:hAnsi="Arial"/>
          <w:sz w:val="18"/>
          <w:szCs w:val="18"/>
          <w:color w:val="auto"/>
        </w:rPr>
      </w:pPr>
      <w:r>
        <w:rPr>
          <w:rFonts w:ascii="Arial" w:cs="Arial" w:eastAsia="Arial" w:hAnsi="Arial"/>
          <w:sz w:val="18"/>
          <w:szCs w:val="18"/>
          <w:color w:val="auto"/>
        </w:rPr>
        <w:t>“Performance Goal” means the OPMP targets for the Performance Period as set by the Administrator.</w:t>
      </w:r>
    </w:p>
    <w:p>
      <w:pPr>
        <w:spacing w:after="0" w:line="221" w:lineRule="exact"/>
        <w:rPr>
          <w:rFonts w:ascii="Arial" w:cs="Arial" w:eastAsia="Arial" w:hAnsi="Arial"/>
          <w:sz w:val="18"/>
          <w:szCs w:val="18"/>
          <w:color w:val="auto"/>
        </w:rPr>
      </w:pPr>
    </w:p>
    <w:p>
      <w:pPr>
        <w:ind w:left="1304" w:hanging="655"/>
        <w:spacing w:after="0"/>
        <w:tabs>
          <w:tab w:leader="none" w:pos="1304" w:val="left"/>
        </w:tabs>
        <w:numPr>
          <w:ilvl w:val="1"/>
          <w:numId w:val="32"/>
        </w:numPr>
        <w:rPr>
          <w:rFonts w:ascii="Arial" w:cs="Arial" w:eastAsia="Arial" w:hAnsi="Arial"/>
          <w:sz w:val="17"/>
          <w:szCs w:val="17"/>
          <w:color w:val="auto"/>
        </w:rPr>
      </w:pPr>
      <w:r>
        <w:rPr>
          <w:rFonts w:ascii="Arial" w:cs="Arial" w:eastAsia="Arial" w:hAnsi="Arial"/>
          <w:sz w:val="17"/>
          <w:szCs w:val="17"/>
          <w:color w:val="auto"/>
        </w:rPr>
        <w:t xml:space="preserve">“Performance Period” means the 36-month period beginning on </w:t>
      </w:r>
      <w:r>
        <w:rPr>
          <w:rFonts w:ascii="Arial" w:cs="Arial" w:eastAsia="Arial" w:hAnsi="Arial"/>
          <w:sz w:val="17"/>
          <w:szCs w:val="17"/>
          <w:b w:val="1"/>
          <w:bCs w:val="1"/>
          <w:color w:val="auto"/>
        </w:rPr>
        <w:t>_________________</w:t>
      </w:r>
      <w:r>
        <w:rPr>
          <w:rFonts w:ascii="Arial" w:cs="Arial" w:eastAsia="Arial" w:hAnsi="Arial"/>
          <w:sz w:val="17"/>
          <w:szCs w:val="17"/>
          <w:color w:val="auto"/>
        </w:rPr>
        <w:t xml:space="preserve"> and ending on </w:t>
      </w:r>
      <w:r>
        <w:rPr>
          <w:rFonts w:ascii="Arial" w:cs="Arial" w:eastAsia="Arial" w:hAnsi="Arial"/>
          <w:sz w:val="17"/>
          <w:szCs w:val="17"/>
          <w:b w:val="1"/>
          <w:bCs w:val="1"/>
          <w:color w:val="auto"/>
        </w:rPr>
        <w:t>_________________</w:t>
      </w:r>
      <w:r>
        <w:rPr>
          <w:rFonts w:ascii="Arial" w:cs="Arial" w:eastAsia="Arial" w:hAnsi="Arial"/>
          <w:sz w:val="17"/>
          <w:szCs w:val="17"/>
          <w:color w:val="auto"/>
        </w:rPr>
        <w:t>.</w:t>
      </w:r>
    </w:p>
    <w:p>
      <w:pPr>
        <w:spacing w:after="0" w:line="240" w:lineRule="exact"/>
        <w:rPr>
          <w:rFonts w:ascii="Arial" w:cs="Arial" w:eastAsia="Arial" w:hAnsi="Arial"/>
          <w:sz w:val="17"/>
          <w:szCs w:val="17"/>
          <w:color w:val="auto"/>
        </w:rPr>
      </w:pPr>
    </w:p>
    <w:p>
      <w:pPr>
        <w:ind w:left="1304" w:right="140" w:hanging="655"/>
        <w:spacing w:after="0" w:line="277" w:lineRule="auto"/>
        <w:tabs>
          <w:tab w:leader="none" w:pos="1304" w:val="left"/>
        </w:tabs>
        <w:numPr>
          <w:ilvl w:val="1"/>
          <w:numId w:val="32"/>
        </w:numPr>
        <w:rPr>
          <w:rFonts w:ascii="Arial" w:cs="Arial" w:eastAsia="Arial" w:hAnsi="Arial"/>
          <w:sz w:val="18"/>
          <w:szCs w:val="18"/>
          <w:color w:val="auto"/>
        </w:rPr>
      </w:pPr>
      <w:r>
        <w:rPr>
          <w:rFonts w:ascii="Arial" w:cs="Arial" w:eastAsia="Arial" w:hAnsi="Arial"/>
          <w:sz w:val="18"/>
          <w:szCs w:val="18"/>
          <w:color w:val="auto"/>
        </w:rPr>
        <w:t>“Service” means the period beginning on the date the Employee’s employment with the ManpowerGroup commences and ending on the date the Employee’s employment with the ManpowerGroup terminates.</w:t>
      </w:r>
    </w:p>
    <w:p>
      <w:pPr>
        <w:spacing w:after="0" w:line="170" w:lineRule="exact"/>
        <w:rPr>
          <w:rFonts w:ascii="Arial" w:cs="Arial" w:eastAsia="Arial" w:hAnsi="Arial"/>
          <w:sz w:val="18"/>
          <w:szCs w:val="18"/>
          <w:color w:val="auto"/>
        </w:rPr>
      </w:pPr>
    </w:p>
    <w:p>
      <w:pPr>
        <w:ind w:left="1304" w:right="20" w:hanging="655"/>
        <w:spacing w:after="0" w:line="291" w:lineRule="auto"/>
        <w:tabs>
          <w:tab w:leader="none" w:pos="1304" w:val="left"/>
        </w:tabs>
        <w:numPr>
          <w:ilvl w:val="1"/>
          <w:numId w:val="32"/>
        </w:numPr>
        <w:rPr>
          <w:rFonts w:ascii="Arial" w:cs="Arial" w:eastAsia="Arial" w:hAnsi="Arial"/>
          <w:sz w:val="16"/>
          <w:szCs w:val="16"/>
          <w:color w:val="auto"/>
        </w:rPr>
      </w:pPr>
      <w:r>
        <w:rPr>
          <w:rFonts w:ascii="Arial" w:cs="Arial" w:eastAsia="Arial" w:hAnsi="Arial"/>
          <w:sz w:val="16"/>
          <w:szCs w:val="16"/>
          <w:color w:val="auto"/>
        </w:rPr>
        <w:t>“OP Dollar Gate” means the minimum average annual operating profit dollars that can be achieved during the Performance Period. Operating profit is determined in accordance with GAAP as reported on the Corporation’s audited financial statements, with adjustments to be made (a) to reverse the impact of a change in accounting method during the Performance Period; (b) for any of the following items that exceed $10 million in any year (the $10 million threshold to be measured separately for each item category): (i) goodwill impairment; (ii) nonrecurring restructuring gains or charges; and (iii) nonrecurring accrual adjustments pertaining to periods outside of the period of measurement; or (c) the Committee may adjust Operating profit to reflect the impact of significant regulatory developments or material acquisitions made by the Corporation during the performance period.</w:t>
      </w:r>
    </w:p>
    <w:p>
      <w:pPr>
        <w:spacing w:after="0" w:line="167" w:lineRule="exact"/>
        <w:rPr>
          <w:rFonts w:ascii="Arial" w:cs="Arial" w:eastAsia="Arial" w:hAnsi="Arial"/>
          <w:sz w:val="16"/>
          <w:szCs w:val="16"/>
          <w:color w:val="auto"/>
        </w:rPr>
      </w:pPr>
    </w:p>
    <w:p>
      <w:pPr>
        <w:ind w:left="1304" w:right="300" w:hanging="655"/>
        <w:spacing w:after="0" w:line="277" w:lineRule="auto"/>
        <w:tabs>
          <w:tab w:leader="none" w:pos="1304" w:val="left"/>
        </w:tabs>
        <w:numPr>
          <w:ilvl w:val="1"/>
          <w:numId w:val="32"/>
        </w:numPr>
        <w:rPr>
          <w:rFonts w:ascii="Arial" w:cs="Arial" w:eastAsia="Arial" w:hAnsi="Arial"/>
          <w:sz w:val="18"/>
          <w:szCs w:val="18"/>
          <w:color w:val="auto"/>
        </w:rPr>
      </w:pPr>
      <w:r>
        <w:rPr>
          <w:rFonts w:ascii="Arial" w:cs="Arial" w:eastAsia="Arial" w:hAnsi="Arial"/>
          <w:sz w:val="18"/>
          <w:szCs w:val="18"/>
          <w:color w:val="auto"/>
        </w:rPr>
        <w:t>“Qualified Retirement” will mean termination of the Employee’s employment on or after both of the following conditions have been met (or waived by the Committee):</w:t>
      </w:r>
    </w:p>
    <w:p>
      <w:pPr>
        <w:spacing w:after="0" w:line="170" w:lineRule="exact"/>
        <w:rPr>
          <w:sz w:val="20"/>
          <w:szCs w:val="20"/>
          <w:color w:val="auto"/>
        </w:rPr>
      </w:pPr>
    </w:p>
    <w:p>
      <w:pPr>
        <w:ind w:left="1944" w:hanging="647"/>
        <w:spacing w:after="0"/>
        <w:tabs>
          <w:tab w:leader="none" w:pos="1944" w:val="left"/>
        </w:tabs>
        <w:numPr>
          <w:ilvl w:val="1"/>
          <w:numId w:val="33"/>
        </w:numPr>
        <w:rPr>
          <w:rFonts w:ascii="Arial" w:cs="Arial" w:eastAsia="Arial" w:hAnsi="Arial"/>
          <w:sz w:val="18"/>
          <w:szCs w:val="18"/>
          <w:color w:val="auto"/>
        </w:rPr>
      </w:pPr>
      <w:r>
        <w:rPr>
          <w:rFonts w:ascii="Arial" w:cs="Arial" w:eastAsia="Arial" w:hAnsi="Arial"/>
          <w:sz w:val="18"/>
          <w:szCs w:val="18"/>
          <w:color w:val="auto"/>
        </w:rPr>
        <w:t>Employee has attained age 55 and has completed 10 years of Service; and</w:t>
      </w:r>
    </w:p>
    <w:p>
      <w:pPr>
        <w:spacing w:after="0" w:line="225" w:lineRule="exact"/>
        <w:rPr>
          <w:rFonts w:ascii="Arial" w:cs="Arial" w:eastAsia="Arial" w:hAnsi="Arial"/>
          <w:sz w:val="18"/>
          <w:szCs w:val="18"/>
          <w:color w:val="auto"/>
        </w:rPr>
      </w:pPr>
    </w:p>
    <w:p>
      <w:pPr>
        <w:ind w:left="1944" w:right="260" w:hanging="647"/>
        <w:spacing w:after="0" w:line="277" w:lineRule="auto"/>
        <w:tabs>
          <w:tab w:leader="none" w:pos="1944"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Committee has approved a succession plan, as recommended by the Corporation’s CEO, for the Employee or with respect to his position.</w:t>
      </w:r>
    </w:p>
    <w:p>
      <w:pPr>
        <w:spacing w:after="0" w:line="170" w:lineRule="exact"/>
        <w:rPr>
          <w:rFonts w:ascii="Arial" w:cs="Arial" w:eastAsia="Arial" w:hAnsi="Arial"/>
          <w:sz w:val="18"/>
          <w:szCs w:val="18"/>
          <w:color w:val="auto"/>
        </w:rPr>
      </w:pPr>
    </w:p>
    <w:p>
      <w:pPr>
        <w:ind w:left="1304" w:right="120" w:hanging="655"/>
        <w:spacing w:after="0" w:line="264" w:lineRule="auto"/>
        <w:tabs>
          <w:tab w:leader="none" w:pos="1304"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“Regular Retirement” will mean termination of the Employee’s employment on or after the Employee has attained age 55 and has completed 10 years of Service, but at a time when the conditions required for a Qualified Retirement have not been met nor waived.</w:t>
      </w:r>
    </w:p>
    <w:p>
      <w:pPr>
        <w:sectPr>
          <w:pgSz w:w="11900" w:h="16838" w:orient="portrait"/>
          <w:cols w:equalWidth="0" w:num="1">
            <w:col w:w="10764"/>
          </w:cols>
          <w:pgMar w:left="896" w:top="611" w:right="239" w:bottom="1440" w:gutter="0" w:footer="0" w:header="0"/>
        </w:sectPr>
      </w:pPr>
    </w:p>
    <w:bookmarkStart w:id="38" w:name="page39"/>
    <w:bookmarkEnd w:id="38"/>
    <w:p>
      <w:pPr>
        <w:ind w:left="760" w:hanging="655"/>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“Termination for “Cause” will mean termination of the Employee’s employment upon:</w:t>
      </w:r>
    </w:p>
    <w:p>
      <w:pPr>
        <w:spacing w:after="0" w:line="23" w:lineRule="exact"/>
        <w:rPr>
          <w:rFonts w:ascii="Arial" w:cs="Arial" w:eastAsia="Arial" w:hAnsi="Arial"/>
          <w:sz w:val="18"/>
          <w:szCs w:val="18"/>
          <w:color w:val="auto"/>
        </w:rPr>
      </w:pPr>
    </w:p>
    <w:p>
      <w:pPr>
        <w:ind w:left="1400" w:right="400" w:hanging="647"/>
        <w:spacing w:after="0" w:line="290" w:lineRule="auto"/>
        <w:tabs>
          <w:tab w:leader="none" w:pos="1400" w:val="left"/>
        </w:tabs>
        <w:numPr>
          <w:ilvl w:val="1"/>
          <w:numId w:val="35"/>
        </w:numPr>
        <w:rPr>
          <w:rFonts w:ascii="Arial" w:cs="Arial" w:eastAsia="Arial" w:hAnsi="Arial"/>
          <w:sz w:val="17"/>
          <w:szCs w:val="17"/>
          <w:color w:val="auto"/>
        </w:rPr>
      </w:pPr>
      <w:r>
        <w:rPr>
          <w:rFonts w:ascii="Arial" w:cs="Arial" w:eastAsia="Arial" w:hAnsi="Arial"/>
          <w:sz w:val="17"/>
          <w:szCs w:val="17"/>
          <w:color w:val="auto"/>
        </w:rPr>
        <w:t>Employee’s repeated failure to perform his duties with the ManpowerGroup in a competent, diligent and satisfactory manner as determined by the Corporation’s Chief Executive Officer in his reasonable judgment;</w:t>
      </w:r>
    </w:p>
    <w:p>
      <w:pPr>
        <w:spacing w:after="0" w:line="161" w:lineRule="exact"/>
        <w:rPr>
          <w:rFonts w:ascii="Arial" w:cs="Arial" w:eastAsia="Arial" w:hAnsi="Arial"/>
          <w:sz w:val="17"/>
          <w:szCs w:val="17"/>
          <w:color w:val="auto"/>
        </w:rPr>
      </w:pPr>
    </w:p>
    <w:p>
      <w:pPr>
        <w:ind w:left="1400" w:right="180" w:hanging="647"/>
        <w:spacing w:after="0" w:line="257" w:lineRule="auto"/>
        <w:tabs>
          <w:tab w:leader="none" w:pos="14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Employee’s failure or refusal to follow the reasonable instructions or direction of the Corporation’s Chief Executive Officer, which failure or refusal remains uncured, if subject to cure, to the reasonable satisfaction of the Corporation’s Chief Executive Officer for five (5) business days after receiving notice thereof from the Corporation’s Chief Executive Officer, or repeated failure or refusal to follow the reasonable instructions or directions of the Corporation’s Chief Executive Officer;</w:t>
      </w:r>
    </w:p>
    <w:p>
      <w:pPr>
        <w:spacing w:after="0" w:line="188" w:lineRule="exact"/>
        <w:rPr>
          <w:rFonts w:ascii="Arial" w:cs="Arial" w:eastAsia="Arial" w:hAnsi="Arial"/>
          <w:sz w:val="18"/>
          <w:szCs w:val="18"/>
          <w:color w:val="auto"/>
        </w:rPr>
      </w:pPr>
    </w:p>
    <w:p>
      <w:pPr>
        <w:ind w:left="1400" w:hanging="647"/>
        <w:spacing w:after="0"/>
        <w:tabs>
          <w:tab w:leader="none" w:pos="14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act by Employee of fraud, material dishonesty or material disloyalty involving the ManpowerGroup;</w:t>
      </w:r>
    </w:p>
    <w:p>
      <w:pPr>
        <w:spacing w:after="0" w:line="225" w:lineRule="exact"/>
        <w:rPr>
          <w:rFonts w:ascii="Arial" w:cs="Arial" w:eastAsia="Arial" w:hAnsi="Arial"/>
          <w:sz w:val="18"/>
          <w:szCs w:val="18"/>
          <w:color w:val="auto"/>
        </w:rPr>
      </w:pPr>
    </w:p>
    <w:p>
      <w:pPr>
        <w:ind w:left="1400" w:right="360" w:hanging="647"/>
        <w:spacing w:after="0" w:line="264" w:lineRule="auto"/>
        <w:tabs>
          <w:tab w:leader="none" w:pos="14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violation by Employee of a ManpowerGroup policy of material import (including, but not limited to, the Code of Business Conduct and Ethics, the Statement of Policy on Securities Trading, the Foreign Corrupt Practices Act Compliance Policy and policies included in the Employee Handbook);</w:t>
      </w:r>
    </w:p>
    <w:p>
      <w:pPr>
        <w:spacing w:after="0" w:line="181" w:lineRule="exact"/>
        <w:rPr>
          <w:rFonts w:ascii="Arial" w:cs="Arial" w:eastAsia="Arial" w:hAnsi="Arial"/>
          <w:sz w:val="18"/>
          <w:szCs w:val="18"/>
          <w:color w:val="auto"/>
        </w:rPr>
      </w:pPr>
    </w:p>
    <w:p>
      <w:pPr>
        <w:ind w:left="1400" w:right="100" w:hanging="647"/>
        <w:spacing w:after="0" w:line="277" w:lineRule="auto"/>
        <w:tabs>
          <w:tab w:leader="none" w:pos="14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act by Employee of moral turpitude which is likely to result in discredit to or loss of business, reputation or goodwill of the ManpowerGroup;</w:t>
      </w:r>
    </w:p>
    <w:p>
      <w:pPr>
        <w:spacing w:after="0" w:line="170" w:lineRule="exact"/>
        <w:rPr>
          <w:rFonts w:ascii="Arial" w:cs="Arial" w:eastAsia="Arial" w:hAnsi="Arial"/>
          <w:sz w:val="18"/>
          <w:szCs w:val="18"/>
          <w:color w:val="auto"/>
        </w:rPr>
      </w:pPr>
    </w:p>
    <w:p>
      <w:pPr>
        <w:ind w:left="1400" w:hanging="647"/>
        <w:spacing w:after="0"/>
        <w:tabs>
          <w:tab w:leader="none" w:pos="14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Employee’s chronic absence from work other than by reason of a serious health condition;</w:t>
      </w:r>
    </w:p>
    <w:p>
      <w:pPr>
        <w:spacing w:after="0" w:line="225" w:lineRule="exact"/>
        <w:rPr>
          <w:rFonts w:ascii="Arial" w:cs="Arial" w:eastAsia="Arial" w:hAnsi="Arial"/>
          <w:sz w:val="18"/>
          <w:szCs w:val="18"/>
          <w:color w:val="auto"/>
        </w:rPr>
      </w:pPr>
    </w:p>
    <w:p>
      <w:pPr>
        <w:ind w:left="1400" w:right="280" w:hanging="647"/>
        <w:spacing w:after="0" w:line="277" w:lineRule="auto"/>
        <w:tabs>
          <w:tab w:leader="none" w:pos="14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Employee’s commissions of a crime the circumstances of which substantially relate to Employee’s employment duties with the ManpowerGroup; or</w:t>
      </w:r>
    </w:p>
    <w:p>
      <w:pPr>
        <w:spacing w:after="0" w:line="170" w:lineRule="exact"/>
        <w:rPr>
          <w:rFonts w:ascii="Arial" w:cs="Arial" w:eastAsia="Arial" w:hAnsi="Arial"/>
          <w:sz w:val="18"/>
          <w:szCs w:val="18"/>
          <w:color w:val="auto"/>
        </w:rPr>
      </w:pPr>
    </w:p>
    <w:p>
      <w:pPr>
        <w:ind w:left="1400" w:hanging="647"/>
        <w:spacing w:after="0"/>
        <w:tabs>
          <w:tab w:leader="none" w:pos="1400" w:val="left"/>
        </w:tabs>
        <w:numPr>
          <w:ilvl w:val="1"/>
          <w:numId w:val="35"/>
        </w:numPr>
        <w:rPr>
          <w:rFonts w:ascii="Arial" w:cs="Arial" w:eastAsia="Arial" w:hAnsi="Arial"/>
          <w:sz w:val="17"/>
          <w:szCs w:val="17"/>
          <w:color w:val="auto"/>
        </w:rPr>
      </w:pPr>
      <w:r>
        <w:rPr>
          <w:rFonts w:ascii="Arial" w:cs="Arial" w:eastAsia="Arial" w:hAnsi="Arial"/>
          <w:sz w:val="17"/>
          <w:szCs w:val="17"/>
          <w:color w:val="auto"/>
        </w:rPr>
        <w:t>the willful engaging by Employee in conduct which is demonstrably and materially injurious to the ManpowerGroup.</w:t>
      </w:r>
    </w:p>
    <w:p>
      <w:pPr>
        <w:spacing w:after="0" w:line="236" w:lineRule="exact"/>
        <w:rPr>
          <w:rFonts w:ascii="Arial" w:cs="Arial" w:eastAsia="Arial" w:hAnsi="Arial"/>
          <w:sz w:val="17"/>
          <w:szCs w:val="17"/>
          <w:color w:val="auto"/>
        </w:rPr>
      </w:pPr>
    </w:p>
    <w:p>
      <w:pPr>
        <w:ind w:left="1400" w:right="360" w:hanging="647"/>
        <w:spacing w:after="0" w:line="277" w:lineRule="auto"/>
        <w:tabs>
          <w:tab w:leader="none" w:pos="14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For purposes of this Agreement, no act, or failure to act, on Employee’s part will be deemed “willful” unless done, or omitted to be done, by Employee not in good faith.</w:t>
      </w:r>
    </w:p>
    <w:p>
      <w:pPr>
        <w:spacing w:after="0" w:line="170" w:lineRule="exact"/>
        <w:rPr>
          <w:sz w:val="20"/>
          <w:szCs w:val="20"/>
          <w:color w:val="auto"/>
        </w:rPr>
      </w:pPr>
    </w:p>
    <w:p>
      <w:pPr>
        <w:ind w:left="760" w:hanging="655"/>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“Good Reason” will mean, without the Employee’s consent, the occurrence of any one or more of the following:</w:t>
      </w:r>
    </w:p>
    <w:p>
      <w:pPr>
        <w:spacing w:after="0" w:line="225" w:lineRule="exact"/>
        <w:rPr>
          <w:rFonts w:ascii="Arial" w:cs="Arial" w:eastAsia="Arial" w:hAnsi="Arial"/>
          <w:sz w:val="18"/>
          <w:szCs w:val="18"/>
          <w:color w:val="auto"/>
        </w:rPr>
      </w:pPr>
    </w:p>
    <w:p>
      <w:pPr>
        <w:ind w:left="1400" w:right="180" w:hanging="647"/>
        <w:spacing w:after="0" w:line="277" w:lineRule="auto"/>
        <w:tabs>
          <w:tab w:leader="none" w:pos="14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material breach of any material obligation of the ManpowerGroup for the payment or provision of compensation or other benefits to Employee;</w:t>
      </w:r>
    </w:p>
    <w:p>
      <w:pPr>
        <w:spacing w:after="0" w:line="170" w:lineRule="exact"/>
        <w:rPr>
          <w:rFonts w:ascii="Arial" w:cs="Arial" w:eastAsia="Arial" w:hAnsi="Arial"/>
          <w:sz w:val="18"/>
          <w:szCs w:val="18"/>
          <w:color w:val="auto"/>
        </w:rPr>
      </w:pPr>
    </w:p>
    <w:p>
      <w:pPr>
        <w:ind w:left="1400" w:hanging="647"/>
        <w:spacing w:after="0"/>
        <w:tabs>
          <w:tab w:leader="none" w:pos="14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 material diminution in Employee’s base salary</w:t>
      </w:r>
    </w:p>
    <w:p>
      <w:pPr>
        <w:spacing w:after="0" w:line="225" w:lineRule="exact"/>
        <w:rPr>
          <w:rFonts w:ascii="Arial" w:cs="Arial" w:eastAsia="Arial" w:hAnsi="Arial"/>
          <w:sz w:val="18"/>
          <w:szCs w:val="18"/>
          <w:color w:val="auto"/>
        </w:rPr>
      </w:pPr>
    </w:p>
    <w:p>
      <w:pPr>
        <w:ind w:left="1400" w:right="60" w:hanging="647"/>
        <w:spacing w:after="0" w:line="264" w:lineRule="auto"/>
        <w:tabs>
          <w:tab w:leader="none" w:pos="14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 material diminution in Employee’s authority, duties or responsibilities, accompanied by a material reduction in Employee’s target bonus opportunity for a given fiscal year (as compared to the prior fiscal year), except where all senior level executives have similar proportionate reductions in their target bonus percentages;</w:t>
      </w:r>
    </w:p>
    <w:p>
      <w:pPr>
        <w:spacing w:after="0" w:line="181" w:lineRule="exact"/>
        <w:rPr>
          <w:rFonts w:ascii="Arial" w:cs="Arial" w:eastAsia="Arial" w:hAnsi="Arial"/>
          <w:sz w:val="18"/>
          <w:szCs w:val="18"/>
          <w:color w:val="auto"/>
        </w:rPr>
      </w:pPr>
    </w:p>
    <w:p>
      <w:pPr>
        <w:jc w:val="both"/>
        <w:ind w:left="1400" w:hanging="647"/>
        <w:spacing w:after="0" w:line="264" w:lineRule="auto"/>
        <w:tabs>
          <w:tab w:leader="none" w:pos="14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 material diminution in Employee’s authority, duties or responsibilities which is not accompanied by a material reduction in Employee’s target bonus opportunity but which diminution occurs within two years after the occurrence of a Triggering Event;</w:t>
      </w:r>
    </w:p>
    <w:p>
      <w:pPr>
        <w:spacing w:after="0" w:line="181" w:lineRule="exact"/>
        <w:rPr>
          <w:rFonts w:ascii="Arial" w:cs="Arial" w:eastAsia="Arial" w:hAnsi="Arial"/>
          <w:sz w:val="18"/>
          <w:szCs w:val="18"/>
          <w:color w:val="auto"/>
        </w:rPr>
      </w:pPr>
    </w:p>
    <w:p>
      <w:pPr>
        <w:ind w:left="1400" w:right="160" w:hanging="647"/>
        <w:spacing w:after="0" w:line="264" w:lineRule="auto"/>
        <w:tabs>
          <w:tab w:leader="none" w:pos="14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 material reduction in Employee’s target bonus opportunity for a given fiscal year (as compared to the prior fiscal year) which is not accompanied by a material diminution in Employee’s authority, duties or responsibilities, but which reduction occurs within two years after the occurrence of a Triggering Event; or</w:t>
      </w:r>
    </w:p>
    <w:p>
      <w:pPr>
        <w:sectPr>
          <w:pgSz w:w="11900" w:h="16838" w:orient="portrait"/>
          <w:cols w:equalWidth="0" w:num="1">
            <w:col w:w="10200"/>
          </w:cols>
          <w:pgMar w:left="1440" w:top="800" w:right="259" w:bottom="1440" w:gutter="0" w:footer="0" w:header="0"/>
        </w:sectPr>
      </w:pPr>
    </w:p>
    <w:bookmarkStart w:id="39" w:name="page40"/>
    <w:bookmarkEnd w:id="39"/>
    <w:p>
      <w:pPr>
        <w:ind w:left="2600" w:right="20" w:hanging="647"/>
        <w:spacing w:after="0" w:line="308" w:lineRule="auto"/>
        <w:tabs>
          <w:tab w:leader="none" w:pos="26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Employee’s being required by the Corporation to materially change the location of his principal office; provided such new location is one in excess of fifty miles from the location of Employee’s principal office before such change.</w:t>
      </w:r>
    </w:p>
    <w:p>
      <w:pPr>
        <w:spacing w:after="0" w:line="147"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Notwithstanding the provisions above, Good Reason does not exist unless (i) Employee objects to any material diminution or breach described above by written notice to the Corporation within twenty (20) business days after such diminution or breach occurs, (ii) the Corporation fails to cure such diminution or breach within thirty (30) days after such notice is given and (iii) Employee’s employment with the ManpowerGroup is terminated by Employee within ninety (90) days after such diminution or breach occurs.</w:t>
      </w:r>
    </w:p>
    <w:p>
      <w:pPr>
        <w:spacing w:after="0" w:line="187" w:lineRule="exact"/>
        <w:rPr>
          <w:sz w:val="20"/>
          <w:szCs w:val="20"/>
          <w:color w:val="auto"/>
        </w:rPr>
      </w:pPr>
    </w:p>
    <w:p>
      <w:pPr>
        <w:ind w:left="660" w:right="260" w:hanging="4"/>
        <w:spacing w:after="0" w:line="277" w:lineRule="auto"/>
        <w:tabs>
          <w:tab w:leader="none" w:pos="975"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Multiple Executed Copies</w:t>
      </w:r>
      <w:r>
        <w:rPr>
          <w:rFonts w:ascii="Arial" w:cs="Arial" w:eastAsia="Arial" w:hAnsi="Arial"/>
          <w:sz w:val="18"/>
          <w:szCs w:val="18"/>
          <w:color w:val="auto"/>
        </w:rPr>
        <w:t>. This Agreement may be executed in multiple copies, each of which will constitute an original, and which together will constitute one and the same agreement providing for a single grant of Performance Share Units.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Corporation has caused this Agreement to be executed as of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ManpowerGroup Inc.</w:t>
      </w: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By:________________________________________</w:t>
      </w:r>
    </w:p>
    <w:p>
      <w:pPr>
        <w:spacing w:after="0" w:line="200" w:lineRule="exact"/>
        <w:rPr>
          <w:sz w:val="20"/>
          <w:szCs w:val="20"/>
          <w:color w:val="auto"/>
        </w:rPr>
      </w:pPr>
    </w:p>
    <w:p>
      <w:pPr>
        <w:spacing w:after="0" w:line="24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undersigned Employee hereby accepts the foregoing grant of Performance Share Units and agrees to the several terms and conditions hereof and of the Plan.</w:t>
      </w:r>
    </w:p>
    <w:p>
      <w:pPr>
        <w:spacing w:after="0" w:line="38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____________________________________________</w:t>
      </w:r>
    </w:p>
    <w:p>
      <w:pPr>
        <w:spacing w:after="0" w:line="23" w:lineRule="exact"/>
        <w:rPr>
          <w:sz w:val="20"/>
          <w:szCs w:val="20"/>
          <w:color w:val="auto"/>
        </w:rPr>
      </w:pPr>
    </w:p>
    <w:p>
      <w:pPr>
        <w:ind w:left="6860"/>
        <w:spacing w:after="0"/>
        <w:tabs>
          <w:tab w:leader="none" w:pos="8360" w:val="left"/>
        </w:tabs>
        <w:rPr>
          <w:sz w:val="20"/>
          <w:szCs w:val="20"/>
          <w:color w:val="auto"/>
        </w:rPr>
      </w:pPr>
      <w:r>
        <w:rPr>
          <w:rFonts w:ascii="Arial" w:cs="Arial" w:eastAsia="Arial" w:hAnsi="Arial"/>
          <w:sz w:val="18"/>
          <w:szCs w:val="18"/>
          <w:color w:val="auto"/>
        </w:rPr>
        <w:t>[Insert Employee]</w:t>
      </w:r>
      <w:r>
        <w:rPr>
          <w:sz w:val="20"/>
          <w:szCs w:val="20"/>
          <w:color w:val="auto"/>
        </w:rPr>
        <w:tab/>
      </w:r>
      <w:r>
        <w:rPr>
          <w:rFonts w:ascii="Arial" w:cs="Arial" w:eastAsia="Arial" w:hAnsi="Arial"/>
          <w:sz w:val="16"/>
          <w:szCs w:val="16"/>
          <w:color w:val="auto"/>
        </w:rPr>
        <w:t>Employee</w:t>
      </w:r>
    </w:p>
    <w:p>
      <w:pPr>
        <w:sectPr>
          <w:pgSz w:w="11900" w:h="16838" w:orient="portrait"/>
          <w:cols w:equalWidth="0" w:num="1">
            <w:col w:w="11420"/>
          </w:cols>
          <w:pgMar w:left="240" w:top="584" w:right="239" w:bottom="1440" w:gutter="0" w:footer="0" w:header="0"/>
        </w:sectPr>
      </w:pPr>
    </w:p>
    <w:bookmarkStart w:id="40" w:name="page41"/>
    <w:bookmarkEnd w:id="40"/>
    <w:p>
      <w:pPr>
        <w:ind w:left="4360"/>
        <w:spacing w:after="0"/>
        <w:rPr>
          <w:sz w:val="20"/>
          <w:szCs w:val="20"/>
          <w:color w:val="auto"/>
        </w:rPr>
      </w:pPr>
      <w:r>
        <w:rPr>
          <w:rFonts w:ascii="Arial" w:cs="Arial" w:eastAsia="Arial" w:hAnsi="Arial"/>
          <w:sz w:val="18"/>
          <w:szCs w:val="18"/>
          <w:b w:val="1"/>
          <w:bCs w:val="1"/>
          <w:u w:val="single" w:color="auto"/>
          <w:color w:val="auto"/>
        </w:rPr>
        <w:t>EXHIBIT A</w:t>
      </w:r>
    </w:p>
    <w:p>
      <w:pPr>
        <w:sectPr>
          <w:pgSz w:w="11900" w:h="16838" w:orient="portrait"/>
          <w:cols w:equalWidth="0" w:num="1">
            <w:col w:w="9019"/>
          </w:cols>
          <w:pgMar w:left="1440" w:top="796" w:right="1440" w:bottom="1440" w:gutter="0" w:footer="0" w:header="0"/>
        </w:sectPr>
      </w:pPr>
    </w:p>
    <w:p>
      <w:pPr>
        <w:spacing w:after="0" w:line="225" w:lineRule="exact"/>
        <w:rPr>
          <w:sz w:val="20"/>
          <w:szCs w:val="20"/>
          <w:color w:val="auto"/>
        </w:rPr>
      </w:pPr>
    </w:p>
    <w:p>
      <w:pPr>
        <w:ind w:left="4640"/>
        <w:spacing w:after="0"/>
        <w:rPr>
          <w:sz w:val="20"/>
          <w:szCs w:val="20"/>
          <w:color w:val="auto"/>
        </w:rPr>
      </w:pPr>
      <w:r>
        <w:rPr>
          <w:rFonts w:ascii="Arial" w:cs="Arial" w:eastAsia="Arial" w:hAnsi="Arial"/>
          <w:sz w:val="17"/>
          <w:szCs w:val="17"/>
          <w:b w:val="1"/>
          <w:bCs w:val="1"/>
          <w:color w:val="auto"/>
        </w:rPr>
        <w:t>KPIs</w:t>
      </w:r>
    </w:p>
    <w:p>
      <w:pPr>
        <w:sectPr>
          <w:pgSz w:w="11900" w:h="16838" w:orient="portrait"/>
          <w:cols w:equalWidth="0" w:num="1">
            <w:col w:w="9019"/>
          </w:cols>
          <w:pgMar w:left="1440" w:top="796" w:right="1440" w:bottom="1440" w:gutter="0" w:footer="0" w:header="0"/>
          <w:type w:val="continuous"/>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Jonas Prising, Chief Executive Officer of ManpowerGroup Inc., certify that:</w:t>
      </w:r>
    </w:p>
    <w:p>
      <w:pPr>
        <w:spacing w:after="0" w:line="225"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ManpowerGroup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620" w:right="220" w:hanging="329"/>
        <w:spacing w:after="0" w:line="286" w:lineRule="auto"/>
        <w:tabs>
          <w:tab w:leader="none" w:pos="162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620" w:right="280" w:hanging="329"/>
        <w:spacing w:after="0" w:line="264" w:lineRule="auto"/>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620" w:right="80" w:hanging="329"/>
        <w:spacing w:after="0" w:line="342" w:lineRule="auto"/>
        <w:tabs>
          <w:tab w:leader="none" w:pos="162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620" w:right="100" w:hanging="329"/>
        <w:spacing w:after="0" w:line="264" w:lineRule="auto"/>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620" w:right="320" w:hanging="329"/>
        <w:spacing w:after="0" w:line="342" w:lineRule="auto"/>
        <w:tabs>
          <w:tab w:leader="none" w:pos="162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620" w:hanging="329"/>
        <w:spacing w:after="0" w:line="277" w:lineRule="auto"/>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9, 2019</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6725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72590" cy="1714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Jonas Prising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John T. McGinnis, Executive Vice President and Chief Financial Officer of ManpowerGroup Inc., certify that:</w:t>
      </w:r>
    </w:p>
    <w:p>
      <w:pPr>
        <w:spacing w:after="0" w:line="225"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ManpowerGroup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00" w:right="200" w:hanging="317"/>
        <w:spacing w:after="0" w:line="264" w:lineRule="auto"/>
        <w:tabs>
          <w:tab w:leader="none" w:pos="10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00" w:right="520" w:hanging="317"/>
        <w:spacing w:after="0" w:line="264" w:lineRule="auto"/>
        <w:tabs>
          <w:tab w:leader="none" w:pos="10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00" w:right="680" w:hanging="317"/>
        <w:spacing w:after="0" w:line="342" w:lineRule="auto"/>
        <w:tabs>
          <w:tab w:leader="none" w:pos="10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200" w:hanging="317"/>
        <w:spacing w:after="0" w:line="264" w:lineRule="auto"/>
        <w:tabs>
          <w:tab w:leader="none" w:pos="10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100" w:hanging="317"/>
        <w:spacing w:after="0" w:line="277" w:lineRule="auto"/>
        <w:tabs>
          <w:tab w:leader="none" w:pos="10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00" w:right="60" w:hanging="317"/>
        <w:spacing w:after="0" w:line="277" w:lineRule="auto"/>
        <w:tabs>
          <w:tab w:leader="none" w:pos="10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9, 2019</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87833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78330" cy="1714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T. McGinnis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70" w:lineRule="exact"/>
        <w:rPr>
          <w:sz w:val="20"/>
          <w:szCs w:val="20"/>
          <w:color w:val="auto"/>
        </w:rPr>
      </w:pPr>
    </w:p>
    <w:p>
      <w:pPr>
        <w:ind w:left="660" w:right="2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March 31, 2019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ManpowerGroup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9, 2019</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4490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Jonas Prising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ectPr>
          <w:pgSz w:w="11900" w:h="16838" w:orient="portrait"/>
          <w:cols w:equalWidth="0" w:num="1">
            <w:col w:w="11420"/>
          </w:cols>
          <w:pgMar w:left="240" w:top="5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70" w:lineRule="exact"/>
        <w:rPr>
          <w:sz w:val="20"/>
          <w:szCs w:val="20"/>
          <w:color w:val="auto"/>
        </w:rPr>
      </w:pPr>
    </w:p>
    <w:p>
      <w:pPr>
        <w:ind w:left="660" w:right="2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March 31, 2019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ManpowerGroup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9, 2019</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7411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41170" cy="1714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T. McGinnis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4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x"/>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decimal"/>
      <w:start w:val="2"/>
    </w:lvl>
  </w:abstractNum>
  <w:abstractNum w:abstractNumId="4">
    <w:nsid w:val="6763845E"/>
    <w:multiLevelType w:val="hybridMultilevel"/>
    <w:lvl w:ilvl="0">
      <w:lvlJc w:val="left"/>
      <w:lvlText w:val="(%1)"/>
      <w:numFmt w:val="decimal"/>
      <w:start w:val="3"/>
    </w:lvl>
  </w:abstractNum>
  <w:abstractNum w:abstractNumId="5">
    <w:nsid w:val="75A2A8D4"/>
    <w:multiLevelType w:val="hybridMultilevel"/>
    <w:lvl w:ilvl="0">
      <w:lvlJc w:val="left"/>
      <w:lvlText w:val="(%1)"/>
      <w:numFmt w:val="decimal"/>
      <w:start w:val="4"/>
    </w:lvl>
  </w:abstractNum>
  <w:abstractNum w:abstractNumId="6">
    <w:nsid w:val="8EDBDAB"/>
    <w:multiLevelType w:val="hybridMultilevel"/>
    <w:lvl w:ilvl="0">
      <w:lvlJc w:val="left"/>
      <w:lvlText w:val="(%1)"/>
      <w:numFmt w:val="decimal"/>
      <w:start w:val="6"/>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1)"/>
      <w:numFmt w:val="decimal"/>
      <w:start w:val="7"/>
    </w:lvl>
  </w:abstractNum>
  <w:abstractNum w:abstractNumId="9">
    <w:nsid w:val="B03E0C6"/>
    <w:multiLevelType w:val="hybridMultilevel"/>
    <w:lvl w:ilvl="0">
      <w:lvlJc w:val="left"/>
      <w:lvlText w:val="(%1)"/>
      <w:numFmt w:val="decimal"/>
      <w:start w:val="9"/>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1)"/>
      <w:numFmt w:val="decimal"/>
      <w:start w:val="12"/>
    </w:lvl>
  </w:abstractNum>
  <w:abstractNum w:abstractNumId="13">
    <w:nsid w:val="2CA88611"/>
    <w:multiLevelType w:val="hybridMultilevel"/>
    <w:lvl w:ilvl="0">
      <w:lvlJc w:val="left"/>
      <w:lvlText w:val="(%1)"/>
      <w:numFmt w:val="decimal"/>
      <w:start w:val="13"/>
    </w:lvl>
  </w:abstractNum>
  <w:abstractNum w:abstractNumId="14">
    <w:nsid w:val="836C40E"/>
    <w:multiLevelType w:val="hybridMultilevel"/>
    <w:lvl w:ilvl="0">
      <w:lvlJc w:val="left"/>
      <w:lvlText w:val="(%1)"/>
      <w:numFmt w:val="decimal"/>
      <w:start w:val="14"/>
    </w:lvl>
  </w:abstractNum>
  <w:abstractNum w:abstractNumId="15">
    <w:nsid w:val="2901D82"/>
    <w:multiLevelType w:val="hybridMultilevel"/>
    <w:lvl w:ilvl="0">
      <w:lvlJc w:val="left"/>
      <w:lvlText w:val="(%1)"/>
      <w:numFmt w:val="lowerLetter"/>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1)"/>
      <w:numFmt w:val="lowerLetter"/>
      <w:start w:val="1"/>
    </w:lvl>
  </w:abstractNum>
  <w:abstractNum w:abstractNumId="20">
    <w:nsid w:val="737B8DDC"/>
    <w:multiLevelType w:val="hybridMultilevel"/>
    <w:lvl w:ilvl="0">
      <w:lvlJc w:val="left"/>
      <w:lvlText w:val="%1"/>
      <w:numFmt w:val="decimal"/>
      <w:start w:val="10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lowerRoman"/>
      <w:start w:val="1"/>
    </w:lvl>
  </w:abstractNum>
  <w:abstractNum w:abstractNumId="23">
    <w:nsid w:val="4516DDE9"/>
    <w:multiLevelType w:val="hybridMultilevel"/>
    <w:lvl w:ilvl="0">
      <w:lvlJc w:val="left"/>
      <w:lvlText w:val="(%1)"/>
      <w:numFmt w:val="lowerRoman"/>
      <w:start w:val="2"/>
    </w:lvl>
  </w:abstractNum>
  <w:abstractNum w:abstractNumId="24">
    <w:nsid w:val="3006C83E"/>
    <w:multiLevelType w:val="hybridMultilevel"/>
    <w:lvl w:ilvl="0">
      <w:lvlJc w:val="left"/>
      <w:lvlText w:val="%1."/>
      <w:numFmt w:val="lowerLetter"/>
      <w:start w:val="1"/>
    </w:lvl>
    <w:lvl w:ilvl="1">
      <w:lvlJc w:val="left"/>
      <w:lvlText w:val="(%2)"/>
      <w:numFmt w:val="lowerRoman"/>
      <w:start w:val="1"/>
    </w:lvl>
  </w:abstractNum>
  <w:abstractNum w:abstractNumId="25">
    <w:nsid w:val="614FD4A1"/>
    <w:multiLevelType w:val="hybridMultilevel"/>
    <w:lvl w:ilvl="0">
      <w:lvlJc w:val="left"/>
      <w:lvlText w:val="%1."/>
      <w:numFmt w:val="lowerLetter"/>
      <w:start w:val="2"/>
    </w:lvl>
    <w:lvl w:ilvl="1">
      <w:lvlJc w:val="left"/>
      <w:lvlText w:val="(%2)"/>
      <w:numFmt w:val="lowerRoman"/>
      <w:start w:val="1"/>
    </w:lvl>
  </w:abstractNum>
  <w:abstractNum w:abstractNumId="26">
    <w:nsid w:val="419AC241"/>
    <w:multiLevelType w:val="hybridMultilevel"/>
    <w:lvl w:ilvl="0">
      <w:lvlJc w:val="left"/>
      <w:lvlText w:val="%1"/>
      <w:numFmt w:val="decimal"/>
      <w:start w:val="1"/>
    </w:lvl>
    <w:lvl w:ilvl="1">
      <w:lvlJc w:val="left"/>
      <w:lvlText w:val="%2."/>
      <w:numFmt w:val="lowerLetter"/>
      <w:start w:val="3"/>
    </w:lvl>
  </w:abstractNum>
  <w:abstractNum w:abstractNumId="27">
    <w:nsid w:val="5577F8E1"/>
    <w:multiLevelType w:val="hybridMultilevel"/>
    <w:lvl w:ilvl="0">
      <w:lvlJc w:val="left"/>
      <w:lvlText w:val="%1."/>
      <w:numFmt w:val="decimal"/>
      <w:start w:val="5"/>
    </w:lvl>
    <w:lvl w:ilvl="1">
      <w:lvlJc w:val="left"/>
      <w:lvlText w:val="%2"/>
      <w:numFmt w:val="lowerLetter"/>
      <w:start w:val="1"/>
    </w:lvl>
  </w:abstractNum>
  <w:abstractNum w:abstractNumId="28">
    <w:nsid w:val="440BADFC"/>
    <w:multiLevelType w:val="hybridMultilevel"/>
    <w:lvl w:ilvl="0">
      <w:lvlJc w:val="left"/>
      <w:lvlText w:val="%1."/>
      <w:numFmt w:val="decimal"/>
      <w:start w:val="8"/>
    </w:lvl>
  </w:abstractNum>
  <w:abstractNum w:abstractNumId="29">
    <w:nsid w:val="5072367"/>
    <w:multiLevelType w:val="hybridMultilevel"/>
    <w:lvl w:ilvl="0">
      <w:lvlJc w:val="left"/>
      <w:lvlText w:val="%1."/>
      <w:numFmt w:val="decimal"/>
      <w:start w:val="1"/>
    </w:lvl>
    <w:lvl w:ilvl="1">
      <w:lvlJc w:val="left"/>
      <w:lvlText w:val="%2"/>
      <w:numFmt w:val="lowerLetter"/>
      <w:start w:val="1"/>
    </w:lvl>
  </w:abstractNum>
  <w:abstractNum w:abstractNumId="30">
    <w:nsid w:val="3804823E"/>
    <w:multiLevelType w:val="hybridMultilevel"/>
    <w:lvl w:ilvl="0">
      <w:lvlJc w:val="left"/>
      <w:lvlText w:val="%1."/>
      <w:numFmt w:val="decimal"/>
      <w:start w:val="3"/>
    </w:lvl>
    <w:lvl w:ilvl="1">
      <w:lvlJc w:val="left"/>
      <w:lvlText w:val="%2."/>
      <w:numFmt w:val="lowerLetter"/>
      <w:start w:val="1"/>
    </w:lvl>
  </w:abstractNum>
  <w:abstractNum w:abstractNumId="31">
    <w:nsid w:val="77465F01"/>
    <w:multiLevelType w:val="hybridMultilevel"/>
    <w:lvl w:ilvl="0">
      <w:lvlJc w:val="left"/>
      <w:lvlText w:val="%1."/>
      <w:numFmt w:val="decimal"/>
      <w:start w:val="6"/>
    </w:lvl>
    <w:lvl w:ilvl="1">
      <w:lvlJc w:val="left"/>
      <w:lvlText w:val="%2."/>
      <w:numFmt w:val="lowerLetter"/>
      <w:start w:val="1"/>
    </w:lvl>
  </w:abstractNum>
  <w:abstractNum w:abstractNumId="32">
    <w:nsid w:val="7724C67E"/>
    <w:multiLevelType w:val="hybridMultilevel"/>
    <w:lvl w:ilvl="0">
      <w:lvlJc w:val="left"/>
      <w:lvlText w:val="%1"/>
      <w:numFmt w:val="lowerLetter"/>
      <w:start w:val="1"/>
    </w:lvl>
    <w:lvl w:ilvl="1">
      <w:lvlJc w:val="left"/>
      <w:lvlText w:val="%2."/>
      <w:numFmt w:val="lowerRoman"/>
      <w:start w:val="1"/>
    </w:lvl>
  </w:abstractNum>
  <w:abstractNum w:abstractNumId="33">
    <w:nsid w:val="5C482A97"/>
    <w:multiLevelType w:val="hybridMultilevel"/>
    <w:lvl w:ilvl="0">
      <w:lvlJc w:val="left"/>
      <w:lvlText w:val="%1."/>
      <w:numFmt w:val="lowerLetter"/>
      <w:start w:val="8"/>
    </w:lvl>
    <w:lvl w:ilvl="1">
      <w:lvlJc w:val="left"/>
      <w:lvlText w:val="%2"/>
      <w:numFmt w:val="lowerRoman"/>
      <w:start w:val="1"/>
    </w:lvl>
  </w:abstractNum>
  <w:abstractNum w:abstractNumId="34">
    <w:nsid w:val="2463B9EA"/>
    <w:multiLevelType w:val="hybridMultilevel"/>
    <w:lvl w:ilvl="0">
      <w:lvlJc w:val="left"/>
      <w:lvlText w:val="%1."/>
      <w:numFmt w:val="lowerRoman"/>
      <w:start w:val="1"/>
    </w:lvl>
    <w:lvl w:ilvl="1">
      <w:lvlJc w:val="left"/>
      <w:lvlText w:val="%2."/>
      <w:numFmt w:val="lowerRoman"/>
      <w:start w:val="1"/>
    </w:lvl>
  </w:abstractNum>
  <w:abstractNum w:abstractNumId="35">
    <w:nsid w:val="5E884ADC"/>
    <w:multiLevelType w:val="hybridMultilevel"/>
    <w:lvl w:ilvl="0">
      <w:lvlJc w:val="left"/>
      <w:lvlText w:val="%1."/>
      <w:numFmt w:val="lowerLetter"/>
      <w:start w:val="10"/>
    </w:lvl>
    <w:lvl w:ilvl="1">
      <w:lvlJc w:val="left"/>
      <w:lvlText w:val="%2."/>
      <w:numFmt w:val="lowerRoman"/>
      <w:start w:val="1"/>
    </w:lvl>
  </w:abstractNum>
  <w:abstractNum w:abstractNumId="36">
    <w:nsid w:val="51EAD36B"/>
    <w:multiLevelType w:val="hybridMultilevel"/>
    <w:lvl w:ilvl="0">
      <w:lvlJc w:val="left"/>
      <w:lvlText w:val="%1."/>
      <w:numFmt w:val="lowerRoman"/>
      <w:start w:val="6"/>
    </w:lvl>
  </w:abstractNum>
  <w:abstractNum w:abstractNumId="37">
    <w:nsid w:val="2D517796"/>
    <w:multiLevelType w:val="hybridMultilevel"/>
    <w:lvl w:ilvl="0">
      <w:lvlJc w:val="left"/>
      <w:lvlText w:val="%1."/>
      <w:numFmt w:val="decimal"/>
      <w:start w:val="9"/>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2019-12-28T12:21:36Z</dcterms:created>
  <dcterms:modified xsi:type="dcterms:W3CDTF">2019-12-28T12:21:36Z</dcterms:modified>
</cp:coreProperties>
</file>