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pacing w:after="0" w:line="4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640" w:type="dxa"/>
            <w:vAlign w:val="bottom"/>
          </w:tcPr>
          <w:p>
            <w:pPr>
              <w:jc w:val="center"/>
              <w:ind w:right="2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640" w:type="dxa"/>
            <w:vAlign w:val="bottom"/>
            <w:vMerge w:val="restart"/>
          </w:tcPr>
          <w:p>
            <w:pPr>
              <w:jc w:val="center"/>
              <w:ind w:right="232"/>
              <w:spacing w:after="0" w:line="143"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640" w:type="dxa"/>
            <w:vAlign w:val="bottom"/>
            <w:vMerge w:val="restart"/>
          </w:tcPr>
          <w:p>
            <w:pPr>
              <w:jc w:val="center"/>
              <w:ind w:right="232"/>
              <w:spacing w:after="0" w:line="198" w:lineRule="exact"/>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6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6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640" w:type="dxa"/>
            <w:vAlign w:val="bottom"/>
            <w:vMerge w:val="restart"/>
          </w:tcPr>
          <w:p>
            <w:pPr>
              <w:jc w:val="center"/>
              <w:ind w:right="2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6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6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5562600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4199255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-1739265</wp:posOffset>
            </wp:positionH>
            <wp:positionV relativeFrom="paragraph">
              <wp:posOffset>13970</wp:posOffset>
            </wp:positionV>
            <wp:extent cx="737870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78700" cy="53682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60" w:space="380"/>
            <w:col w:w="8880"/>
          </w:cols>
          <w:pgMar w:left="140" w:top="125"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SWAN MARA E</w:t>
        </w:r>
      </w:hyperlink>
    </w:p>
    <w:p>
      <w:pPr>
        <w:spacing w:after="0" w:line="317" w:lineRule="exact"/>
        <w:rPr>
          <w:sz w:val="24"/>
          <w:szCs w:val="24"/>
          <w:color w:val="auto"/>
        </w:rPr>
      </w:pPr>
    </w:p>
    <w:p>
      <w:pPr>
        <w:ind w:left="120"/>
        <w:spacing w:after="0"/>
        <w:tabs>
          <w:tab w:leader="none" w:pos="1400" w:val="left"/>
          <w:tab w:leader="none" w:pos="27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MANPOWERGROUP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 MANPOWER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ManpowerGroup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00" w:firstLine="4"/>
        <w:spacing w:after="0" w:line="231" w:lineRule="auto"/>
        <w:tabs>
          <w:tab w:leader="none" w:pos="14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1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60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60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60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20" w:type="dxa"/>
            <w:vAlign w:val="bottom"/>
          </w:tcPr>
          <w:p>
            <w:pPr>
              <w:spacing w:after="0"/>
              <w:rPr>
                <w:sz w:val="22"/>
                <w:szCs w:val="22"/>
                <w:color w:val="auto"/>
              </w:rPr>
            </w:pPr>
          </w:p>
        </w:tc>
        <w:tc>
          <w:tcPr>
            <w:tcW w:w="1600" w:type="dxa"/>
            <w:vAlign w:val="bottom"/>
          </w:tcPr>
          <w:p>
            <w:pPr>
              <w:ind w:left="108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90" w:lineRule="exact"/>
        <w:rPr>
          <w:sz w:val="24"/>
          <w:szCs w:val="24"/>
          <w:color w:val="auto"/>
        </w:rPr>
      </w:pPr>
    </w:p>
    <w:p>
      <w:pPr>
        <w:sectPr>
          <w:pgSz w:w="11900" w:h="16838" w:orient="portrait"/>
          <w:cols w:equalWidth="0" w:num="3">
            <w:col w:w="3420" w:space="720"/>
            <w:col w:w="3324" w:space="720"/>
            <w:col w:w="3436"/>
          </w:cols>
          <w:pgMar w:left="140" w:top="125" w:right="1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8"/>
          </w:tcPr>
          <w:p>
            <w:pPr>
              <w:jc w:val="right"/>
              <w:ind w:right="157"/>
              <w:spacing w:after="0" w:line="146" w:lineRule="exact"/>
              <w:rPr>
                <w:sz w:val="20"/>
                <w:szCs w:val="20"/>
                <w:color w:val="auto"/>
              </w:rPr>
            </w:pPr>
            <w:r>
              <w:rPr>
                <w:rFonts w:ascii="Arial" w:cs="Arial" w:eastAsia="Arial" w:hAnsi="Arial"/>
                <w:sz w:val="14"/>
                <w:szCs w:val="14"/>
                <w:color w:val="auto"/>
                <w:w w:val="99"/>
              </w:rPr>
              <w:t>4. If Amendment, Date of Original Filed (Month/Day/Year)</w:t>
            </w:r>
          </w:p>
        </w:tc>
        <w:tc>
          <w:tcPr>
            <w:tcW w:w="200" w:type="dxa"/>
            <w:vAlign w:val="bottom"/>
          </w:tcPr>
          <w:p>
            <w:pPr>
              <w:spacing w:after="0"/>
              <w:rPr>
                <w:sz w:val="15"/>
                <w:szCs w:val="15"/>
                <w:color w:val="auto"/>
              </w:rPr>
            </w:pPr>
          </w:p>
        </w:tc>
        <w:tc>
          <w:tcPr>
            <w:tcW w:w="3640" w:type="dxa"/>
            <w:vAlign w:val="bottom"/>
            <w:gridSpan w:val="7"/>
          </w:tcPr>
          <w:p>
            <w:pPr>
              <w:ind w:left="2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4"/>
          </w:tcPr>
          <w:p>
            <w:pPr>
              <w:ind w:left="200"/>
              <w:spacing w:after="0"/>
              <w:rPr>
                <w:sz w:val="20"/>
                <w:szCs w:val="20"/>
                <w:color w:val="auto"/>
              </w:rPr>
            </w:pPr>
            <w:r>
              <w:rPr>
                <w:rFonts w:ascii="Arial" w:cs="Arial" w:eastAsia="Arial" w:hAnsi="Arial"/>
                <w:sz w:val="14"/>
                <w:szCs w:val="14"/>
                <w:color w:val="auto"/>
              </w:rPr>
              <w:t>Line)</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5"/>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40" w:type="dxa"/>
            <w:vAlign w:val="bottom"/>
            <w:gridSpan w:val="3"/>
            <w:vMerge w:val="restart"/>
          </w:tcPr>
          <w:p>
            <w:pPr>
              <w:ind w:left="20"/>
              <w:spacing w:after="0"/>
              <w:rPr>
                <w:sz w:val="20"/>
                <w:szCs w:val="20"/>
                <w:color w:val="auto"/>
              </w:rPr>
            </w:pPr>
            <w:r>
              <w:rPr>
                <w:rFonts w:ascii="Arial" w:cs="Arial" w:eastAsia="Arial" w:hAnsi="Arial"/>
                <w:sz w:val="18"/>
                <w:szCs w:val="18"/>
                <w:color w:val="0000FF"/>
              </w:rPr>
              <w:t>MILWAUKEE   WI</w:t>
            </w:r>
          </w:p>
        </w:tc>
        <w:tc>
          <w:tcPr>
            <w:tcW w:w="1180" w:type="dxa"/>
            <w:vAlign w:val="bottom"/>
            <w:vMerge w:val="restart"/>
          </w:tcPr>
          <w:p>
            <w:pPr>
              <w:ind w:left="80"/>
              <w:spacing w:after="0"/>
              <w:rPr>
                <w:sz w:val="20"/>
                <w:szCs w:val="20"/>
                <w:color w:val="auto"/>
              </w:rPr>
            </w:pPr>
            <w:r>
              <w:rPr>
                <w:rFonts w:ascii="Arial" w:cs="Arial" w:eastAsia="Arial" w:hAnsi="Arial"/>
                <w:sz w:val="18"/>
                <w:szCs w:val="18"/>
                <w:color w:val="0000FF"/>
              </w:rPr>
              <w:t>53212</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4"/>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4"/>
                <w:szCs w:val="14"/>
                <w:color w:val="auto"/>
              </w:rPr>
              <w:t>(State)</w:t>
            </w:r>
          </w:p>
        </w:tc>
        <w:tc>
          <w:tcPr>
            <w:tcW w:w="1180" w:type="dxa"/>
            <w:vAlign w:val="bottom"/>
            <w:vMerge w:val="restart"/>
          </w:tcPr>
          <w:p>
            <w:pPr>
              <w:ind w:left="80"/>
              <w:spacing w:after="0"/>
              <w:rPr>
                <w:sz w:val="20"/>
                <w:szCs w:val="20"/>
                <w:color w:val="auto"/>
              </w:rPr>
            </w:pPr>
            <w:r>
              <w:rPr>
                <w:rFonts w:ascii="Arial" w:cs="Arial" w:eastAsia="Arial" w:hAnsi="Arial"/>
                <w:sz w:val="14"/>
                <w:szCs w:val="14"/>
                <w:color w:val="auto"/>
              </w:rPr>
              <w:t>(Zip)</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440" w:type="dxa"/>
            <w:vAlign w:val="bottom"/>
            <w:tcBorders>
              <w:bottom w:val="single" w:sz="8" w:color="2C2C2C"/>
            </w:tcBorders>
            <w:gridSpan w:val="3"/>
          </w:tcPr>
          <w:p>
            <w:pPr>
              <w:spacing w:after="0"/>
              <w:rPr>
                <w:sz w:val="11"/>
                <w:szCs w:val="11"/>
                <w:color w:val="auto"/>
              </w:rPr>
            </w:pPr>
          </w:p>
        </w:tc>
        <w:tc>
          <w:tcPr>
            <w:tcW w:w="4380" w:type="dxa"/>
            <w:vAlign w:val="bottom"/>
            <w:tcBorders>
              <w:bottom w:val="single" w:sz="8" w:color="2C2C2C"/>
            </w:tcBorders>
            <w:gridSpan w:val="10"/>
          </w:tcPr>
          <w:p>
            <w:pPr>
              <w:spacing w:after="0"/>
              <w:rPr>
                <w:sz w:val="11"/>
                <w:szCs w:val="11"/>
                <w:color w:val="auto"/>
              </w:rPr>
            </w:pPr>
          </w:p>
        </w:tc>
        <w:tc>
          <w:tcPr>
            <w:tcW w:w="220" w:type="dxa"/>
            <w:vAlign w:val="bottom"/>
            <w:tcBorders>
              <w:bottom w:val="single" w:sz="8" w:color="2C2C2C"/>
            </w:tcBorders>
            <w:gridSpan w:val="2"/>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jc w:val="center"/>
              <w:ind w:left="8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70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4"/>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8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ind w:left="900"/>
              <w:spacing w:after="0" w:line="133"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80" w:type="dxa"/>
            <w:vAlign w:val="bottom"/>
            <w:gridSpan w:val="3"/>
          </w:tcPr>
          <w:p>
            <w:pPr>
              <w:ind w:left="90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8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60" w:type="dxa"/>
            <w:vAlign w:val="bottom"/>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5720" w:type="dxa"/>
            <w:vAlign w:val="bottom"/>
            <w:tcBorders>
              <w:bottom w:val="single" w:sz="8" w:color="2C2C2C"/>
            </w:tcBorders>
            <w:gridSpan w:val="12"/>
          </w:tcPr>
          <w:p>
            <w:pPr>
              <w:spacing w:after="0"/>
              <w:rPr>
                <w:sz w:val="8"/>
                <w:szCs w:val="8"/>
                <w:color w:val="auto"/>
              </w:rPr>
            </w:pPr>
          </w:p>
        </w:tc>
        <w:tc>
          <w:tcPr>
            <w:tcW w:w="22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3"/>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 Securities</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(Instr. 3 and 4)</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(D) (Instr.</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2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800" w:type="dxa"/>
            <w:vAlign w:val="bottom"/>
            <w:vMerge w:val="restart"/>
          </w:tcPr>
          <w:p>
            <w:pPr>
              <w:jc w:val="center"/>
              <w:ind w:right="5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52.55</w:t>
            </w:r>
            <w:r>
              <w:rPr>
                <w:rFonts w:ascii="Arial" w:cs="Arial" w:eastAsia="Arial" w:hAnsi="Arial"/>
                <w:sz w:val="22"/>
                <w:szCs w:val="22"/>
                <w:color w:val="008000"/>
                <w:vertAlign w:val="superscript"/>
              </w:rPr>
              <w:t>(2)</w:t>
            </w: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color w:val="0000FF"/>
              </w:rPr>
              <w:t>02/13/2013</w:t>
            </w: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color w:val="0000FF"/>
              </w:rPr>
              <w:t>A</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0000FF"/>
              </w:rPr>
              <w:t>18,248</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0000FF"/>
                <w:w w:val="88"/>
              </w:rPr>
              <w:t>02/13/2023</w:t>
            </w: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80" w:type="dxa"/>
            <w:vAlign w:val="bottom"/>
            <w:gridSpan w:val="2"/>
            <w:vMerge w:val="restart"/>
          </w:tcPr>
          <w:p>
            <w:pPr>
              <w:jc w:val="right"/>
              <w:ind w:right="15"/>
              <w:spacing w:after="0"/>
              <w:rPr>
                <w:sz w:val="20"/>
                <w:szCs w:val="20"/>
                <w:color w:val="auto"/>
              </w:rPr>
            </w:pPr>
            <w:r>
              <w:rPr>
                <w:rFonts w:ascii="Arial" w:cs="Arial" w:eastAsia="Arial" w:hAnsi="Arial"/>
                <w:sz w:val="18"/>
                <w:szCs w:val="18"/>
                <w:color w:val="0000FF"/>
                <w:w w:val="87"/>
              </w:rPr>
              <w:t>18,248</w:t>
            </w:r>
          </w:p>
        </w:tc>
        <w:tc>
          <w:tcPr>
            <w:tcW w:w="40" w:type="dxa"/>
            <w:vAlign w:val="bottom"/>
          </w:tcPr>
          <w:p>
            <w:pPr>
              <w:spacing w:after="0"/>
              <w:rPr>
                <w:sz w:val="12"/>
                <w:szCs w:val="1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00" w:type="dxa"/>
            <w:vAlign w:val="bottom"/>
            <w:vMerge w:val="restart"/>
          </w:tcPr>
          <w:p>
            <w:pPr>
              <w:jc w:val="right"/>
              <w:ind w:right="38"/>
              <w:spacing w:after="0"/>
              <w:rPr>
                <w:sz w:val="20"/>
                <w:szCs w:val="20"/>
                <w:color w:val="auto"/>
              </w:rPr>
            </w:pPr>
            <w:r>
              <w:rPr>
                <w:rFonts w:ascii="Arial" w:cs="Arial" w:eastAsia="Arial" w:hAnsi="Arial"/>
                <w:sz w:val="14"/>
                <w:szCs w:val="14"/>
                <w:color w:val="0000FF"/>
              </w:rPr>
              <w:t>18,248</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0000FF"/>
              </w:rPr>
              <w:t>D</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20" w:type="dxa"/>
            <w:vAlign w:val="bottom"/>
            <w:gridSpan w:val="2"/>
          </w:tcPr>
          <w:p>
            <w:pPr>
              <w:ind w:left="60"/>
              <w:spacing w:after="0" w:line="146" w:lineRule="exact"/>
              <w:rPr>
                <w:sz w:val="20"/>
                <w:szCs w:val="20"/>
                <w:color w:val="auto"/>
              </w:rPr>
            </w:pPr>
            <w:r>
              <w:rPr>
                <w:rFonts w:ascii="Arial" w:cs="Arial" w:eastAsia="Arial" w:hAnsi="Arial"/>
                <w:sz w:val="14"/>
                <w:szCs w:val="14"/>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60" w:type="dxa"/>
            <w:vAlign w:val="bottom"/>
          </w:tcPr>
          <w:p>
            <w:pPr>
              <w:jc w:val="right"/>
              <w:ind w:right="157"/>
              <w:spacing w:after="0" w:line="146" w:lineRule="exact"/>
              <w:rPr>
                <w:sz w:val="20"/>
                <w:szCs w:val="20"/>
                <w:color w:val="auto"/>
              </w:rPr>
            </w:pPr>
            <w:r>
              <w:rPr>
                <w:rFonts w:ascii="Arial" w:cs="Arial" w:eastAsia="Arial" w:hAnsi="Arial"/>
                <w:sz w:val="14"/>
                <w:szCs w:val="14"/>
                <w:color w:val="0000FF"/>
              </w:rPr>
              <w:t>Stock</w:t>
            </w:r>
          </w:p>
        </w:tc>
        <w:tc>
          <w:tcPr>
            <w:tcW w:w="5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20" w:type="dxa"/>
            <w:vAlign w:val="bottom"/>
            <w:tcBorders>
              <w:bottom w:val="single" w:sz="8" w:color="2C2C2C"/>
            </w:tcBorders>
            <w:gridSpan w:val="2"/>
          </w:tcPr>
          <w:p>
            <w:pPr>
              <w:ind w:left="60"/>
              <w:spacing w:after="0" w:line="243" w:lineRule="exact"/>
              <w:rPr>
                <w:sz w:val="20"/>
                <w:szCs w:val="20"/>
                <w:color w:val="auto"/>
              </w:rPr>
            </w:pPr>
            <w:r>
              <w:rPr>
                <w:rFonts w:ascii="Arial" w:cs="Arial" w:eastAsia="Arial" w:hAnsi="Arial"/>
                <w:sz w:val="14"/>
                <w:szCs w:val="14"/>
                <w:color w:val="0000FF"/>
              </w:rPr>
              <w:t>Buy)</w:t>
            </w:r>
            <w:r>
              <w:rPr>
                <w:rFonts w:ascii="Arial" w:cs="Arial" w:eastAsia="Arial" w:hAnsi="Arial"/>
                <w:sz w:val="22"/>
                <w:szCs w:val="22"/>
                <w:color w:val="008000"/>
                <w:vertAlign w:val="superscript"/>
              </w:rPr>
              <w:t>(1)</w:t>
            </w:r>
          </w:p>
        </w:tc>
        <w:tc>
          <w:tcPr>
            <w:tcW w:w="800" w:type="dxa"/>
            <w:vAlign w:val="bottom"/>
            <w:tcBorders>
              <w:bottom w:val="single" w:sz="8" w:color="2C2C2C"/>
            </w:tcBorders>
          </w:tcPr>
          <w:p>
            <w:pPr>
              <w:spacing w:after="0"/>
              <w:rPr>
                <w:sz w:val="21"/>
                <w:szCs w:val="21"/>
                <w:color w:val="auto"/>
              </w:rPr>
            </w:pPr>
          </w:p>
        </w:tc>
        <w:tc>
          <w:tcPr>
            <w:tcW w:w="1100" w:type="dxa"/>
            <w:vAlign w:val="bottom"/>
            <w:tcBorders>
              <w:bottom w:val="single" w:sz="8" w:color="2C2C2C"/>
            </w:tcBorders>
          </w:tcPr>
          <w:p>
            <w:pPr>
              <w:spacing w:after="0"/>
              <w:rPr>
                <w:sz w:val="21"/>
                <w:szCs w:val="21"/>
                <w:color w:val="auto"/>
              </w:rPr>
            </w:pPr>
          </w:p>
        </w:tc>
        <w:tc>
          <w:tcPr>
            <w:tcW w:w="11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800" w:type="dxa"/>
            <w:vAlign w:val="bottom"/>
            <w:vMerge w:val="restart"/>
          </w:tcPr>
          <w:p>
            <w:pPr>
              <w:jc w:val="center"/>
              <w:ind w:right="98"/>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r>
              <w:rPr>
                <w:rFonts w:ascii="Arial" w:cs="Arial" w:eastAsia="Arial" w:hAnsi="Arial"/>
                <w:sz w:val="22"/>
                <w:szCs w:val="22"/>
                <w:color w:val="008000"/>
                <w:vertAlign w:val="superscript"/>
              </w:rPr>
              <w:t>(4)</w:t>
            </w: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80" w:type="dxa"/>
            <w:vAlign w:val="bottom"/>
            <w:gridSpan w:val="2"/>
            <w:vMerge w:val="restart"/>
          </w:tcPr>
          <w:p>
            <w:pPr>
              <w:jc w:val="right"/>
              <w:ind w:right="55"/>
              <w:spacing w:after="0"/>
              <w:rPr>
                <w:sz w:val="20"/>
                <w:szCs w:val="20"/>
                <w:color w:val="auto"/>
              </w:rPr>
            </w:pPr>
            <w:r>
              <w:rPr>
                <w:rFonts w:ascii="Arial" w:cs="Arial" w:eastAsia="Arial" w:hAnsi="Arial"/>
                <w:sz w:val="18"/>
                <w:szCs w:val="18"/>
                <w:color w:val="0000FF"/>
                <w:w w:val="97"/>
              </w:rPr>
              <w:t>4,187</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800" w:type="dxa"/>
            <w:vAlign w:val="bottom"/>
            <w:vMerge w:val="continue"/>
          </w:tcPr>
          <w:p>
            <w:pPr>
              <w:spacing w:after="0"/>
              <w:rPr>
                <w:sz w:val="7"/>
                <w:szCs w:val="7"/>
                <w:color w:val="auto"/>
              </w:rPr>
            </w:pPr>
          </w:p>
        </w:tc>
        <w:tc>
          <w:tcPr>
            <w:tcW w:w="1100" w:type="dxa"/>
            <w:vAlign w:val="bottom"/>
            <w:vMerge w:val="restart"/>
          </w:tcPr>
          <w:p>
            <w:pPr>
              <w:jc w:val="right"/>
              <w:ind w:right="152"/>
              <w:spacing w:after="0" w:line="146" w:lineRule="exact"/>
              <w:rPr>
                <w:sz w:val="20"/>
                <w:szCs w:val="20"/>
                <w:color w:val="auto"/>
              </w:rPr>
            </w:pPr>
            <w:r>
              <w:rPr>
                <w:rFonts w:ascii="Arial" w:cs="Arial" w:eastAsia="Arial" w:hAnsi="Arial"/>
                <w:sz w:val="14"/>
                <w:szCs w:val="14"/>
                <w:color w:val="0000FF"/>
              </w:rPr>
              <w:t>02/13/2013</w:t>
            </w: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vMerge w:val="restart"/>
          </w:tcPr>
          <w:p>
            <w:pPr>
              <w:ind w:left="20"/>
              <w:spacing w:after="0" w:line="146" w:lineRule="exact"/>
              <w:rPr>
                <w:sz w:val="20"/>
                <w:szCs w:val="20"/>
                <w:color w:val="auto"/>
              </w:rPr>
            </w:pPr>
            <w:r>
              <w:rPr>
                <w:rFonts w:ascii="Arial" w:cs="Arial" w:eastAsia="Arial" w:hAnsi="Arial"/>
                <w:sz w:val="14"/>
                <w:szCs w:val="14"/>
                <w:color w:val="0000FF"/>
              </w:rPr>
              <w:t>A</w:t>
            </w:r>
          </w:p>
        </w:tc>
        <w:tc>
          <w:tcPr>
            <w:tcW w:w="560" w:type="dxa"/>
            <w:vAlign w:val="bottom"/>
            <w:vMerge w:val="restart"/>
          </w:tcPr>
          <w:p>
            <w:pPr>
              <w:jc w:val="right"/>
              <w:ind w:right="38"/>
              <w:spacing w:after="0" w:line="146" w:lineRule="exact"/>
              <w:rPr>
                <w:sz w:val="20"/>
                <w:szCs w:val="20"/>
                <w:color w:val="auto"/>
              </w:rPr>
            </w:pPr>
            <w:r>
              <w:rPr>
                <w:rFonts w:ascii="Arial" w:cs="Arial" w:eastAsia="Arial" w:hAnsi="Arial"/>
                <w:sz w:val="14"/>
                <w:szCs w:val="14"/>
                <w:color w:val="0000FF"/>
              </w:rPr>
              <w:t>4,187</w:t>
            </w: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vMerge w:val="restart"/>
          </w:tcPr>
          <w:p>
            <w:pPr>
              <w:ind w:left="10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7"/>
                <w:szCs w:val="7"/>
                <w:color w:val="auto"/>
              </w:rPr>
            </w:pPr>
          </w:p>
        </w:tc>
        <w:tc>
          <w:tcPr>
            <w:tcW w:w="540" w:type="dxa"/>
            <w:vAlign w:val="bottom"/>
            <w:vMerge w:val="restart"/>
          </w:tcPr>
          <w:p>
            <w:pPr>
              <w:jc w:val="right"/>
              <w:ind w:right="300"/>
              <w:spacing w:after="0"/>
              <w:rPr>
                <w:sz w:val="20"/>
                <w:szCs w:val="20"/>
                <w:color w:val="auto"/>
              </w:rPr>
            </w:pPr>
            <w:r>
              <w:rPr>
                <w:rFonts w:ascii="Arial" w:cs="Arial" w:eastAsia="Arial" w:hAnsi="Arial"/>
                <w:sz w:val="11"/>
                <w:szCs w:val="11"/>
                <w:color w:val="008000"/>
              </w:rPr>
              <w:t>(4)</w:t>
            </w:r>
          </w:p>
        </w:tc>
        <w:tc>
          <w:tcPr>
            <w:tcW w:w="660" w:type="dxa"/>
            <w:vAlign w:val="bottom"/>
            <w:vMerge w:val="continue"/>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restart"/>
          </w:tcPr>
          <w:p>
            <w:pPr>
              <w:ind w:left="18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700" w:type="dxa"/>
            <w:vAlign w:val="bottom"/>
            <w:vMerge w:val="restart"/>
          </w:tcPr>
          <w:p>
            <w:pPr>
              <w:jc w:val="right"/>
              <w:ind w:right="78"/>
              <w:spacing w:after="0" w:line="146" w:lineRule="exact"/>
              <w:rPr>
                <w:sz w:val="20"/>
                <w:szCs w:val="20"/>
                <w:color w:val="auto"/>
              </w:rPr>
            </w:pPr>
            <w:r>
              <w:rPr>
                <w:rFonts w:ascii="Arial" w:cs="Arial" w:eastAsia="Arial" w:hAnsi="Arial"/>
                <w:sz w:val="14"/>
                <w:szCs w:val="14"/>
                <w:color w:val="0000FF"/>
              </w:rPr>
              <w:t>4,187</w:t>
            </w:r>
          </w:p>
        </w:tc>
        <w:tc>
          <w:tcPr>
            <w:tcW w:w="960" w:type="dxa"/>
            <w:vAlign w:val="bottom"/>
            <w:vMerge w:val="restart"/>
          </w:tcPr>
          <w:p>
            <w:pPr>
              <w:ind w:left="540"/>
              <w:spacing w:after="0" w:line="146" w:lineRule="exact"/>
              <w:rPr>
                <w:sz w:val="20"/>
                <w:szCs w:val="20"/>
                <w:color w:val="auto"/>
              </w:rPr>
            </w:pPr>
            <w:r>
              <w:rPr>
                <w:rFonts w:ascii="Arial" w:cs="Arial" w:eastAsia="Arial" w:hAnsi="Arial"/>
                <w:sz w:val="14"/>
                <w:szCs w:val="14"/>
                <w:color w:val="0000FF"/>
              </w:rPr>
              <w:t>D</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jc w:val="right"/>
              <w:ind w:right="157"/>
              <w:spacing w:after="0"/>
              <w:rPr>
                <w:sz w:val="20"/>
                <w:szCs w:val="20"/>
                <w:color w:val="auto"/>
              </w:rPr>
            </w:pPr>
            <w:r>
              <w:rPr>
                <w:rFonts w:ascii="Arial" w:cs="Arial" w:eastAsia="Arial" w:hAnsi="Arial"/>
                <w:sz w:val="14"/>
                <w:szCs w:val="14"/>
                <w:color w:val="0000FF"/>
              </w:rPr>
              <w:t>Stock</w:t>
            </w:r>
          </w:p>
        </w:tc>
        <w:tc>
          <w:tcPr>
            <w:tcW w:w="5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(4)</w:t>
            </w:r>
          </w:p>
        </w:tc>
        <w:tc>
          <w:tcPr>
            <w:tcW w:w="8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Option Grant under the 2011 Equity Incentive Plan of the Company.</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the closing price on the New York Stock Exchange on February 13, 2013, the date of grant.</w:t>
      </w:r>
    </w:p>
    <w:p>
      <w:pPr>
        <w:spacing w:after="0" w:line="41" w:lineRule="exact"/>
        <w:rPr>
          <w:rFonts w:ascii="Arial" w:cs="Arial" w:eastAsia="Arial" w:hAnsi="Arial"/>
          <w:sz w:val="14"/>
          <w:szCs w:val="14"/>
          <w:color w:val="008000"/>
        </w:rPr>
      </w:pPr>
    </w:p>
    <w:p>
      <w:pPr>
        <w:ind w:left="180" w:hanging="139"/>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Options will become exercisable as to 25% of the shares covered by the option on each of the first four anniversaries on the date of grant.</w:t>
      </w:r>
    </w:p>
    <w:p>
      <w:pPr>
        <w:spacing w:after="0" w:line="41" w:lineRule="exact"/>
        <w:rPr>
          <w:rFonts w:ascii="Arial" w:cs="Arial" w:eastAsia="Arial" w:hAnsi="Arial"/>
          <w:sz w:val="14"/>
          <w:szCs w:val="14"/>
          <w:color w:val="008000"/>
        </w:rPr>
      </w:pPr>
    </w:p>
    <w:p>
      <w:pPr>
        <w:ind w:left="40" w:right="240" w:firstLine="1"/>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under the 2011 Equity Incentive Plan of the Company. The restricted stock units will vest 100% on February 13, 2016 and will be settled in shares of ManpowerGroup common stock on a 1 for 1 basis upon vesting.</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98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980"/>
        <w:spacing w:after="0"/>
        <w:tabs>
          <w:tab w:leader="none" w:pos="930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02/15/2013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19913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ind w:left="6980"/>
        <w:spacing w:after="0"/>
        <w:rPr>
          <w:sz w:val="20"/>
          <w:szCs w:val="20"/>
          <w:color w:val="auto"/>
        </w:rPr>
      </w:pPr>
      <w:r>
        <w:rPr>
          <w:rFonts w:ascii="Arial" w:cs="Arial" w:eastAsia="Arial" w:hAnsi="Arial"/>
          <w:sz w:val="18"/>
          <w:szCs w:val="18"/>
          <w:color w:val="0000FF"/>
        </w:rPr>
        <w:t>herewith)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4433570</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4"/>
          <w:szCs w:val="24"/>
          <w:color w:val="auto"/>
        </w:rPr>
      </w:pPr>
    </w:p>
    <w:p>
      <w:pPr>
        <w:ind w:left="6980"/>
        <w:spacing w:after="0"/>
        <w:tabs>
          <w:tab w:leader="none" w:pos="93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780" w:firstLine="1"/>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620"/>
          </w:cols>
          <w:pgMar w:left="140" w:top="125"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POWER OF ATTORNEY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Executing Forms 3, 4 and 5 and 144</w:t>
      </w:r>
    </w:p>
    <w:p>
      <w:pPr>
        <w:spacing w:after="0" w:line="19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Know all by these present, that the undersigned constitutes and appoints each of Jeffrey A. Joerres, Michael J. Van Handel and Richard Buchband, signing singly, her true and lawful attorney-in-fact to:</w:t>
      </w:r>
    </w:p>
    <w:p>
      <w:pPr>
        <w:spacing w:after="0" w:line="170" w:lineRule="exact"/>
        <w:rPr>
          <w:sz w:val="20"/>
          <w:szCs w:val="20"/>
          <w:color w:val="auto"/>
        </w:rPr>
      </w:pPr>
    </w:p>
    <w:p>
      <w:pPr>
        <w:ind w:left="1640" w:right="220" w:hanging="749"/>
        <w:spacing w:after="0" w:line="277"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3, 4 and 5 in accordance with Section 16(a) of the Securities Exchange Act of 1934 and the rules thereunder;</w:t>
      </w:r>
    </w:p>
    <w:p>
      <w:pPr>
        <w:spacing w:after="0" w:line="170" w:lineRule="exact"/>
        <w:rPr>
          <w:rFonts w:ascii="Arial" w:cs="Arial" w:eastAsia="Arial" w:hAnsi="Arial"/>
          <w:sz w:val="18"/>
          <w:szCs w:val="18"/>
          <w:color w:val="auto"/>
        </w:rPr>
      </w:pPr>
    </w:p>
    <w:p>
      <w:pPr>
        <w:ind w:left="1640" w:hanging="749"/>
        <w:spacing w:after="0"/>
        <w:tabs>
          <w:tab w:leader="none" w:pos="1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for and on behalf of the undersigned notices on Form 144 in accordance with Rule 144 under the Securities Act of 1933;</w:t>
      </w:r>
    </w:p>
    <w:p>
      <w:pPr>
        <w:spacing w:after="0" w:line="236" w:lineRule="exact"/>
        <w:rPr>
          <w:rFonts w:ascii="Arial" w:cs="Arial" w:eastAsia="Arial" w:hAnsi="Arial"/>
          <w:sz w:val="17"/>
          <w:szCs w:val="17"/>
          <w:color w:val="auto"/>
        </w:rPr>
      </w:pPr>
    </w:p>
    <w:p>
      <w:pPr>
        <w:jc w:val="both"/>
        <w:ind w:left="1640" w:right="260" w:hanging="749"/>
        <w:spacing w:after="0" w:line="264"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1" w:lineRule="exact"/>
        <w:rPr>
          <w:rFonts w:ascii="Arial" w:cs="Arial" w:eastAsia="Arial" w:hAnsi="Arial"/>
          <w:sz w:val="18"/>
          <w:szCs w:val="18"/>
          <w:color w:val="auto"/>
        </w:rPr>
      </w:pPr>
    </w:p>
    <w:p>
      <w:pPr>
        <w:ind w:left="1640" w:right="240" w:hanging="749"/>
        <w:spacing w:after="0" w:line="259" w:lineRule="auto"/>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13th day of February, 2013.</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/s/ Mara E. Swan</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Mara E. Swan</w:t>
      </w:r>
    </w:p>
    <w:sectPr>
      <w:pgSz w:w="11900" w:h="16838" w:orient="portrait"/>
      <w:cols w:equalWidth="0" w:num="1">
        <w:col w:w="11620"/>
      </w:cols>
      <w:pgMar w:left="140" w:top="111"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7529"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2019-12-18T03:18:26Z</dcterms:created>
  <dcterms:modified xsi:type="dcterms:W3CDTF">2019-12-18T03:18:26Z</dcterms:modified>
</cp:coreProperties>
</file>