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-611505</wp:posOffset>
            </wp:positionV>
            <wp:extent cx="8255" cy="612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4020820</wp:posOffset>
            </wp:positionH>
            <wp:positionV relativeFrom="paragraph">
              <wp:posOffset>-619760</wp:posOffset>
            </wp:positionV>
            <wp:extent cx="8255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4045585</wp:posOffset>
            </wp:positionH>
            <wp:positionV relativeFrom="paragraph">
              <wp:posOffset>-594995</wp:posOffset>
            </wp:positionV>
            <wp:extent cx="1266190" cy="570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57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37465</wp:posOffset>
            </wp:positionV>
            <wp:extent cx="6967220" cy="17621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BUCHBAND RICHARD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6"/>
        <w:spacing w:after="0"/>
        <w:tabs>
          <w:tab w:leader="none" w:pos="495" w:val="left"/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8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General Counsel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71.31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12/31/2020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71.31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12/31/2020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71.31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12/31/2020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-3663950</wp:posOffset>
            </wp:positionV>
            <wp:extent cx="7033260" cy="3707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707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15, 2021 and will be settled in shares of ManpowerGroup common stock on a 1 for 1 basis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restricted stock units in lieu of dividends paid in 2020 at an average price of $71.31.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15, 2022 and will be settled in shares of ManpowerGroup common stock on a 1 for 1 basis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14, 2023 and will be settled in shares of ManpowerGroup common stock on a 1 for 1 basis upon vesting.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Richard Buchband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01/05/2021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7059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2021-01-05T16:19:06Z</dcterms:created>
  <dcterms:modified xsi:type="dcterms:W3CDTF">2021-01-05T16:19:06Z</dcterms:modified>
</cp:coreProperties>
</file>