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91"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139"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3"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39"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Date of Report (Date of earliest event reported): April 21, 2020</w:t>
      </w:r>
    </w:p>
    <w:p>
      <w:pPr>
        <w:spacing w:after="0" w:line="110"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MANPOWERGROUP INC.</w:t>
      </w:r>
    </w:p>
    <w:p>
      <w:pPr>
        <w:spacing w:after="0" w:line="40"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(Exact name of registrant as specified in its charter)</w:t>
      </w:r>
    </w:p>
    <w:p>
      <w:pPr>
        <w:spacing w:after="0" w:line="117" w:lineRule="exact"/>
        <w:rPr>
          <w:sz w:val="24"/>
          <w:szCs w:val="24"/>
          <w:color w:val="auto"/>
        </w:rPr>
      </w:pPr>
    </w:p>
    <w:tbl>
      <w:tblPr>
        <w:tblLayout w:type="fixed"/>
        <w:tblInd w:w="5" w:type="dxa"/>
        <w:tblCellMar>
          <w:top w:w="0" w:type="dxa"/>
          <w:left w:w="0" w:type="dxa"/>
          <w:bottom w:w="0" w:type="dxa"/>
          <w:right w:w="0" w:type="dxa"/>
        </w:tblCellMar>
      </w:tblPr>
      <w:tr>
        <w:trPr>
          <w:trHeight w:val="204"/>
        </w:trPr>
        <w:tc>
          <w:tcPr>
            <w:tcW w:w="436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84"/>
              </w:rPr>
              <w:t>Wisconsin</w:t>
            </w:r>
          </w:p>
        </w:tc>
        <w:tc>
          <w:tcPr>
            <w:tcW w:w="3080" w:type="dxa"/>
            <w:vAlign w:val="bottom"/>
            <w:gridSpan w:val="3"/>
          </w:tcPr>
          <w:p>
            <w:pPr>
              <w:jc w:val="right"/>
              <w:ind w:right="1540"/>
              <w:spacing w:after="0"/>
              <w:rPr>
                <w:sz w:val="20"/>
                <w:szCs w:val="20"/>
                <w:color w:val="auto"/>
              </w:rPr>
            </w:pPr>
            <w:r>
              <w:rPr>
                <w:rFonts w:ascii="Arial" w:cs="Arial" w:eastAsia="Arial" w:hAnsi="Arial"/>
                <w:sz w:val="16"/>
                <w:szCs w:val="16"/>
                <w:b w:val="1"/>
                <w:bCs w:val="1"/>
                <w:color w:val="auto"/>
              </w:rPr>
              <w:t>1-10686</w:t>
            </w:r>
          </w:p>
        </w:tc>
        <w:tc>
          <w:tcPr>
            <w:tcW w:w="220" w:type="dxa"/>
            <w:vAlign w:val="bottom"/>
          </w:tcPr>
          <w:p>
            <w:pPr>
              <w:spacing w:after="0"/>
              <w:rPr>
                <w:sz w:val="17"/>
                <w:szCs w:val="17"/>
                <w:color w:val="auto"/>
              </w:rPr>
            </w:pPr>
          </w:p>
        </w:tc>
        <w:tc>
          <w:tcPr>
            <w:tcW w:w="3600" w:type="dxa"/>
            <w:vAlign w:val="bottom"/>
          </w:tcPr>
          <w:p>
            <w:pPr>
              <w:jc w:val="right"/>
              <w:ind w:right="1341"/>
              <w:spacing w:after="0"/>
              <w:rPr>
                <w:sz w:val="20"/>
                <w:szCs w:val="20"/>
                <w:color w:val="auto"/>
              </w:rPr>
            </w:pPr>
            <w:r>
              <w:rPr>
                <w:rFonts w:ascii="Arial" w:cs="Arial" w:eastAsia="Arial" w:hAnsi="Arial"/>
                <w:sz w:val="16"/>
                <w:szCs w:val="16"/>
                <w:b w:val="1"/>
                <w:bCs w:val="1"/>
                <w:color w:val="auto"/>
              </w:rPr>
              <w:t>39-1672779</w:t>
            </w:r>
          </w:p>
        </w:tc>
      </w:tr>
      <w:tr>
        <w:trPr>
          <w:trHeight w:val="198"/>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(IRS Employer Identification No.)</w:t>
            </w:r>
          </w:p>
        </w:tc>
      </w:tr>
      <w:tr>
        <w:trPr>
          <w:trHeight w:val="288"/>
        </w:trPr>
        <w:tc>
          <w:tcPr>
            <w:tcW w:w="43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w w:val="89"/>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5"/>
        </w:trPr>
        <w:tc>
          <w:tcPr>
            <w:tcW w:w="436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16"/>
                <w:szCs w:val="16"/>
                <w:b w:val="1"/>
                <w:bCs w:val="1"/>
                <w:color w:val="auto"/>
                <w:w w:val="89"/>
              </w:rPr>
              <w:t>Milwaukee, Wisconsin</w:t>
            </w:r>
          </w:p>
        </w:tc>
        <w:tc>
          <w:tcPr>
            <w:tcW w:w="10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jc w:val="right"/>
              <w:ind w:right="2421"/>
              <w:spacing w:after="0"/>
              <w:rPr>
                <w:sz w:val="20"/>
                <w:szCs w:val="20"/>
                <w:color w:val="auto"/>
              </w:rPr>
            </w:pPr>
            <w:r>
              <w:rPr>
                <w:rFonts w:ascii="Arial" w:cs="Arial" w:eastAsia="Arial" w:hAnsi="Arial"/>
                <w:sz w:val="16"/>
                <w:szCs w:val="16"/>
                <w:b w:val="1"/>
                <w:bCs w:val="1"/>
                <w:color w:val="auto"/>
              </w:rPr>
              <w:t>53212</w:t>
            </w:r>
          </w:p>
        </w:tc>
      </w:tr>
      <w:tr>
        <w:trPr>
          <w:trHeight w:val="197"/>
        </w:trPr>
        <w:tc>
          <w:tcPr>
            <w:tcW w:w="4360" w:type="dxa"/>
            <w:vAlign w:val="bottom"/>
            <w:gridSpan w:val="3"/>
          </w:tcPr>
          <w:p>
            <w:pPr>
              <w:jc w:val="center"/>
              <w:ind w:left="961"/>
              <w:spacing w:after="0"/>
              <w:rPr>
                <w:sz w:val="20"/>
                <w:szCs w:val="20"/>
                <w:color w:val="auto"/>
              </w:rPr>
            </w:pPr>
            <w:r>
              <w:rPr>
                <w:rFonts w:ascii="Arial" w:cs="Arial" w:eastAsia="Arial" w:hAnsi="Arial"/>
                <w:sz w:val="16"/>
                <w:szCs w:val="16"/>
                <w:b w:val="1"/>
                <w:bCs w:val="1"/>
                <w:color w:val="auto"/>
                <w:w w:val="87"/>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Arial" w:cs="Arial" w:eastAsia="Arial" w:hAnsi="Arial"/>
                <w:sz w:val="16"/>
                <w:szCs w:val="16"/>
                <w:b w:val="1"/>
                <w:bCs w:val="1"/>
                <w:color w:val="auto"/>
                <w:w w:val="90"/>
              </w:rPr>
              <w:t>(Zip Code)</w:t>
            </w:r>
          </w:p>
        </w:tc>
      </w:tr>
    </w:tbl>
    <w:p>
      <w:pPr>
        <w:spacing w:after="0" w:line="102" w:lineRule="exact"/>
        <w:rPr>
          <w:sz w:val="24"/>
          <w:szCs w:val="24"/>
          <w:color w:val="auto"/>
        </w:rPr>
      </w:pPr>
    </w:p>
    <w:p>
      <w:pPr>
        <w:ind w:left="3465"/>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135" w:lineRule="exact"/>
        <w:rPr>
          <w:sz w:val="24"/>
          <w:szCs w:val="24"/>
          <w:color w:val="auto"/>
        </w:rPr>
      </w:pPr>
    </w:p>
    <w:p>
      <w:pPr>
        <w:ind w:left="3665"/>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35"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785" w:hanging="785"/>
        <w:spacing w:after="0"/>
        <w:tabs>
          <w:tab w:leader="none" w:pos="78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left="5"/>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15" w:type="dxa"/>
        <w:tblCellMar>
          <w:top w:w="0" w:type="dxa"/>
          <w:left w:w="0" w:type="dxa"/>
          <w:bottom w:w="0" w:type="dxa"/>
          <w:right w:w="0" w:type="dxa"/>
        </w:tblCellMar>
      </w:tblPr>
      <w:tr>
        <w:trPr>
          <w:trHeight w:val="20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Title of each class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Name of each exchange on which registered</w:t>
            </w:r>
          </w:p>
        </w:tc>
      </w:tr>
      <w:tr>
        <w:trPr>
          <w:trHeight w:val="181"/>
        </w:trPr>
        <w:tc>
          <w:tcPr>
            <w:tcW w:w="376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9"/>
              </w:rPr>
              <w:t>Common Stock, $.01 par value</w:t>
            </w:r>
          </w:p>
        </w:tc>
        <w:tc>
          <w:tcPr>
            <w:tcW w:w="376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MAN</w:t>
            </w:r>
          </w:p>
        </w:tc>
        <w:tc>
          <w:tcPr>
            <w:tcW w:w="3740" w:type="dxa"/>
            <w:vAlign w:val="bottom"/>
            <w:tcBorders>
              <w:bottom w:val="single" w:sz="8" w:color="auto"/>
              <w:right w:val="single" w:sz="8" w:color="auto"/>
            </w:tcBorders>
          </w:tcPr>
          <w:p>
            <w:pPr>
              <w:jc w:val="center"/>
              <w:spacing w:after="0" w:line="181" w:lineRule="exact"/>
              <w:rPr>
                <w:sz w:val="20"/>
                <w:szCs w:val="20"/>
                <w:color w:val="auto"/>
              </w:rPr>
            </w:pPr>
            <w:r>
              <w:rPr>
                <w:rFonts w:ascii="Arial" w:cs="Arial" w:eastAsia="Arial" w:hAnsi="Arial"/>
                <w:sz w:val="16"/>
                <w:szCs w:val="16"/>
                <w:color w:val="auto"/>
                <w:w w:val="89"/>
              </w:rPr>
              <w:t>New York Stock Exchange</w:t>
            </w:r>
          </w:p>
        </w:tc>
      </w:tr>
    </w:tbl>
    <w:p>
      <w:pPr>
        <w:spacing w:after="0" w:line="177" w:lineRule="exact"/>
        <w:rPr>
          <w:sz w:val="24"/>
          <w:szCs w:val="24"/>
          <w:color w:val="auto"/>
        </w:rPr>
      </w:pPr>
    </w:p>
    <w:p>
      <w:pPr>
        <w:ind w:left="5" w:right="24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left="5" w:right="320"/>
        <w:spacing w:after="0" w:line="20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530860</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ectPr>
          <w:pgSz w:w="11900" w:h="16838" w:orient="portrait"/>
          <w:cols w:equalWidth="0" w:num="1">
            <w:col w:w="11265"/>
          </w:cols>
          <w:pgMar w:left="315" w:top="387" w:right="31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2" w:lineRule="exact"/>
        <w:rPr>
          <w:sz w:val="20"/>
          <w:szCs w:val="20"/>
          <w:color w:val="auto"/>
        </w:rPr>
      </w:pPr>
    </w:p>
    <w:p>
      <w:pPr>
        <w:ind w:right="340"/>
        <w:spacing w:after="0" w:line="282" w:lineRule="auto"/>
        <w:rPr>
          <w:sz w:val="20"/>
          <w:szCs w:val="20"/>
          <w:color w:val="auto"/>
        </w:rPr>
      </w:pPr>
      <w:r>
        <w:rPr>
          <w:rFonts w:ascii="Arial" w:cs="Arial" w:eastAsia="Arial" w:hAnsi="Arial"/>
          <w:sz w:val="15"/>
          <w:szCs w:val="15"/>
          <w:i w:val="1"/>
          <w:iCs w:val="1"/>
          <w:color w:val="auto"/>
        </w:rPr>
        <w:t>The information in this Item 2.02, including exhibit 99.1 attached herto,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On April 21, 2020, we issued a press release announcing our results of operations for the three months ended March 31, 2020. A copy of the press release is attached hereto as Exhibit 99.1 and is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Supplemental Risk Factor</w:t>
      </w:r>
    </w:p>
    <w:p>
      <w:pPr>
        <w:spacing w:after="0" w:line="159" w:lineRule="exact"/>
        <w:rPr>
          <w:sz w:val="20"/>
          <w:szCs w:val="20"/>
          <w:color w:val="auto"/>
        </w:rPr>
      </w:pPr>
    </w:p>
    <w:p>
      <w:pPr>
        <w:ind w:right="80"/>
        <w:spacing w:after="0" w:line="340" w:lineRule="auto"/>
        <w:rPr>
          <w:sz w:val="20"/>
          <w:szCs w:val="20"/>
          <w:color w:val="auto"/>
        </w:rPr>
      </w:pPr>
      <w:r>
        <w:rPr>
          <w:rFonts w:ascii="Arial" w:cs="Arial" w:eastAsia="Arial" w:hAnsi="Arial"/>
          <w:sz w:val="14"/>
          <w:szCs w:val="14"/>
          <w:color w:val="auto"/>
        </w:rPr>
        <w:t>In light of recent developments relating to the COVID-19 pandemic, the Company is supplementing the risk factors previously disclosed in Part I., Item 1A. of its Annual Report on Form 10-K for the fiscal year ended December 31, 2019, filed with the Securities and Exchange Commission on February 21, 2020, to include the following risk factor:</w:t>
      </w:r>
    </w:p>
    <w:p>
      <w:pPr>
        <w:spacing w:after="0" w:line="8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i w:val="1"/>
          <w:iCs w:val="1"/>
          <w:color w:val="auto"/>
        </w:rPr>
        <w:t>Our business, results of operations and financial condition have been and may continue to be adversely impacted by the coronavirus pandemic, and future adverse impacts could be material and difficult to predict.</w:t>
      </w:r>
    </w:p>
    <w:p>
      <w:pPr>
        <w:spacing w:after="0" w:line="121" w:lineRule="exact"/>
        <w:rPr>
          <w:sz w:val="20"/>
          <w:szCs w:val="20"/>
          <w:color w:val="auto"/>
        </w:rPr>
      </w:pPr>
    </w:p>
    <w:p>
      <w:pPr>
        <w:ind w:right="20"/>
        <w:spacing w:after="0" w:line="266" w:lineRule="auto"/>
        <w:rPr>
          <w:sz w:val="20"/>
          <w:szCs w:val="20"/>
          <w:color w:val="auto"/>
        </w:rPr>
      </w:pPr>
      <w:r>
        <w:rPr>
          <w:rFonts w:ascii="Arial" w:cs="Arial" w:eastAsia="Arial" w:hAnsi="Arial"/>
          <w:sz w:val="15"/>
          <w:szCs w:val="15"/>
          <w:color w:val="auto"/>
        </w:rPr>
        <w:t>The global spread of the coronavirus (“COVID-19”), which was declared a global pandemic by the World Health Organization in March 2020, has created significant volatility, uncertainty and global macroeconomic disruption. Our business, operations and financial results have been, and may continue to be, adversely impacted by the COVID-19 pandemic and by related government actions (including declared states of emergency and quarantine, “shelter in place” or similar orders), non-governmental agency recommendations and public perceptions, all of which have led to disruption in global economic and labor market conditions. These effects have had a significant impact on our business, including reduced demand for our services, early terminations of client contracts and client hiring freezes, and a shift of a majority of our workforce to remote operations, all of which have contributed to a decline in revenues and other adverse impacts on our financial results. Other potential impacts of the spread of COVID-19 include continued or expanded closures of our clients’ facilities, the possibility our clients will not be able to pay for our services and solutions, or that they will attempt to defer payments owed to us, either of which could impact our liquidity, the possibility that the uncertain nature of the pandemic may not yield the increase in outplacement-related programs that we have historically observed during periods of economic downturn, and the possibility that various government-sponsored programs to provide economic relief will be inadequate. Further, we may continue to experience adverse financial impacts if we cannot offset revenue declines with cost savings through expense-related initiatives, human capital management initiatives or otherwise. As a result of these observed and potential developments, we expect our business, operations and financial results to continue to be negatively affected. In particular, a number of our most important European markets, including France and Italy, have been especially impacted to date by COVID-19, and there is a risk that continued deterioration, or a slow eventual recovery, in those and other key markets, including the United States, will have an adverse effect on the labor markets of those jurisdictions and the related demand for our services.</w:t>
      </w:r>
    </w:p>
    <w:p>
      <w:pPr>
        <w:spacing w:after="0" w:line="127"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We are continuing to monitor and assess the effects of the COVID-19 pandemic but expect that our business, operations and financial results will continue to be adversely affected. There are numerous uncertainties relating to the ultimate geographic spread of the virus, the severity of the disease, the duration of the pandemic, the extent and duration of travel restrictions and business closures imposed by the governments of impacted countries, and the effects these and other factors have on underlying economic and labor market conditions. As a result, we cannot accurately predict the ultimate effects, which could be material, of the COVID-19 pandemic on our business, operations and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360" w:type="dxa"/>
            <w:vAlign w:val="bottom"/>
            <w:gridSpan w:val="3"/>
          </w:tcPr>
          <w:p>
            <w:pPr>
              <w:spacing w:after="0"/>
              <w:rPr>
                <w:sz w:val="20"/>
                <w:szCs w:val="20"/>
                <w:color w:val="auto"/>
              </w:rPr>
            </w:pPr>
            <w:r>
              <w:rPr>
                <w:rFonts w:ascii="Arial" w:cs="Arial" w:eastAsia="Arial" w:hAnsi="Arial"/>
                <w:sz w:val="13"/>
                <w:szCs w:val="13"/>
                <w:b w:val="1"/>
                <w:bCs w:val="1"/>
                <w:color w:val="auto"/>
              </w:rPr>
              <w:t>Exhibit No.</w:t>
            </w:r>
          </w:p>
        </w:tc>
        <w:tc>
          <w:tcPr>
            <w:tcW w:w="9900" w:type="dxa"/>
            <w:vAlign w:val="bottom"/>
          </w:tcPr>
          <w:p>
            <w:pPr>
              <w:spacing w:after="0"/>
              <w:rPr>
                <w:sz w:val="20"/>
                <w:szCs w:val="20"/>
                <w:color w:val="auto"/>
              </w:rPr>
            </w:pPr>
            <w:r>
              <w:rPr>
                <w:rFonts w:ascii="Arial" w:cs="Arial" w:eastAsia="Arial" w:hAnsi="Arial"/>
                <w:sz w:val="13"/>
                <w:szCs w:val="13"/>
                <w:b w:val="1"/>
                <w:bCs w:val="1"/>
                <w:color w:val="auto"/>
              </w:rPr>
              <w:t>Description</w:t>
            </w:r>
          </w:p>
        </w:tc>
      </w:tr>
      <w:tr>
        <w:trPr>
          <w:trHeight w:val="169"/>
        </w:trPr>
        <w:tc>
          <w:tcPr>
            <w:tcW w:w="20" w:type="dxa"/>
            <w:vAlign w:val="bottom"/>
          </w:tcPr>
          <w:p>
            <w:pPr>
              <w:spacing w:after="0"/>
              <w:rPr>
                <w:sz w:val="14"/>
                <w:szCs w:val="14"/>
                <w:color w:val="auto"/>
              </w:rPr>
            </w:pPr>
          </w:p>
        </w:tc>
        <w:tc>
          <w:tcPr>
            <w:tcW w:w="122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color w:val="auto"/>
              </w:rPr>
              <w:t>99.1</w:t>
            </w:r>
          </w:p>
        </w:tc>
        <w:tc>
          <w:tcPr>
            <w:tcW w:w="120" w:type="dxa"/>
            <w:vAlign w:val="bottom"/>
          </w:tcPr>
          <w:p>
            <w:pPr>
              <w:spacing w:after="0"/>
              <w:rPr>
                <w:sz w:val="14"/>
                <w:szCs w:val="14"/>
                <w:color w:val="auto"/>
              </w:rPr>
            </w:pPr>
          </w:p>
        </w:tc>
        <w:tc>
          <w:tcPr>
            <w:tcW w:w="9900" w:type="dxa"/>
            <w:vAlign w:val="bottom"/>
            <w:tcBorders>
              <w:top w:val="single" w:sz="8" w:color="auto"/>
            </w:tcBorders>
          </w:tcPr>
          <w:p>
            <w:pPr>
              <w:spacing w:after="0" w:line="168" w:lineRule="exact"/>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Press Release dated April 21, 2020</w:t>
              </w:r>
            </w:hyperlink>
          </w:p>
        </w:tc>
      </w:tr>
      <w:tr>
        <w:trPr>
          <w:trHeight w:val="189"/>
        </w:trPr>
        <w:tc>
          <w:tcPr>
            <w:tcW w:w="1240" w:type="dxa"/>
            <w:vAlign w:val="bottom"/>
            <w:gridSpan w:val="2"/>
          </w:tcPr>
          <w:p>
            <w:pPr>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16"/>
                <w:szCs w:val="16"/>
                <w:color w:val="auto"/>
              </w:rPr>
            </w:pPr>
          </w:p>
        </w:tc>
        <w:tc>
          <w:tcPr>
            <w:tcW w:w="9900" w:type="dxa"/>
            <w:vAlign w:val="bottom"/>
          </w:tcPr>
          <w:p>
            <w:pPr>
              <w:spacing w:after="0"/>
              <w:rPr>
                <w:rFonts w:ascii="Arial" w:cs="Arial" w:eastAsia="Arial" w:hAnsi="Arial"/>
                <w:sz w:val="16"/>
                <w:szCs w:val="16"/>
                <w:u w:val="single" w:color="auto"/>
                <w:color w:val="0000EE"/>
              </w:rPr>
            </w:pPr>
            <w:hyperlink w:anchor="page10">
              <w:r>
                <w:rPr>
                  <w:rFonts w:ascii="Arial" w:cs="Arial" w:eastAsia="Arial" w:hAnsi="Arial"/>
                  <w:sz w:val="16"/>
                  <w:szCs w:val="16"/>
                  <w:u w:val="single" w:color="auto"/>
                  <w:color w:val="0000EE"/>
                </w:rPr>
                <w:t>Presentation materials for April 21, 2020 Conference Call</w:t>
              </w:r>
            </w:hyperlink>
          </w:p>
        </w:tc>
      </w:tr>
      <w:tr>
        <w:trPr>
          <w:trHeight w:val="200"/>
        </w:trPr>
        <w:tc>
          <w:tcPr>
            <w:tcW w:w="1240" w:type="dxa"/>
            <w:vAlign w:val="bottom"/>
            <w:gridSpan w:val="2"/>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9900" w:type="dxa"/>
            <w:vAlign w:val="bottom"/>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1424"/>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-6985</wp:posOffset>
            </wp:positionV>
            <wp:extent cx="76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198" w:lineRule="exact"/>
        <w:rPr>
          <w:sz w:val="20"/>
          <w:szCs w:val="20"/>
          <w:color w:val="auto"/>
        </w:rPr>
      </w:pPr>
    </w:p>
    <w:p>
      <w:pPr>
        <w:ind w:right="320" w:firstLine="539"/>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5940" w:type="dxa"/>
            <w:vAlign w:val="bottom"/>
            <w:gridSpan w:val="2"/>
          </w:tcPr>
          <w:p>
            <w:pPr>
              <w:ind w:left="120"/>
              <w:spacing w:after="0"/>
              <w:rPr>
                <w:sz w:val="20"/>
                <w:szCs w:val="20"/>
                <w:color w:val="auto"/>
              </w:rPr>
            </w:pPr>
            <w:r>
              <w:rPr>
                <w:rFonts w:ascii="Arial" w:cs="Arial" w:eastAsia="Arial" w:hAnsi="Arial"/>
                <w:sz w:val="16"/>
                <w:szCs w:val="16"/>
                <w:color w:val="auto"/>
              </w:rPr>
              <w:t>MANPOWERGROUP INC.</w:t>
            </w:r>
          </w:p>
        </w:tc>
      </w:tr>
      <w:tr>
        <w:trPr>
          <w:trHeight w:val="378"/>
        </w:trPr>
        <w:tc>
          <w:tcPr>
            <w:tcW w:w="5320" w:type="dxa"/>
            <w:vAlign w:val="bottom"/>
            <w:gridSpan w:val="2"/>
          </w:tcPr>
          <w:p>
            <w:pPr>
              <w:spacing w:after="0"/>
              <w:rPr>
                <w:sz w:val="20"/>
                <w:szCs w:val="20"/>
                <w:color w:val="auto"/>
              </w:rPr>
            </w:pPr>
            <w:r>
              <w:rPr>
                <w:rFonts w:ascii="Arial" w:cs="Arial" w:eastAsia="Arial" w:hAnsi="Arial"/>
                <w:sz w:val="16"/>
                <w:szCs w:val="16"/>
                <w:color w:val="auto"/>
                <w:w w:val="95"/>
              </w:rPr>
              <w:t>Dated:April 21, 2020</w:t>
            </w:r>
          </w:p>
        </w:tc>
        <w:tc>
          <w:tcPr>
            <w:tcW w:w="820" w:type="dxa"/>
            <w:vAlign w:val="bottom"/>
          </w:tcPr>
          <w:p>
            <w:pPr>
              <w:ind w:left="120"/>
              <w:spacing w:after="0"/>
              <w:rPr>
                <w:sz w:val="20"/>
                <w:szCs w:val="20"/>
                <w:color w:val="auto"/>
              </w:rPr>
            </w:pPr>
            <w:r>
              <w:rPr>
                <w:rFonts w:ascii="Arial" w:cs="Arial" w:eastAsia="Arial" w:hAnsi="Arial"/>
                <w:sz w:val="16"/>
                <w:szCs w:val="16"/>
                <w:color w:val="auto"/>
              </w:rPr>
              <w:t>By:</w:t>
            </w:r>
          </w:p>
        </w:tc>
        <w:tc>
          <w:tcPr>
            <w:tcW w:w="5120" w:type="dxa"/>
            <w:vAlign w:val="bottom"/>
          </w:tcPr>
          <w:p>
            <w:pPr>
              <w:ind w:left="60"/>
              <w:spacing w:after="0"/>
              <w:rPr>
                <w:sz w:val="20"/>
                <w:szCs w:val="20"/>
                <w:color w:val="auto"/>
              </w:rPr>
            </w:pPr>
            <w:r>
              <w:rPr>
                <w:rFonts w:ascii="Arial" w:cs="Arial" w:eastAsia="Arial" w:hAnsi="Arial"/>
                <w:sz w:val="16"/>
                <w:szCs w:val="16"/>
                <w:color w:val="auto"/>
              </w:rPr>
              <w:t>/s/ John T. McGinnis</w:t>
            </w:r>
          </w:p>
        </w:tc>
      </w:tr>
      <w:tr>
        <w:trPr>
          <w:trHeight w:val="170"/>
        </w:trPr>
        <w:tc>
          <w:tcPr>
            <w:tcW w:w="720" w:type="dxa"/>
            <w:vAlign w:val="bottom"/>
          </w:tcPr>
          <w:p>
            <w:pPr>
              <w:spacing w:after="0"/>
              <w:rPr>
                <w:sz w:val="14"/>
                <w:szCs w:val="14"/>
                <w:color w:val="auto"/>
              </w:rPr>
            </w:pPr>
          </w:p>
        </w:tc>
        <w:tc>
          <w:tcPr>
            <w:tcW w:w="4600" w:type="dxa"/>
            <w:vAlign w:val="bottom"/>
            <w:tcBorders>
              <w:top w:val="single" w:sz="8" w:color="auto"/>
            </w:tcBorders>
          </w:tcPr>
          <w:p>
            <w:pPr>
              <w:spacing w:after="0"/>
              <w:rPr>
                <w:sz w:val="14"/>
                <w:szCs w:val="14"/>
                <w:color w:val="auto"/>
              </w:rPr>
            </w:pPr>
          </w:p>
        </w:tc>
        <w:tc>
          <w:tcPr>
            <w:tcW w:w="820" w:type="dxa"/>
            <w:vAlign w:val="bottom"/>
          </w:tcPr>
          <w:p>
            <w:pPr>
              <w:ind w:left="120"/>
              <w:spacing w:after="0" w:line="170" w:lineRule="exact"/>
              <w:rPr>
                <w:sz w:val="20"/>
                <w:szCs w:val="20"/>
                <w:color w:val="auto"/>
              </w:rPr>
            </w:pPr>
            <w:r>
              <w:rPr>
                <w:rFonts w:ascii="Arial" w:cs="Arial" w:eastAsia="Arial" w:hAnsi="Arial"/>
                <w:sz w:val="16"/>
                <w:szCs w:val="16"/>
                <w:color w:val="auto"/>
              </w:rPr>
              <w:t>Name:</w:t>
            </w:r>
          </w:p>
        </w:tc>
        <w:tc>
          <w:tcPr>
            <w:tcW w:w="5120" w:type="dxa"/>
            <w:vAlign w:val="bottom"/>
            <w:tcBorders>
              <w:top w:val="single" w:sz="8" w:color="auto"/>
            </w:tcBorders>
          </w:tcPr>
          <w:p>
            <w:pPr>
              <w:ind w:left="60"/>
              <w:spacing w:after="0" w:line="170" w:lineRule="exact"/>
              <w:rPr>
                <w:sz w:val="20"/>
                <w:szCs w:val="20"/>
                <w:color w:val="auto"/>
              </w:rPr>
            </w:pPr>
            <w:r>
              <w:rPr>
                <w:rFonts w:ascii="Arial" w:cs="Arial" w:eastAsia="Arial" w:hAnsi="Arial"/>
                <w:sz w:val="16"/>
                <w:szCs w:val="16"/>
                <w:color w:val="auto"/>
              </w:rPr>
              <w:t>John T. McGinnis</w:t>
            </w:r>
          </w:p>
        </w:tc>
      </w:tr>
      <w:tr>
        <w:trPr>
          <w:trHeight w:val="189"/>
        </w:trPr>
        <w:tc>
          <w:tcPr>
            <w:tcW w:w="7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20" w:type="dxa"/>
            <w:vAlign w:val="bottom"/>
          </w:tcPr>
          <w:p>
            <w:pPr>
              <w:ind w:left="120"/>
              <w:spacing w:after="0"/>
              <w:rPr>
                <w:sz w:val="20"/>
                <w:szCs w:val="20"/>
                <w:color w:val="auto"/>
              </w:rPr>
            </w:pPr>
            <w:r>
              <w:rPr>
                <w:rFonts w:ascii="Arial" w:cs="Arial" w:eastAsia="Arial" w:hAnsi="Arial"/>
                <w:sz w:val="16"/>
                <w:szCs w:val="16"/>
                <w:color w:val="auto"/>
              </w:rPr>
              <w:t>Title:</w:t>
            </w:r>
          </w:p>
        </w:tc>
        <w:tc>
          <w:tcPr>
            <w:tcW w:w="5120" w:type="dxa"/>
            <w:vAlign w:val="bottom"/>
          </w:tcPr>
          <w:p>
            <w:pPr>
              <w:ind w:left="60"/>
              <w:spacing w:after="0"/>
              <w:rPr>
                <w:sz w:val="20"/>
                <w:szCs w:val="20"/>
                <w:color w:val="auto"/>
              </w:rPr>
            </w:pPr>
            <w:r>
              <w:rPr>
                <w:rFonts w:ascii="Arial" w:cs="Arial" w:eastAsia="Arial" w:hAnsi="Arial"/>
                <w:sz w:val="16"/>
                <w:szCs w:val="16"/>
                <w:color w:val="auto"/>
              </w:rPr>
              <w:t>Executive Vice President and</w:t>
            </w:r>
          </w:p>
        </w:tc>
      </w:tr>
      <w:tr>
        <w:trPr>
          <w:trHeight w:val="200"/>
        </w:trPr>
        <w:tc>
          <w:tcPr>
            <w:tcW w:w="7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120" w:type="dxa"/>
            <w:vAlign w:val="bottom"/>
          </w:tcPr>
          <w:p>
            <w:pPr>
              <w:ind w:left="6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260"/>
          </w:cols>
          <w:pgMar w:left="320" w:top="312" w:right="319" w:bottom="1440" w:gutter="0" w:footer="0" w:header="0"/>
        </w:sectPr>
      </w:pPr>
    </w:p>
    <w:bookmarkStart w:id="3" w:name="page4"/>
    <w:bookmarkEnd w:id="3"/>
    <w:p>
      <w:pPr>
        <w:ind w:left="10440"/>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1336675" cy="713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6675" cy="71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Jack McGinnis</w:t>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+1.414.906.7977</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6"/>
          <w:szCs w:val="16"/>
          <w:u w:val="single" w:color="auto"/>
          <w:color w:val="0000FF"/>
        </w:rPr>
        <w:t>jack.mcginnis@manpowergroup.com</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ManpowerGroup Reports 1</w:t>
      </w:r>
      <w:r>
        <w:rPr>
          <w:rFonts w:ascii="Arial" w:cs="Arial" w:eastAsia="Arial" w:hAnsi="Arial"/>
          <w:sz w:val="16"/>
          <w:szCs w:val="16"/>
          <w:b w:val="1"/>
          <w:bCs w:val="1"/>
          <w:color w:val="auto"/>
        </w:rPr>
        <w:t>st</w:t>
      </w:r>
      <w:r>
        <w:rPr>
          <w:rFonts w:ascii="Arial" w:cs="Arial" w:eastAsia="Arial" w:hAnsi="Arial"/>
          <w:sz w:val="19"/>
          <w:szCs w:val="19"/>
          <w:b w:val="1"/>
          <w:bCs w:val="1"/>
          <w:color w:val="auto"/>
        </w:rPr>
        <w:t xml:space="preserve"> Quarter 2020 Results</w:t>
      </w:r>
    </w:p>
    <w:p>
      <w:pPr>
        <w:spacing w:after="0" w:line="222" w:lineRule="exact"/>
        <w:rPr>
          <w:sz w:val="20"/>
          <w:szCs w:val="20"/>
          <w:color w:val="auto"/>
        </w:rPr>
      </w:pP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Q1 results significantly impacted by COVID-19 crisis</w:t>
      </w:r>
    </w:p>
    <w:p>
      <w:pPr>
        <w:spacing w:after="0" w:line="5" w:lineRule="exact"/>
        <w:rPr>
          <w:rFonts w:ascii="Arial" w:cs="Arial" w:eastAsia="Arial" w:hAnsi="Arial"/>
          <w:sz w:val="17"/>
          <w:szCs w:val="17"/>
          <w:color w:val="auto"/>
        </w:rPr>
      </w:pP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Executed broad actions to reduce SG&amp;A costs in anticipation of significant revenue reductions</w:t>
      </w:r>
    </w:p>
    <w:p>
      <w:pPr>
        <w:spacing w:after="0" w:line="5" w:lineRule="exact"/>
        <w:rPr>
          <w:rFonts w:ascii="Arial" w:cs="Arial" w:eastAsia="Arial" w:hAnsi="Arial"/>
          <w:sz w:val="17"/>
          <w:szCs w:val="17"/>
          <w:color w:val="auto"/>
        </w:rPr>
      </w:pP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Ended the quarter with $1.1 billion of cash and cash equivalents and $600 million of untapped revolving credit facility</w:t>
      </w:r>
    </w:p>
    <w:p>
      <w:pPr>
        <w:spacing w:after="0" w:line="5" w:lineRule="exact"/>
        <w:rPr>
          <w:rFonts w:ascii="Arial" w:cs="Arial" w:eastAsia="Arial" w:hAnsi="Arial"/>
          <w:sz w:val="17"/>
          <w:szCs w:val="17"/>
          <w:color w:val="auto"/>
        </w:rPr>
      </w:pP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Strong increase in free cash flow and slight improvement in Days Sales Outstanding during the quarter</w:t>
      </w:r>
    </w:p>
    <w:p>
      <w:pPr>
        <w:spacing w:after="0" w:line="5" w:lineRule="exact"/>
        <w:rPr>
          <w:rFonts w:ascii="Arial" w:cs="Arial" w:eastAsia="Arial" w:hAnsi="Arial"/>
          <w:sz w:val="17"/>
          <w:szCs w:val="17"/>
          <w:color w:val="auto"/>
        </w:rPr>
      </w:pPr>
    </w:p>
    <w:p>
      <w:pPr>
        <w:ind w:left="580" w:hanging="396"/>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Well positioned with a Global Leadership Team with deep experience managing through economic downturns</w:t>
      </w:r>
    </w:p>
    <w:p>
      <w:pPr>
        <w:spacing w:after="0" w:line="161" w:lineRule="exact"/>
        <w:rPr>
          <w:sz w:val="20"/>
          <w:szCs w:val="20"/>
          <w:color w:val="auto"/>
        </w:rPr>
      </w:pPr>
    </w:p>
    <w:p>
      <w:pPr>
        <w:jc w:val="both"/>
        <w:ind w:right="20"/>
        <w:spacing w:after="0" w:line="241" w:lineRule="auto"/>
        <w:rPr>
          <w:sz w:val="20"/>
          <w:szCs w:val="20"/>
          <w:color w:val="auto"/>
        </w:rPr>
      </w:pPr>
      <w:r>
        <w:rPr>
          <w:rFonts w:ascii="Arial" w:cs="Arial" w:eastAsia="Arial" w:hAnsi="Arial"/>
          <w:sz w:val="17"/>
          <w:szCs w:val="17"/>
          <w:b w:val="1"/>
          <w:bCs w:val="1"/>
          <w:color w:val="auto"/>
        </w:rPr>
        <w:t xml:space="preserve">MILWAUKEE, April 21, 2020 -- </w:t>
      </w:r>
      <w:r>
        <w:rPr>
          <w:rFonts w:ascii="Arial" w:cs="Arial" w:eastAsia="Arial" w:hAnsi="Arial"/>
          <w:sz w:val="17"/>
          <w:szCs w:val="17"/>
          <w:color w:val="auto"/>
        </w:rPr>
        <w:t>ManpowerGroup (NYSE: MAN) today reported net earnings of $ 0.03 per diluted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2020 compared to $0.88 per diluted share in the prior year period. Net earnings in the quarter were $1.7 million compared to $53.5 million a year earlier. Revenues for the first quarter were $4.6 billion, an 8% decline from the prior year period.</w:t>
      </w:r>
    </w:p>
    <w:p>
      <w:pPr>
        <w:spacing w:after="0" w:line="1" w:lineRule="exact"/>
        <w:rPr>
          <w:sz w:val="20"/>
          <w:szCs w:val="20"/>
          <w:color w:val="auto"/>
        </w:rPr>
      </w:pPr>
    </w:p>
    <w:p>
      <w:pPr>
        <w:jc w:val="both"/>
        <w:ind w:right="20" w:firstLine="665"/>
        <w:spacing w:after="0" w:line="232" w:lineRule="auto"/>
        <w:rPr>
          <w:sz w:val="20"/>
          <w:szCs w:val="20"/>
          <w:color w:val="auto"/>
        </w:rPr>
      </w:pPr>
      <w:r>
        <w:rPr>
          <w:rFonts w:ascii="Arial" w:cs="Arial" w:eastAsia="Arial" w:hAnsi="Arial"/>
          <w:sz w:val="17"/>
          <w:szCs w:val="17"/>
          <w:color w:val="auto"/>
        </w:rPr>
        <w:t>The current year quarter included restructuring costs, which reduced earnings per share by 68 cents, and a previously disclosed non-cash pension settlement charge, which reduced earnings per share by 11 cents.</w:t>
      </w:r>
    </w:p>
    <w:p>
      <w:pPr>
        <w:spacing w:after="0" w:line="1" w:lineRule="exact"/>
        <w:rPr>
          <w:sz w:val="20"/>
          <w:szCs w:val="20"/>
          <w:color w:val="auto"/>
        </w:rPr>
      </w:pPr>
    </w:p>
    <w:p>
      <w:pPr>
        <w:jc w:val="both"/>
        <w:ind w:firstLine="779"/>
        <w:spacing w:after="0" w:line="232" w:lineRule="auto"/>
        <w:rPr>
          <w:sz w:val="20"/>
          <w:szCs w:val="20"/>
          <w:color w:val="auto"/>
        </w:rPr>
      </w:pPr>
      <w:r>
        <w:rPr>
          <w:rFonts w:ascii="Arial" w:cs="Arial" w:eastAsia="Arial" w:hAnsi="Arial"/>
          <w:sz w:val="17"/>
          <w:szCs w:val="17"/>
          <w:color w:val="auto"/>
        </w:rPr>
        <w:t>Financial results in the quarter were also impacted by the stronger U.S. dollar relative to foreign currencies compared to the prior year period. Earnings per share in the quarter were not impacted by changes in foreign currencies compared to the prior year but were negatively impacted 3 cents excluding restructuring costs and pension settlement charges. On a constant currency basis, revenues decreased 6% and net earnings per diluted share decreased 95%. Excluding the impact of the restructuring costs and pension settlement charges, on a constant currency basis, net earnings per diluted share decreased 39%.</w:t>
      </w:r>
    </w:p>
    <w:p>
      <w:pPr>
        <w:spacing w:after="0" w:line="1" w:lineRule="exact"/>
        <w:rPr>
          <w:sz w:val="20"/>
          <w:szCs w:val="20"/>
          <w:color w:val="auto"/>
        </w:rPr>
      </w:pPr>
    </w:p>
    <w:p>
      <w:pPr>
        <w:jc w:val="both"/>
        <w:ind w:right="20" w:firstLine="779"/>
        <w:spacing w:after="0" w:line="238" w:lineRule="auto"/>
        <w:rPr>
          <w:sz w:val="20"/>
          <w:szCs w:val="20"/>
          <w:color w:val="auto"/>
        </w:rPr>
      </w:pPr>
      <w:r>
        <w:rPr>
          <w:rFonts w:ascii="Arial" w:cs="Arial" w:eastAsia="Arial" w:hAnsi="Arial"/>
          <w:sz w:val="17"/>
          <w:szCs w:val="17"/>
          <w:color w:val="auto"/>
        </w:rPr>
        <w:t>Cash and cash equivalents at the end of the quarter amounted to $1.1 billion, representing an increase from the preceding quarter. An ongoing focus on collections activity resulted in a slight improvement in Days Sales Outstanding compared to the prior year. A $600 million revolving credit facility, which expires in 2023, remains unused and, combined with our existing cash position, provides significant liquidity. Free cash flow was very strong at $172 million in the quarter, representing an $80 million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290830</wp:posOffset>
            </wp:positionV>
            <wp:extent cx="716407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from the year ago period.</w:t>
      </w:r>
    </w:p>
    <w:p>
      <w:pPr>
        <w:jc w:val="both"/>
        <w:ind w:firstLine="791"/>
        <w:spacing w:after="0" w:line="232" w:lineRule="auto"/>
        <w:rPr>
          <w:sz w:val="20"/>
          <w:szCs w:val="20"/>
          <w:color w:val="auto"/>
        </w:rPr>
      </w:pPr>
      <w:r>
        <w:rPr>
          <w:rFonts w:ascii="Arial" w:cs="Arial" w:eastAsia="Arial" w:hAnsi="Arial"/>
          <w:sz w:val="17"/>
          <w:szCs w:val="17"/>
          <w:color w:val="auto"/>
        </w:rPr>
        <w:t>“The COVID-19 crisis has significantly disrupted the global economy, our clients and the demand for our services. The speed and magnitude of change in market conditions in the last few weeks of March was unlike anything we have seen in our over 70 year history. Our organization moved swiftly to execute our business continuity plans and to provide necessary support to our people, our clients and our communities,” said Jonas Prising, ManpowerGroup Chairman &amp; CEO. “I want to thank our more than 28,000 employees for remaining steadfast in supporting our clients and associates through a very challenging environment.”</w:t>
      </w:r>
    </w:p>
    <w:p>
      <w:pPr>
        <w:spacing w:after="0" w:line="1" w:lineRule="exact"/>
        <w:rPr>
          <w:sz w:val="20"/>
          <w:szCs w:val="20"/>
          <w:color w:val="auto"/>
        </w:rPr>
      </w:pPr>
    </w:p>
    <w:p>
      <w:pPr>
        <w:jc w:val="both"/>
        <w:ind w:firstLine="791"/>
        <w:spacing w:after="0"/>
        <w:rPr>
          <w:sz w:val="20"/>
          <w:szCs w:val="20"/>
          <w:color w:val="auto"/>
        </w:rPr>
      </w:pPr>
      <w:r>
        <w:rPr>
          <w:rFonts w:ascii="Arial" w:cs="Arial" w:eastAsia="Arial" w:hAnsi="Arial"/>
          <w:sz w:val="17"/>
          <w:szCs w:val="17"/>
          <w:color w:val="auto"/>
        </w:rPr>
        <w:t>“We have a very experienced global management team that has gone through a number of recessions and we come into this crisis with clear strategic priorities and a strong balance sheet. I am very confident we will manage through this difficult period while continuing to advance key strategic initiatives. I believe this will allow us to emerge from this crisis better positioned to capture growth and market share. As we cannot forecast when governments in certain major markets will be lifting current work restrictions, we will not be providing guidance for our second quarter earnings.”</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ManpowerGroup repurchased 871,000 shares of common stock for $64 million during the quarter.</w:t>
      </w:r>
    </w:p>
    <w:p>
      <w:pPr>
        <w:jc w:val="both"/>
        <w:ind w:right="20" w:firstLine="778"/>
        <w:spacing w:after="0"/>
        <w:rPr>
          <w:sz w:val="20"/>
          <w:szCs w:val="20"/>
          <w:color w:val="auto"/>
        </w:rPr>
      </w:pPr>
      <w:r>
        <w:rPr>
          <w:rFonts w:ascii="Arial" w:cs="Arial" w:eastAsia="Arial" w:hAnsi="Arial"/>
          <w:sz w:val="17"/>
          <w:szCs w:val="17"/>
          <w:color w:val="auto"/>
        </w:rPr>
        <w:t xml:space="preserve">In conjunction with its first quarter earnings release, ManpowerGroup will broadcast its conference call live over the Internet on April 21, 2020 at 7:30 a.m. CDT (8:30 a.m. EDT). Interested parties are invited to listen to the webcast and view the presentation by logging on to </w:t>
      </w:r>
      <w:r>
        <w:rPr>
          <w:rFonts w:ascii="Arial" w:cs="Arial" w:eastAsia="Arial" w:hAnsi="Arial"/>
          <w:sz w:val="17"/>
          <w:szCs w:val="17"/>
          <w:u w:val="single" w:color="auto"/>
          <w:color w:val="0000FF"/>
        </w:rPr>
        <w:t>http://investor.manpowergroup.com/</w:t>
      </w:r>
      <w:r>
        <w:rPr>
          <w:rFonts w:ascii="Arial" w:cs="Arial" w:eastAsia="Arial" w:hAnsi="Arial"/>
          <w:sz w:val="17"/>
          <w:szCs w:val="17"/>
          <w:color w:val="0000FF"/>
        </w:rPr>
        <w:t xml:space="preserve"> </w:t>
      </w:r>
      <w:r>
        <w:rPr>
          <w:rFonts w:ascii="Arial" w:cs="Arial" w:eastAsia="Arial" w:hAnsi="Arial"/>
          <w:sz w:val="17"/>
          <w:szCs w:val="17"/>
          <w:color w:val="000000"/>
        </w:rPr>
        <w:t>in the section titled “Investor Relations.”</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u w:val="single" w:color="auto"/>
          <w:color w:val="0000FF"/>
        </w:rPr>
        <w:t>http://investor.manpowergroup.com/</w:t>
      </w:r>
      <w:r>
        <w:rPr>
          <w:rFonts w:ascii="Arial" w:cs="Arial" w:eastAsia="Arial" w:hAnsi="Arial"/>
          <w:sz w:val="17"/>
          <w:szCs w:val="17"/>
          <w:color w:val="auto"/>
        </w:rPr>
        <w:t xml:space="preserve"> .</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22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ManpowerGroup® (NYSE: </w:t>
      </w:r>
      <w:r>
        <w:rPr>
          <w:rFonts w:ascii="Arial" w:cs="Arial" w:eastAsia="Arial" w:hAnsi="Arial"/>
          <w:sz w:val="16"/>
          <w:szCs w:val="16"/>
          <w:u w:val="single" w:color="auto"/>
          <w:color w:val="auto"/>
        </w:rPr>
        <w:t>MAN</w:t>
      </w:r>
      <w:r>
        <w:rPr>
          <w:rFonts w:ascii="Arial" w:cs="Arial" w:eastAsia="Arial" w:hAnsi="Arial"/>
          <w:sz w:val="16"/>
          <w:szCs w:val="16"/>
          <w:color w:val="auto"/>
        </w:rPr>
        <w:t>),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2020 ManpowerGroup was named one of the World's Most Ethical Companies for the eleventh year - all confirming our position as the brand of choice for in-demand talent.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This news release contains statements, including statements regarding the anticipated financial and operational impacts of the COVID-19 pandemic and the Company’s efforts to respond to such impacts,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2019, as well as the risks and uncertainties arising from the COVID-19 global pandemic and related governmental actions that are discussed in the Company’s Periodic Report on Form 8-K filed on April 21, 2020, which information is incorporated herein by reference.</w:t>
      </w:r>
    </w:p>
    <w:p>
      <w:pPr>
        <w:spacing w:after="0" w:line="28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296545</wp:posOffset>
            </wp:positionV>
            <wp:extent cx="716407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5" w:name="page6"/>
    <w:bookmarkEnd w:id="5"/>
    <w:p>
      <w:pPr>
        <w:jc w:val="center"/>
        <w:ind w:right="-4"/>
        <w:spacing w:after="0"/>
        <w:rPr>
          <w:sz w:val="20"/>
          <w:szCs w:val="20"/>
          <w:color w:val="auto"/>
        </w:rPr>
      </w:pPr>
      <w:r>
        <w:rPr>
          <w:rFonts w:ascii="Arial" w:cs="Arial" w:eastAsia="Arial" w:hAnsi="Arial"/>
          <w:sz w:val="16"/>
          <w:szCs w:val="16"/>
          <w:color w:val="auto"/>
        </w:rPr>
        <w:t>ManpowerGroup</w:t>
      </w:r>
    </w:p>
    <w:p>
      <w:pPr>
        <w:spacing w:after="0" w:line="1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spacing w:after="0" w:line="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3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center"/>
              <w:ind w:right="641"/>
              <w:spacing w:after="0"/>
              <w:rPr>
                <w:sz w:val="20"/>
                <w:szCs w:val="20"/>
                <w:color w:val="auto"/>
              </w:rPr>
            </w:pPr>
            <w:r>
              <w:rPr>
                <w:rFonts w:ascii="Arial" w:cs="Arial" w:eastAsia="Arial" w:hAnsi="Arial"/>
                <w:sz w:val="16"/>
                <w:szCs w:val="16"/>
                <w:b w:val="1"/>
                <w:bCs w:val="1"/>
                <w:color w:val="auto"/>
                <w:w w:val="91"/>
              </w:rPr>
              <w:t>Three Months Ended March 31</w:t>
            </w: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Variance</w:t>
            </w: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841"/>
              <w:spacing w:after="0"/>
              <w:rPr>
                <w:sz w:val="20"/>
                <w:szCs w:val="20"/>
                <w:color w:val="auto"/>
              </w:rPr>
            </w:pPr>
            <w:r>
              <w:rPr>
                <w:rFonts w:ascii="Arial" w:cs="Arial" w:eastAsia="Arial" w:hAnsi="Arial"/>
                <w:sz w:val="16"/>
                <w:szCs w:val="16"/>
                <w:b w:val="1"/>
                <w:bCs w:val="1"/>
                <w:color w:val="auto"/>
                <w:w w:val="95"/>
              </w:rPr>
              <w:t>Amount</w:t>
            </w:r>
          </w:p>
        </w:tc>
        <w:tc>
          <w:tcPr>
            <w:tcW w:w="960" w:type="dxa"/>
            <w:vAlign w:val="bottom"/>
          </w:tcPr>
          <w:p>
            <w:pPr>
              <w:jc w:val="right"/>
              <w:ind w:right="241"/>
              <w:spacing w:after="0"/>
              <w:rPr>
                <w:sz w:val="20"/>
                <w:szCs w:val="20"/>
                <w:color w:val="auto"/>
              </w:rPr>
            </w:pPr>
            <w:r>
              <w:rPr>
                <w:rFonts w:ascii="Arial" w:cs="Arial" w:eastAsia="Arial" w:hAnsi="Arial"/>
                <w:sz w:val="16"/>
                <w:szCs w:val="16"/>
                <w:b w:val="1"/>
                <w:bCs w:val="1"/>
                <w:color w:val="auto"/>
                <w:w w:val="89"/>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81"/>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ind w:right="801"/>
              <w:spacing w:after="0"/>
              <w:rPr>
                <w:sz w:val="20"/>
                <w:szCs w:val="20"/>
                <w:color w:val="auto"/>
              </w:rPr>
            </w:pPr>
            <w:r>
              <w:rPr>
                <w:rFonts w:ascii="Arial" w:cs="Arial" w:eastAsia="Arial" w:hAnsi="Arial"/>
                <w:sz w:val="16"/>
                <w:szCs w:val="16"/>
                <w:b w:val="1"/>
                <w:bCs w:val="1"/>
                <w:color w:val="auto"/>
                <w:w w:val="88"/>
              </w:rPr>
              <w:t>Reported</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1"/>
              </w:rPr>
              <w:t>Currency</w:t>
            </w:r>
          </w:p>
        </w:tc>
        <w:tc>
          <w:tcPr>
            <w:tcW w:w="0" w:type="dxa"/>
            <w:vAlign w:val="bottom"/>
          </w:tcPr>
          <w:p>
            <w:pPr>
              <w:spacing w:after="0"/>
              <w:rPr>
                <w:sz w:val="1"/>
                <w:szCs w:val="1"/>
                <w:color w:val="auto"/>
              </w:rPr>
            </w:pPr>
          </w:p>
        </w:tc>
      </w:tr>
      <w:tr>
        <w:trPr>
          <w:trHeight w:val="193"/>
        </w:trPr>
        <w:tc>
          <w:tcPr>
            <w:tcW w:w="38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center"/>
              <w:ind w:left="721"/>
              <w:spacing w:after="0"/>
              <w:rPr>
                <w:sz w:val="20"/>
                <w:szCs w:val="20"/>
                <w:color w:val="auto"/>
              </w:rPr>
            </w:pPr>
            <w:r>
              <w:rPr>
                <w:rFonts w:ascii="Arial" w:cs="Arial" w:eastAsia="Arial" w:hAnsi="Arial"/>
                <w:sz w:val="16"/>
                <w:szCs w:val="16"/>
                <w:color w:val="auto"/>
                <w:w w:val="90"/>
              </w:rPr>
              <w:t>(Unaudited)</w:t>
            </w:r>
          </w:p>
        </w:tc>
        <w:tc>
          <w:tcPr>
            <w:tcW w:w="1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 (a)</w:t>
            </w:r>
          </w:p>
        </w:tc>
        <w:tc>
          <w:tcPr>
            <w:tcW w:w="1840" w:type="dxa"/>
            <w:vAlign w:val="bottom"/>
            <w:gridSpan w:val="2"/>
            <w:shd w:val="clear" w:color="auto" w:fill="CFF0FC"/>
          </w:tcPr>
          <w:p>
            <w:pPr>
              <w:jc w:val="right"/>
              <w:ind w:right="127"/>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4,619.1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5,044.9</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1"/>
              <w:spacing w:after="0"/>
              <w:rPr>
                <w:sz w:val="20"/>
                <w:szCs w:val="20"/>
                <w:color w:val="auto"/>
              </w:rPr>
            </w:pPr>
            <w:r>
              <w:rPr>
                <w:rFonts w:ascii="Arial" w:cs="Arial" w:eastAsia="Arial" w:hAnsi="Arial"/>
                <w:sz w:val="16"/>
                <w:szCs w:val="16"/>
                <w:color w:val="auto"/>
              </w:rPr>
              <w:t>-8.4%</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1"/>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services</w:t>
            </w:r>
          </w:p>
        </w:tc>
        <w:tc>
          <w:tcPr>
            <w:tcW w:w="15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3,895.1</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4,240.1</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tcPr>
          <w:p>
            <w:pPr>
              <w:jc w:val="right"/>
              <w:ind w:right="361"/>
              <w:spacing w:after="0"/>
              <w:rPr>
                <w:sz w:val="20"/>
                <w:szCs w:val="20"/>
                <w:color w:val="auto"/>
              </w:rPr>
            </w:pPr>
            <w:r>
              <w:rPr>
                <w:rFonts w:ascii="Arial" w:cs="Arial" w:eastAsia="Arial" w:hAnsi="Arial"/>
                <w:sz w:val="16"/>
                <w:szCs w:val="16"/>
                <w:color w:val="auto"/>
              </w:rPr>
              <w:t>-8.1%</w:t>
            </w: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Gross profit</w:t>
            </w:r>
          </w:p>
        </w:tc>
        <w:tc>
          <w:tcPr>
            <w:tcW w:w="1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724.0</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804.8</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61"/>
              <w:spacing w:after="0"/>
              <w:rPr>
                <w:sz w:val="20"/>
                <w:szCs w:val="20"/>
                <w:color w:val="auto"/>
              </w:rPr>
            </w:pPr>
            <w:r>
              <w:rPr>
                <w:rFonts w:ascii="Arial" w:cs="Arial" w:eastAsia="Arial" w:hAnsi="Arial"/>
                <w:sz w:val="16"/>
                <w:szCs w:val="16"/>
                <w:color w:val="auto"/>
              </w:rPr>
              <w:t>-10.0%</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1"/>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Selling and administrative expenses</w:t>
            </w:r>
          </w:p>
        </w:tc>
        <w:tc>
          <w:tcPr>
            <w:tcW w:w="15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686.3</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699.3</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tcPr>
          <w:p>
            <w:pPr>
              <w:jc w:val="right"/>
              <w:ind w:right="361"/>
              <w:spacing w:after="0"/>
              <w:rPr>
                <w:sz w:val="20"/>
                <w:szCs w:val="20"/>
                <w:color w:val="auto"/>
              </w:rPr>
            </w:pPr>
            <w:r>
              <w:rPr>
                <w:rFonts w:ascii="Arial" w:cs="Arial" w:eastAsia="Arial" w:hAnsi="Arial"/>
                <w:sz w:val="16"/>
                <w:szCs w:val="16"/>
                <w:color w:val="auto"/>
              </w:rPr>
              <w:t>-1.9%</w:t>
            </w: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Operating profit</w:t>
            </w:r>
          </w:p>
        </w:tc>
        <w:tc>
          <w:tcPr>
            <w:tcW w:w="1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61"/>
              <w:spacing w:after="0"/>
              <w:rPr>
                <w:sz w:val="20"/>
                <w:szCs w:val="20"/>
                <w:color w:val="auto"/>
              </w:rPr>
            </w:pPr>
            <w:r>
              <w:rPr>
                <w:rFonts w:ascii="Arial" w:cs="Arial" w:eastAsia="Arial" w:hAnsi="Arial"/>
                <w:sz w:val="16"/>
                <w:szCs w:val="16"/>
                <w:color w:val="auto"/>
              </w:rPr>
              <w:t>-64.2%</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01"/>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and other expenses</w:t>
            </w:r>
          </w:p>
        </w:tc>
        <w:tc>
          <w:tcPr>
            <w:tcW w:w="15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tcPr>
          <w:p>
            <w:pPr>
              <w:jc w:val="right"/>
              <w:ind w:right="361"/>
              <w:spacing w:after="0"/>
              <w:rPr>
                <w:sz w:val="20"/>
                <w:szCs w:val="20"/>
                <w:color w:val="auto"/>
              </w:rPr>
            </w:pPr>
            <w:r>
              <w:rPr>
                <w:rFonts w:ascii="Arial" w:cs="Arial" w:eastAsia="Arial" w:hAnsi="Arial"/>
                <w:sz w:val="16"/>
                <w:szCs w:val="16"/>
                <w:color w:val="auto"/>
              </w:rPr>
              <w:t>73.3%</w:t>
            </w:r>
          </w:p>
        </w:tc>
        <w:tc>
          <w:tcPr>
            <w:tcW w:w="9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Earnings before income taxes</w:t>
            </w:r>
          </w:p>
        </w:tc>
        <w:tc>
          <w:tcPr>
            <w:tcW w:w="1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361"/>
              <w:spacing w:after="0"/>
              <w:rPr>
                <w:sz w:val="20"/>
                <w:szCs w:val="20"/>
                <w:color w:val="auto"/>
              </w:rPr>
            </w:pPr>
            <w:r>
              <w:rPr>
                <w:rFonts w:ascii="Arial" w:cs="Arial" w:eastAsia="Arial" w:hAnsi="Arial"/>
                <w:sz w:val="16"/>
                <w:szCs w:val="16"/>
                <w:color w:val="auto"/>
              </w:rPr>
              <w:t>-81.6%</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01"/>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5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20" w:type="dxa"/>
            <w:vAlign w:val="bottom"/>
            <w:tcBorders>
              <w:bottom w:val="single" w:sz="8" w:color="CFF0FC"/>
            </w:tcBorders>
          </w:tcPr>
          <w:p>
            <w:pPr>
              <w:jc w:val="right"/>
              <w:ind w:right="361"/>
              <w:spacing w:after="0"/>
              <w:rPr>
                <w:sz w:val="20"/>
                <w:szCs w:val="20"/>
                <w:color w:val="auto"/>
              </w:rPr>
            </w:pPr>
            <w:r>
              <w:rPr>
                <w:rFonts w:ascii="Arial" w:cs="Arial" w:eastAsia="Arial" w:hAnsi="Arial"/>
                <w:sz w:val="16"/>
                <w:szCs w:val="16"/>
                <w:color w:val="auto"/>
              </w:rPr>
              <w:t>-61.2%</w:t>
            </w:r>
          </w:p>
        </w:tc>
        <w:tc>
          <w:tcPr>
            <w:tcW w:w="9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earnings</w:t>
            </w:r>
          </w:p>
        </w:tc>
        <w:tc>
          <w:tcPr>
            <w:tcW w:w="15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53.5</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shd w:val="clear" w:color="auto" w:fill="CFF0FC"/>
          </w:tcPr>
          <w:p>
            <w:pPr>
              <w:jc w:val="right"/>
              <w:ind w:right="361"/>
              <w:spacing w:after="0"/>
              <w:rPr>
                <w:sz w:val="20"/>
                <w:szCs w:val="20"/>
                <w:color w:val="auto"/>
              </w:rPr>
            </w:pPr>
            <w:r>
              <w:rPr>
                <w:rFonts w:ascii="Arial" w:cs="Arial" w:eastAsia="Arial" w:hAnsi="Arial"/>
                <w:sz w:val="16"/>
                <w:szCs w:val="16"/>
                <w:color w:val="auto"/>
              </w:rPr>
              <w:t>-96.8%</w:t>
            </w:r>
          </w:p>
        </w:tc>
        <w:tc>
          <w:tcPr>
            <w:tcW w:w="1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6"/>
                <w:szCs w:val="16"/>
                <w:color w:val="auto"/>
              </w:rPr>
              <w:t>Net earnings per share - basic</w:t>
            </w:r>
          </w:p>
        </w:tc>
        <w:tc>
          <w:tcPr>
            <w:tcW w:w="18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vMerge w:val="restart"/>
          </w:tcPr>
          <w:p>
            <w:pPr>
              <w:jc w:val="right"/>
              <w:ind w:right="361"/>
              <w:spacing w:after="0"/>
              <w:rPr>
                <w:sz w:val="20"/>
                <w:szCs w:val="20"/>
                <w:color w:val="auto"/>
              </w:rPr>
            </w:pPr>
            <w:r>
              <w:rPr>
                <w:rFonts w:ascii="Arial" w:cs="Arial" w:eastAsia="Arial" w:hAnsi="Arial"/>
                <w:sz w:val="16"/>
                <w:szCs w:val="16"/>
                <w:color w:val="auto"/>
              </w:rPr>
              <w:t>-96.6%</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tcBorders>
              <w:bottom w:val="single" w:sz="8" w:color="CFF0FC"/>
            </w:tcBorders>
            <w:vMerge w:val="continue"/>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0.03</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0.88</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20" w:type="dxa"/>
            <w:vAlign w:val="bottom"/>
            <w:tcBorders>
              <w:bottom w:val="single" w:sz="8" w:color="CFF0FC"/>
            </w:tcBorders>
            <w:vMerge w:val="continue"/>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2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Net earnings per share - diluted</w:t>
            </w:r>
          </w:p>
        </w:tc>
        <w:tc>
          <w:tcPr>
            <w:tcW w:w="15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0.03</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0.88</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shd w:val="clear" w:color="auto" w:fill="CFF0FC"/>
          </w:tcPr>
          <w:p>
            <w:pPr>
              <w:jc w:val="right"/>
              <w:ind w:right="361"/>
              <w:spacing w:after="0" w:line="175" w:lineRule="exact"/>
              <w:rPr>
                <w:sz w:val="20"/>
                <w:szCs w:val="20"/>
                <w:color w:val="auto"/>
              </w:rPr>
            </w:pPr>
            <w:r>
              <w:rPr>
                <w:rFonts w:ascii="Arial" w:cs="Arial" w:eastAsia="Arial" w:hAnsi="Arial"/>
                <w:sz w:val="16"/>
                <w:szCs w:val="16"/>
                <w:color w:val="auto"/>
              </w:rPr>
              <w:t>-96.6%</w:t>
            </w:r>
          </w:p>
        </w:tc>
        <w:tc>
          <w:tcPr>
            <w:tcW w:w="1120" w:type="dxa"/>
            <w:vAlign w:val="bottom"/>
            <w:tcBorders>
              <w:bottom w:val="single" w:sz="8" w:color="CFF0FC"/>
            </w:tcBorders>
            <w:gridSpan w:val="2"/>
            <w:shd w:val="clear" w:color="auto" w:fill="CFF0FC"/>
          </w:tcPr>
          <w:p>
            <w:pPr>
              <w:jc w:val="right"/>
              <w:ind w:right="20"/>
              <w:spacing w:after="0" w:line="175" w:lineRule="exact"/>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6"/>
                <w:szCs w:val="16"/>
                <w:color w:val="auto"/>
              </w:rPr>
              <w:t>Weighted average shares - basic</w:t>
            </w:r>
          </w:p>
        </w:tc>
        <w:tc>
          <w:tcPr>
            <w:tcW w:w="1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vMerge w:val="restart"/>
          </w:tcPr>
          <w:p>
            <w:pPr>
              <w:jc w:val="right"/>
              <w:ind w:right="361"/>
              <w:spacing w:after="0"/>
              <w:rPr>
                <w:sz w:val="20"/>
                <w:szCs w:val="20"/>
                <w:color w:val="auto"/>
              </w:rPr>
            </w:pPr>
            <w:r>
              <w:rPr>
                <w:rFonts w:ascii="Arial" w:cs="Arial" w:eastAsia="Arial" w:hAnsi="Arial"/>
                <w:sz w:val="16"/>
                <w:szCs w:val="16"/>
                <w:color w:val="auto"/>
              </w:rPr>
              <w:t>-3.8%</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tcBorders>
              <w:bottom w:val="single" w:sz="8" w:color="CFF0FC"/>
            </w:tcBorders>
            <w:vMerge w:val="continue"/>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58.7</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60.6</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520" w:type="dxa"/>
            <w:vAlign w:val="bottom"/>
            <w:tcBorders>
              <w:bottom w:val="single" w:sz="8" w:color="CFF0FC"/>
            </w:tcBorders>
            <w:vMerge w:val="continue"/>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82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Weighted average shares - diluted</w:t>
            </w:r>
          </w:p>
        </w:tc>
        <w:tc>
          <w:tcPr>
            <w:tcW w:w="15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59.0</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61.0</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520" w:type="dxa"/>
            <w:vAlign w:val="bottom"/>
            <w:tcBorders>
              <w:bottom w:val="single" w:sz="8" w:color="CFF0FC"/>
            </w:tcBorders>
            <w:shd w:val="clear" w:color="auto" w:fill="CFF0FC"/>
          </w:tcPr>
          <w:p>
            <w:pPr>
              <w:jc w:val="right"/>
              <w:ind w:right="361"/>
              <w:spacing w:after="0" w:line="175" w:lineRule="exact"/>
              <w:rPr>
                <w:sz w:val="20"/>
                <w:szCs w:val="20"/>
                <w:color w:val="auto"/>
              </w:rPr>
            </w:pPr>
            <w:r>
              <w:rPr>
                <w:rFonts w:ascii="Arial" w:cs="Arial" w:eastAsia="Arial" w:hAnsi="Arial"/>
                <w:sz w:val="16"/>
                <w:szCs w:val="16"/>
                <w:color w:val="auto"/>
              </w:rPr>
              <w:t>-3.2%</w:t>
            </w:r>
          </w:p>
        </w:tc>
        <w:tc>
          <w:tcPr>
            <w:tcW w:w="9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left="525" w:right="20" w:hanging="525"/>
        <w:spacing w:after="0" w:line="257" w:lineRule="auto"/>
        <w:tabs>
          <w:tab w:leader="none" w:pos="52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$3.3 million and $5.6 million for the three months ended March 31, 2020 and 2019, respectively. These fees are primarily based on revenues generated by the franchise offices, which were $82.3 million and $243.0 million for the three months ended March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293370</wp:posOffset>
            </wp:positionV>
            <wp:extent cx="716407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15240"/>
                    </a:xfrm>
                    <a:prstGeom prst="rect">
                      <a:avLst/>
                    </a:prstGeom>
                    <a:noFill/>
                  </pic:spPr>
                </pic:pic>
              </a:graphicData>
            </a:graphic>
          </wp:anchor>
        </w:drawing>
      </w:r>
    </w:p>
    <w:p>
      <w:pPr>
        <w:sectPr>
          <w:pgSz w:w="11900" w:h="16838" w:orient="portrait"/>
          <w:cols w:equalWidth="0" w:num="1">
            <w:col w:w="11265"/>
          </w:cols>
          <w:pgMar w:left="315" w:top="316" w:right="319" w:bottom="1440" w:gutter="0" w:footer="0" w:header="0"/>
        </w:sectPr>
      </w:pPr>
    </w:p>
    <w:bookmarkStart w:id="6" w:name="page7"/>
    <w:bookmarkEnd w:id="6"/>
    <w:p>
      <w:pPr>
        <w:ind w:left="5085"/>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905"/>
        <w:spacing w:after="0"/>
        <w:rPr>
          <w:sz w:val="20"/>
          <w:szCs w:val="20"/>
          <w:color w:val="auto"/>
        </w:rPr>
      </w:pPr>
      <w:r>
        <w:rPr>
          <w:rFonts w:ascii="Arial" w:cs="Arial" w:eastAsia="Arial" w:hAnsi="Arial"/>
          <w:sz w:val="16"/>
          <w:szCs w:val="16"/>
          <w:color w:val="auto"/>
        </w:rPr>
        <w:t>Operating Unit Results</w:t>
      </w:r>
    </w:p>
    <w:p>
      <w:pPr>
        <w:spacing w:after="0" w:line="29" w:lineRule="exact"/>
        <w:rPr>
          <w:sz w:val="20"/>
          <w:szCs w:val="20"/>
          <w:color w:val="auto"/>
        </w:rPr>
      </w:pPr>
    </w:p>
    <w:p>
      <w:pPr>
        <w:jc w:val="center"/>
        <w:ind w:right="15"/>
        <w:spacing w:after="0"/>
        <w:rPr>
          <w:sz w:val="20"/>
          <w:szCs w:val="20"/>
          <w:color w:val="auto"/>
        </w:rPr>
      </w:pPr>
      <w:r>
        <w:rPr>
          <w:rFonts w:ascii="Arial" w:cs="Arial" w:eastAsia="Arial" w:hAnsi="Arial"/>
          <w:sz w:val="16"/>
          <w:szCs w:val="16"/>
          <w:color w:val="auto"/>
        </w:rPr>
        <w:t>(In millions)</w:t>
      </w:r>
    </w:p>
    <w:p>
      <w:pPr>
        <w:spacing w:after="0" w:line="250"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3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center"/>
              <w:ind w:right="621"/>
              <w:spacing w:after="0"/>
              <w:rPr>
                <w:sz w:val="20"/>
                <w:szCs w:val="20"/>
                <w:color w:val="auto"/>
              </w:rPr>
            </w:pPr>
            <w:r>
              <w:rPr>
                <w:rFonts w:ascii="Arial" w:cs="Arial" w:eastAsia="Arial" w:hAnsi="Arial"/>
                <w:sz w:val="16"/>
                <w:szCs w:val="16"/>
                <w:b w:val="1"/>
                <w:bCs w:val="1"/>
                <w:color w:val="auto"/>
                <w:w w:val="91"/>
              </w:rPr>
              <w:t>Three Months Ended March 31</w:t>
            </w:r>
          </w:p>
        </w:tc>
        <w:tc>
          <w:tcPr>
            <w:tcW w:w="9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Variance</w:t>
            </w:r>
          </w:p>
        </w:tc>
        <w:tc>
          <w:tcPr>
            <w:tcW w:w="9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821"/>
              <w:spacing w:after="0"/>
              <w:rPr>
                <w:sz w:val="20"/>
                <w:szCs w:val="20"/>
                <w:color w:val="auto"/>
              </w:rPr>
            </w:pPr>
            <w:r>
              <w:rPr>
                <w:rFonts w:ascii="Arial" w:cs="Arial" w:eastAsia="Arial" w:hAnsi="Arial"/>
                <w:sz w:val="16"/>
                <w:szCs w:val="16"/>
                <w:b w:val="1"/>
                <w:bCs w:val="1"/>
                <w:color w:val="auto"/>
                <w:w w:val="95"/>
              </w:rPr>
              <w:t>Amount</w:t>
            </w:r>
          </w:p>
        </w:tc>
        <w:tc>
          <w:tcPr>
            <w:tcW w:w="980" w:type="dxa"/>
            <w:vAlign w:val="bottom"/>
          </w:tcPr>
          <w:p>
            <w:pPr>
              <w:jc w:val="right"/>
              <w:ind w:right="241"/>
              <w:spacing w:after="0"/>
              <w:rPr>
                <w:sz w:val="20"/>
                <w:szCs w:val="20"/>
                <w:color w:val="auto"/>
              </w:rPr>
            </w:pPr>
            <w:r>
              <w:rPr>
                <w:rFonts w:ascii="Arial" w:cs="Arial" w:eastAsia="Arial" w:hAnsi="Arial"/>
                <w:sz w:val="16"/>
                <w:szCs w:val="16"/>
                <w:b w:val="1"/>
                <w:bCs w:val="1"/>
                <w:color w:val="auto"/>
                <w:w w:val="92"/>
              </w:rPr>
              <w:t>Constant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81"/>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781"/>
              <w:spacing w:after="0"/>
              <w:rPr>
                <w:sz w:val="20"/>
                <w:szCs w:val="20"/>
                <w:color w:val="auto"/>
              </w:rPr>
            </w:pPr>
            <w:r>
              <w:rPr>
                <w:rFonts w:ascii="Arial" w:cs="Arial" w:eastAsia="Arial" w:hAnsi="Arial"/>
                <w:sz w:val="16"/>
                <w:szCs w:val="16"/>
                <w:b w:val="1"/>
                <w:bCs w:val="1"/>
                <w:color w:val="auto"/>
                <w:w w:val="88"/>
              </w:rPr>
              <w:t>Reported</w:t>
            </w: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3"/>
              </w:rPr>
              <w:t>Currency</w:t>
            </w:r>
          </w:p>
        </w:tc>
        <w:tc>
          <w:tcPr>
            <w:tcW w:w="0" w:type="dxa"/>
            <w:vAlign w:val="bottom"/>
          </w:tcPr>
          <w:p>
            <w:pPr>
              <w:spacing w:after="0"/>
              <w:rPr>
                <w:sz w:val="1"/>
                <w:szCs w:val="1"/>
                <w:color w:val="auto"/>
              </w:rPr>
            </w:pPr>
          </w:p>
        </w:tc>
      </w:tr>
      <w:tr>
        <w:trPr>
          <w:trHeight w:val="193"/>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center"/>
              <w:ind w:left="721"/>
              <w:spacing w:after="0"/>
              <w:rPr>
                <w:sz w:val="20"/>
                <w:szCs w:val="20"/>
                <w:color w:val="auto"/>
              </w:rPr>
            </w:pPr>
            <w:r>
              <w:rPr>
                <w:rFonts w:ascii="Arial" w:cs="Arial" w:eastAsia="Arial" w:hAnsi="Arial"/>
                <w:sz w:val="16"/>
                <w:szCs w:val="16"/>
                <w:color w:val="auto"/>
                <w:w w:val="90"/>
              </w:rPr>
              <w:t>(Unaudited)</w:t>
            </w:r>
          </w:p>
        </w:tc>
        <w:tc>
          <w:tcPr>
            <w:tcW w:w="15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ind w:left="220"/>
              <w:spacing w:after="0"/>
              <w:rPr>
                <w:sz w:val="20"/>
                <w:szCs w:val="20"/>
                <w:color w:val="auto"/>
              </w:rPr>
            </w:pPr>
            <w:r>
              <w:rPr>
                <w:rFonts w:ascii="Arial" w:cs="Arial" w:eastAsia="Arial" w:hAnsi="Arial"/>
                <w:sz w:val="16"/>
                <w:szCs w:val="16"/>
                <w:color w:val="auto"/>
              </w:rPr>
              <w:t>Americas:</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United States (a)</w:t>
            </w:r>
          </w:p>
        </w:tc>
        <w:tc>
          <w:tcPr>
            <w:tcW w:w="178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610.9</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-2.0%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1"/>
        </w:trPr>
        <w:tc>
          <w:tcPr>
            <w:tcW w:w="38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Other Americas</w:t>
            </w:r>
          </w:p>
        </w:tc>
        <w:tc>
          <w:tcPr>
            <w:tcW w:w="15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w:t>
            </w:r>
          </w:p>
        </w:tc>
        <w:tc>
          <w:tcPr>
            <w:tcW w:w="2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407.0</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-1.7%</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3"/>
        </w:trPr>
        <w:tc>
          <w:tcPr>
            <w:tcW w:w="38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1,011.0</w:t>
            </w:r>
          </w:p>
        </w:tc>
        <w:tc>
          <w:tcPr>
            <w:tcW w:w="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1,030.2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-1.9%</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2"/>
        </w:trPr>
        <w:tc>
          <w:tcPr>
            <w:tcW w:w="3860" w:type="dxa"/>
            <w:vAlign w:val="bottom"/>
          </w:tcPr>
          <w:p>
            <w:pPr>
              <w:ind w:left="220"/>
              <w:spacing w:after="0"/>
              <w:rPr>
                <w:sz w:val="20"/>
                <w:szCs w:val="20"/>
                <w:color w:val="auto"/>
              </w:rPr>
            </w:pPr>
            <w:r>
              <w:rPr>
                <w:rFonts w:ascii="Arial" w:cs="Arial" w:eastAsia="Arial" w:hAnsi="Arial"/>
                <w:sz w:val="16"/>
                <w:szCs w:val="16"/>
                <w:color w:val="auto"/>
              </w:rPr>
              <w:t>Southern Europe:</w:t>
            </w: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France</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1,306.1</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-16.2%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1"/>
        </w:trPr>
        <w:tc>
          <w:tcPr>
            <w:tcW w:w="3860" w:type="dxa"/>
            <w:vAlign w:val="bottom"/>
          </w:tcPr>
          <w:p>
            <w:pPr>
              <w:ind w:left="420"/>
              <w:spacing w:after="0"/>
              <w:rPr>
                <w:sz w:val="20"/>
                <w:szCs w:val="20"/>
                <w:color w:val="auto"/>
              </w:rPr>
            </w:pPr>
            <w:r>
              <w:rPr>
                <w:rFonts w:ascii="Arial" w:cs="Arial" w:eastAsia="Arial" w:hAnsi="Arial"/>
                <w:sz w:val="16"/>
                <w:szCs w:val="16"/>
                <w:color w:val="auto"/>
              </w:rPr>
              <w:t>Italy</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327.7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356.4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-8.0%</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Southern Europe</w:t>
            </w:r>
          </w:p>
        </w:tc>
        <w:tc>
          <w:tcPr>
            <w:tcW w:w="15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523.2</w:t>
            </w:r>
          </w:p>
        </w:tc>
        <w:tc>
          <w:tcPr>
            <w:tcW w:w="2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17.2%</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93"/>
        </w:trPr>
        <w:tc>
          <w:tcPr>
            <w:tcW w:w="3860" w:type="dxa"/>
            <w:vAlign w:val="bottom"/>
            <w:tcBorders>
              <w:bottom w:val="single" w:sz="8" w:color="CFF0FC"/>
            </w:tcBorders>
          </w:tcPr>
          <w:p>
            <w:pPr>
              <w:spacing w:after="0"/>
              <w:rPr>
                <w:sz w:val="16"/>
                <w:szCs w:val="16"/>
                <w:color w:val="auto"/>
              </w:rPr>
            </w:pPr>
          </w:p>
        </w:tc>
        <w:tc>
          <w:tcPr>
            <w:tcW w:w="15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1,944.7</w:t>
            </w:r>
          </w:p>
        </w:tc>
        <w:tc>
          <w:tcPr>
            <w:tcW w:w="2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2,108.8</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-7.8%</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3"/>
        </w:trPr>
        <w:tc>
          <w:tcPr>
            <w:tcW w:w="3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Northern Europe</w:t>
            </w: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1,068.5</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1,200.5</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-11.0%</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1"/>
        </w:trPr>
        <w:tc>
          <w:tcPr>
            <w:tcW w:w="386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APME</w:t>
            </w:r>
          </w:p>
        </w:tc>
        <w:tc>
          <w:tcPr>
            <w:tcW w:w="15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594.9</w:t>
            </w:r>
          </w:p>
        </w:tc>
        <w:tc>
          <w:tcPr>
            <w:tcW w:w="2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705.4</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-15.7%</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93"/>
        </w:trPr>
        <w:tc>
          <w:tcPr>
            <w:tcW w:w="386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4,619.1</w:t>
            </w:r>
          </w:p>
        </w:tc>
        <w:tc>
          <w:tcPr>
            <w:tcW w:w="2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5,044.9</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jc w:val="right"/>
              <w:ind w:right="341"/>
              <w:spacing w:after="0"/>
              <w:rPr>
                <w:sz w:val="20"/>
                <w:szCs w:val="20"/>
                <w:color w:val="auto"/>
              </w:rPr>
            </w:pPr>
            <w:r>
              <w:rPr>
                <w:rFonts w:ascii="Arial" w:cs="Arial" w:eastAsia="Arial" w:hAnsi="Arial"/>
                <w:sz w:val="16"/>
                <w:szCs w:val="16"/>
                <w:color w:val="auto"/>
              </w:rPr>
              <w:t>-8.4%</w:t>
            </w:r>
          </w:p>
        </w:tc>
        <w:tc>
          <w:tcPr>
            <w:tcW w:w="11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Operating Unit Profit:</w:t>
            </w: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6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Americas:</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ind w:left="420"/>
              <w:spacing w:after="0"/>
              <w:rPr>
                <w:sz w:val="20"/>
                <w:szCs w:val="20"/>
                <w:color w:val="auto"/>
              </w:rPr>
            </w:pPr>
            <w:r>
              <w:rPr>
                <w:rFonts w:ascii="Arial" w:cs="Arial" w:eastAsia="Arial" w:hAnsi="Arial"/>
                <w:sz w:val="16"/>
                <w:szCs w:val="16"/>
                <w:color w:val="auto"/>
              </w:rPr>
              <w:t>United States</w:t>
            </w:r>
          </w:p>
        </w:tc>
        <w:tc>
          <w:tcPr>
            <w:tcW w:w="178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-86.1%</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Americas</w:t>
            </w:r>
          </w:p>
        </w:tc>
        <w:tc>
          <w:tcPr>
            <w:tcW w:w="15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-5.9%</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3"/>
        </w:trPr>
        <w:tc>
          <w:tcPr>
            <w:tcW w:w="3860" w:type="dxa"/>
            <w:vAlign w:val="bottom"/>
            <w:tcBorders>
              <w:bottom w:val="single" w:sz="8" w:color="CFF0FC"/>
            </w:tcBorders>
          </w:tcPr>
          <w:p>
            <w:pPr>
              <w:spacing w:after="0"/>
              <w:rPr>
                <w:sz w:val="16"/>
                <w:szCs w:val="16"/>
                <w:color w:val="auto"/>
              </w:rPr>
            </w:pPr>
          </w:p>
        </w:tc>
        <w:tc>
          <w:tcPr>
            <w:tcW w:w="15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2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CFF0FC"/>
            </w:tcBorders>
          </w:tcPr>
          <w:p>
            <w:pPr>
              <w:spacing w:after="0"/>
              <w:rPr>
                <w:sz w:val="16"/>
                <w:szCs w:val="16"/>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-47.8%</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193"/>
        </w:trPr>
        <w:tc>
          <w:tcPr>
            <w:tcW w:w="3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Southern Europe:</w:t>
            </w: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60" w:type="dxa"/>
            <w:vAlign w:val="bottom"/>
          </w:tcPr>
          <w:p>
            <w:pPr>
              <w:ind w:left="420"/>
              <w:spacing w:after="0"/>
              <w:rPr>
                <w:sz w:val="20"/>
                <w:szCs w:val="20"/>
                <w:color w:val="auto"/>
              </w:rPr>
            </w:pPr>
            <w:r>
              <w:rPr>
                <w:rFonts w:ascii="Arial" w:cs="Arial" w:eastAsia="Arial" w:hAnsi="Arial"/>
                <w:sz w:val="16"/>
                <w:szCs w:val="16"/>
                <w:color w:val="auto"/>
              </w:rPr>
              <w:t>France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-31.3%</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Italy</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-30.4%</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1"/>
        </w:trPr>
        <w:tc>
          <w:tcPr>
            <w:tcW w:w="38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Other Southern Europe</w:t>
            </w:r>
          </w:p>
        </w:tc>
        <w:tc>
          <w:tcPr>
            <w:tcW w:w="15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500" w:type="dxa"/>
            <w:vAlign w:val="bottom"/>
            <w:tcBorders>
              <w:bottom w:val="single" w:sz="8" w:color="CFF0FC"/>
            </w:tcBorders>
          </w:tcPr>
          <w:p>
            <w:pPr>
              <w:jc w:val="right"/>
              <w:ind w:right="341"/>
              <w:spacing w:after="0"/>
              <w:rPr>
                <w:sz w:val="20"/>
                <w:szCs w:val="20"/>
                <w:color w:val="auto"/>
              </w:rPr>
            </w:pPr>
            <w:r>
              <w:rPr>
                <w:rFonts w:ascii="Arial" w:cs="Arial" w:eastAsia="Arial" w:hAnsi="Arial"/>
                <w:sz w:val="16"/>
                <w:szCs w:val="16"/>
                <w:color w:val="auto"/>
              </w:rPr>
              <w:t>-91.9%</w:t>
            </w:r>
          </w:p>
        </w:tc>
        <w:tc>
          <w:tcPr>
            <w:tcW w:w="114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193"/>
        </w:trPr>
        <w:tc>
          <w:tcPr>
            <w:tcW w:w="38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53.0</w:t>
            </w:r>
          </w:p>
        </w:tc>
        <w:tc>
          <w:tcPr>
            <w:tcW w:w="2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86.6</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-38.8%</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93"/>
        </w:trPr>
        <w:tc>
          <w:tcPr>
            <w:tcW w:w="3860" w:type="dxa"/>
            <w:vAlign w:val="bottom"/>
          </w:tcPr>
          <w:p>
            <w:pPr>
              <w:ind w:left="220"/>
              <w:spacing w:after="0"/>
              <w:rPr>
                <w:sz w:val="20"/>
                <w:szCs w:val="20"/>
                <w:color w:val="auto"/>
              </w:rPr>
            </w:pPr>
            <w:r>
              <w:rPr>
                <w:rFonts w:ascii="Arial" w:cs="Arial" w:eastAsia="Arial" w:hAnsi="Arial"/>
                <w:sz w:val="16"/>
                <w:szCs w:val="16"/>
                <w:color w:val="auto"/>
              </w:rPr>
              <w:t>Northern Europe</w:t>
            </w: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481"/>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APME</w:t>
            </w:r>
          </w:p>
        </w:tc>
        <w:tc>
          <w:tcPr>
            <w:tcW w:w="15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41"/>
              <w:spacing w:after="0"/>
              <w:rPr>
                <w:sz w:val="20"/>
                <w:szCs w:val="20"/>
                <w:color w:val="auto"/>
              </w:rPr>
            </w:pPr>
            <w:r>
              <w:rPr>
                <w:rFonts w:ascii="Arial" w:cs="Arial" w:eastAsia="Arial" w:hAnsi="Arial"/>
                <w:sz w:val="16"/>
                <w:szCs w:val="16"/>
                <w:color w:val="auto"/>
              </w:rPr>
              <w:t>-17.7%</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193"/>
        </w:trPr>
        <w:tc>
          <w:tcPr>
            <w:tcW w:w="38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72.4</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140.9</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Corporate expenses</w:t>
            </w: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(27.8)</w:t>
            </w:r>
          </w:p>
        </w:tc>
        <w:tc>
          <w:tcPr>
            <w:tcW w:w="2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(27.9)</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6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Operating profit</w:t>
            </w:r>
          </w:p>
        </w:tc>
        <w:tc>
          <w:tcPr>
            <w:tcW w:w="15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2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105.5</w:t>
            </w:r>
          </w:p>
        </w:tc>
        <w:tc>
          <w:tcPr>
            <w:tcW w:w="26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1500" w:type="dxa"/>
            <w:vAlign w:val="bottom"/>
            <w:tcBorders>
              <w:top w:val="single" w:sz="8" w:color="CFF0FC"/>
            </w:tcBorders>
            <w:shd w:val="clear" w:color="auto" w:fill="CFF0FC"/>
          </w:tcPr>
          <w:p>
            <w:pPr>
              <w:jc w:val="right"/>
              <w:ind w:right="341"/>
              <w:spacing w:after="0"/>
              <w:rPr>
                <w:sz w:val="20"/>
                <w:szCs w:val="20"/>
                <w:color w:val="auto"/>
              </w:rPr>
            </w:pPr>
            <w:r>
              <w:rPr>
                <w:rFonts w:ascii="Arial" w:cs="Arial" w:eastAsia="Arial" w:hAnsi="Arial"/>
                <w:sz w:val="16"/>
                <w:szCs w:val="16"/>
                <w:color w:val="auto"/>
              </w:rPr>
              <w:t>-64.2%</w:t>
            </w:r>
          </w:p>
        </w:tc>
        <w:tc>
          <w:tcPr>
            <w:tcW w:w="11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01"/>
        </w:trPr>
        <w:tc>
          <w:tcPr>
            <w:tcW w:w="386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(20.5)</w:t>
            </w:r>
          </w:p>
        </w:tc>
        <w:tc>
          <w:tcPr>
            <w:tcW w:w="2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(11.9)</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Earnings before income taxes</w:t>
            </w:r>
          </w:p>
        </w:tc>
        <w:tc>
          <w:tcPr>
            <w:tcW w:w="152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93.6</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CFF0FC"/>
              <w:bottom w:val="single" w:sz="8" w:color="CFF0FC"/>
            </w:tcBorders>
            <w:shd w:val="clear" w:color="auto" w:fill="CFF0FC"/>
          </w:tcPr>
          <w:p>
            <w:pPr>
              <w:spacing w:after="0"/>
              <w:rPr>
                <w:sz w:val="16"/>
                <w:szCs w:val="16"/>
                <w:color w:val="auto"/>
              </w:rPr>
            </w:pPr>
          </w:p>
        </w:tc>
        <w:tc>
          <w:tcPr>
            <w:tcW w:w="1500" w:type="dxa"/>
            <w:vAlign w:val="bottom"/>
            <w:tcBorders>
              <w:top w:val="single" w:sz="8" w:color="CFF0FC"/>
              <w:bottom w:val="single" w:sz="8" w:color="CFF0FC"/>
            </w:tcBorders>
            <w:shd w:val="clear" w:color="auto" w:fill="CFF0FC"/>
          </w:tcPr>
          <w:p>
            <w:pPr>
              <w:spacing w:after="0"/>
              <w:rPr>
                <w:sz w:val="16"/>
                <w:szCs w:val="16"/>
                <w:color w:val="auto"/>
              </w:rPr>
            </w:pPr>
          </w:p>
        </w:tc>
        <w:tc>
          <w:tcPr>
            <w:tcW w:w="98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jc w:val="both"/>
        <w:ind w:left="525" w:right="100" w:hanging="525"/>
        <w:spacing w:after="0" w:line="257" w:lineRule="auto"/>
        <w:tabs>
          <w:tab w:leader="none" w:pos="52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$3.0 million and $3.6 million for the three months ended March 31, 2020 and 2019, respectively. These fees are primarily based on revenues generated by the franchise offices, which were $76.5 million and $156.9 million for the three months ended March 31, 2020 and 2019, respectively.</w:t>
      </w:r>
    </w:p>
    <w:p>
      <w:pPr>
        <w:spacing w:after="0" w:line="47" w:lineRule="exact"/>
        <w:rPr>
          <w:rFonts w:ascii="Arial" w:cs="Arial" w:eastAsia="Arial" w:hAnsi="Arial"/>
          <w:sz w:val="16"/>
          <w:szCs w:val="16"/>
          <w:color w:val="auto"/>
        </w:rPr>
      </w:pPr>
    </w:p>
    <w:p>
      <w:pPr>
        <w:ind w:left="525" w:hanging="525"/>
        <w:spacing w:after="0"/>
        <w:tabs>
          <w:tab w:leader="none" w:pos="52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5"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7740" w:type="dxa"/>
            <w:vAlign w:val="bottom"/>
            <w:tcBorders>
              <w:bottom w:val="single" w:sz="8" w:color="CFF0FC"/>
            </w:tcBorders>
          </w:tcPr>
          <w:p>
            <w:pPr>
              <w:spacing w:after="0"/>
              <w:rPr>
                <w:sz w:val="17"/>
                <w:szCs w:val="17"/>
                <w:color w:val="auto"/>
              </w:rPr>
            </w:pPr>
          </w:p>
        </w:tc>
        <w:tc>
          <w:tcPr>
            <w:tcW w:w="110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Interest income</w:t>
            </w:r>
          </w:p>
        </w:tc>
        <w:tc>
          <w:tcPr>
            <w:tcW w:w="1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7"/>
                <w:szCs w:val="17"/>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loss</w:t>
            </w:r>
          </w:p>
        </w:tc>
        <w:tc>
          <w:tcPr>
            <w:tcW w:w="1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Miscellaneous expense</w:t>
            </w:r>
          </w:p>
        </w:tc>
        <w:tc>
          <w:tcPr>
            <w:tcW w:w="1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774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7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1"/>
        </w:trPr>
        <w:tc>
          <w:tcPr>
            <w:tcW w:w="7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7157085</wp:posOffset>
            </wp:positionH>
            <wp:positionV relativeFrom="paragraph">
              <wp:posOffset>-6985</wp:posOffset>
            </wp:positionV>
            <wp:extent cx="76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762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5"/>
          </w:cols>
          <w:pgMar w:left="315" w:top="316" w:right="299" w:bottom="1440" w:gutter="0" w:footer="0" w:header="0"/>
        </w:sectPr>
      </w:pPr>
    </w:p>
    <w:bookmarkStart w:id="7" w:name="page8"/>
    <w:bookmarkEnd w:id="7"/>
    <w:p>
      <w:pPr>
        <w:ind w:left="5080"/>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Consolidated Balance Sheets</w:t>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1020" w:type="dxa"/>
            <w:vAlign w:val="bottom"/>
          </w:tcPr>
          <w:p>
            <w:pPr>
              <w:jc w:val="center"/>
              <w:ind w:left="425"/>
              <w:spacing w:after="0"/>
              <w:rPr>
                <w:sz w:val="20"/>
                <w:szCs w:val="20"/>
                <w:color w:val="auto"/>
              </w:rPr>
            </w:pPr>
            <w:r>
              <w:rPr>
                <w:rFonts w:ascii="Arial" w:cs="Arial" w:eastAsia="Arial" w:hAnsi="Arial"/>
                <w:sz w:val="16"/>
                <w:szCs w:val="16"/>
                <w:b w:val="1"/>
                <w:bCs w:val="1"/>
                <w:color w:val="auto"/>
                <w:w w:val="94"/>
              </w:rPr>
              <w:t>Mar.31</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89"/>
              </w:rPr>
              <w:t>Dec.31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40" w:type="dxa"/>
            <w:vAlign w:val="bottom"/>
          </w:tcPr>
          <w:p>
            <w:pPr>
              <w:spacing w:after="0"/>
              <w:rPr>
                <w:sz w:val="17"/>
                <w:szCs w:val="17"/>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gridSpan w:val="4"/>
          </w:tcPr>
          <w:p>
            <w:pPr>
              <w:jc w:val="right"/>
              <w:ind w:right="89"/>
              <w:spacing w:after="0"/>
              <w:rPr>
                <w:sz w:val="20"/>
                <w:szCs w:val="20"/>
                <w:color w:val="auto"/>
              </w:rPr>
            </w:pPr>
            <w:r>
              <w:rPr>
                <w:rFonts w:ascii="Arial" w:cs="Arial" w:eastAsia="Arial" w:hAnsi="Arial"/>
                <w:sz w:val="16"/>
                <w:szCs w:val="16"/>
                <w:color w:val="auto"/>
              </w:rPr>
              <w:t>(Unaudited)</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spacing w:after="0"/>
              <w:rPr>
                <w:sz w:val="20"/>
                <w:szCs w:val="20"/>
                <w:color w:val="auto"/>
              </w:rPr>
            </w:pPr>
            <w:r>
              <w:rPr>
                <w:rFonts w:ascii="Arial" w:cs="Arial" w:eastAsia="Arial" w:hAnsi="Arial"/>
                <w:sz w:val="16"/>
                <w:szCs w:val="16"/>
                <w:color w:val="auto"/>
              </w:rPr>
              <w:t>Current assets:</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1,099.5</w:t>
            </w:r>
          </w:p>
        </w:tc>
        <w:tc>
          <w:tcPr>
            <w:tcW w:w="2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49"/>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1,025.8</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4,748.5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5,273.1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expenses and other assets</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211.1</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740" w:type="dxa"/>
            <w:vAlign w:val="bottom"/>
          </w:tcPr>
          <w:p>
            <w:pPr>
              <w:ind w:left="420"/>
              <w:spacing w:after="0"/>
              <w:rPr>
                <w:sz w:val="20"/>
                <w:szCs w:val="20"/>
                <w:color w:val="auto"/>
              </w:rPr>
            </w:pPr>
            <w:r>
              <w:rPr>
                <w:rFonts w:ascii="Arial" w:cs="Arial" w:eastAsia="Arial" w:hAnsi="Arial"/>
                <w:sz w:val="16"/>
                <w:szCs w:val="16"/>
                <w:color w:val="auto"/>
              </w:rPr>
              <w:t>Total current assets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6,059.1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6,484.5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assets: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1,233.1</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Intangible assets, net</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Operating lease right-of-use asset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415.7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448.5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assets</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570.4</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618.8</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740" w:type="dxa"/>
            <w:vAlign w:val="bottom"/>
          </w:tcPr>
          <w:p>
            <w:pPr>
              <w:ind w:left="420"/>
              <w:spacing w:after="0"/>
              <w:rPr>
                <w:sz w:val="20"/>
                <w:szCs w:val="20"/>
                <w:color w:val="auto"/>
              </w:rPr>
            </w:pPr>
            <w:r>
              <w:rPr>
                <w:rFonts w:ascii="Arial" w:cs="Arial" w:eastAsia="Arial" w:hAnsi="Arial"/>
                <w:sz w:val="16"/>
                <w:szCs w:val="16"/>
                <w:color w:val="auto"/>
              </w:rPr>
              <w:t>Total other assets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2,479.4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2,596.0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Property and equipment:</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Land, buildings, leasehold improvements and equipment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584.5</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605.5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Less: accumulated depreciation and amortization</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446.1</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462.2</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Net property and equipment</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assets</w:t>
            </w: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8,676.9</w:t>
            </w:r>
          </w:p>
        </w:tc>
        <w:tc>
          <w:tcPr>
            <w:tcW w:w="28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9,223.8</w:t>
            </w: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2,300.0</w:t>
            </w:r>
          </w:p>
        </w:tc>
        <w:tc>
          <w:tcPr>
            <w:tcW w:w="280" w:type="dxa"/>
            <w:vAlign w:val="bottom"/>
          </w:tcPr>
          <w:p>
            <w:pPr>
              <w:spacing w:after="0"/>
              <w:rPr>
                <w:sz w:val="17"/>
                <w:szCs w:val="17"/>
                <w:color w:val="auto"/>
              </w:rPr>
            </w:pPr>
          </w:p>
        </w:tc>
        <w:tc>
          <w:tcPr>
            <w:tcW w:w="380" w:type="dxa"/>
            <w:vAlign w:val="bottom"/>
            <w:gridSpan w:val="2"/>
          </w:tcPr>
          <w:p>
            <w:pPr>
              <w:jc w:val="right"/>
              <w:ind w:right="249"/>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2,474.9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Employee compensation payable</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168.2</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206.4</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531.2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545.4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Accrued payroll taxes and insurance</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582.0</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Value added taxes payable</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446.3</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504.0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Short-term borrowings and current maturities of long-term debt</w:t>
            </w: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74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4,075.5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4,441.4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liabilities:</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995.6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Long-term operating lease liability</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316.7</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336.7</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650.1</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671.8</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other liabilities</w:t>
            </w:r>
          </w:p>
        </w:tc>
        <w:tc>
          <w:tcPr>
            <w:tcW w:w="10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1,962.4</w:t>
            </w: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2,020.9</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ManpowerGroup shareholders' equity</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Capital in excess of par value</w:t>
            </w: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3,381.1</w:t>
            </w: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3,370.6</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3,495.8</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3,494.1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Accumulated other comprehensive loss</w:t>
            </w:r>
          </w:p>
        </w:tc>
        <w:tc>
          <w:tcPr>
            <w:tcW w:w="10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(505.8)</w:t>
            </w: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tcPr>
          <w:p>
            <w:pPr>
              <w:ind w:left="220"/>
              <w:spacing w:after="0"/>
              <w:rPr>
                <w:sz w:val="20"/>
                <w:szCs w:val="20"/>
                <w:color w:val="auto"/>
              </w:rPr>
            </w:pPr>
            <w:r>
              <w:rPr>
                <w:rFonts w:ascii="Arial" w:cs="Arial" w:eastAsia="Arial" w:hAnsi="Arial"/>
                <w:sz w:val="16"/>
                <w:szCs w:val="16"/>
                <w:color w:val="auto"/>
              </w:rPr>
              <w:t>Treasury stock, at cost</w:t>
            </w:r>
          </w:p>
        </w:tc>
        <w:tc>
          <w:tcPr>
            <w:tcW w:w="10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(3,752.1)</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(3,681.9)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ManpowerGroup shareholders' equity</w:t>
            </w:r>
          </w:p>
        </w:tc>
        <w:tc>
          <w:tcPr>
            <w:tcW w:w="1020" w:type="dxa"/>
            <w:vAlign w:val="bottom"/>
            <w:tcBorders>
              <w:top w:val="single" w:sz="8" w:color="auto"/>
              <w:bottom w:val="single" w:sz="8" w:color="auto"/>
            </w:tcBorders>
            <w:shd w:val="clear" w:color="auto" w:fill="CFF0FC"/>
          </w:tcPr>
          <w:p>
            <w:pPr>
              <w:spacing w:after="0"/>
              <w:rPr>
                <w:sz w:val="16"/>
                <w:szCs w:val="16"/>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2,620.2</w:t>
            </w:r>
          </w:p>
        </w:tc>
        <w:tc>
          <w:tcPr>
            <w:tcW w:w="2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2,743.0</w:t>
            </w: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Noncontrolling interests</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shareholders' equity</w:t>
            </w:r>
          </w:p>
        </w:tc>
        <w:tc>
          <w:tcPr>
            <w:tcW w:w="10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2,639.0</w:t>
            </w: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2,761.5</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740" w:type="dxa"/>
            <w:vAlign w:val="bottom"/>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8,676.9</w:t>
            </w:r>
          </w:p>
        </w:tc>
        <w:tc>
          <w:tcPr>
            <w:tcW w:w="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9,223.8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-6985</wp:posOffset>
            </wp:positionV>
            <wp:extent cx="76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80"/>
          </w:cols>
          <w:pgMar w:left="320" w:top="316" w:right="299" w:bottom="1440" w:gutter="0" w:footer="0" w:header="0"/>
        </w:sectPr>
      </w:pPr>
    </w:p>
    <w:bookmarkStart w:id="8" w:name="page9"/>
    <w:bookmarkEnd w:id="8"/>
    <w:p>
      <w:pPr>
        <w:ind w:left="5080"/>
        <w:spacing w:after="0"/>
        <w:rPr>
          <w:sz w:val="20"/>
          <w:szCs w:val="20"/>
          <w:color w:val="auto"/>
        </w:rPr>
      </w:pPr>
      <w:r>
        <w:rPr>
          <w:rFonts w:ascii="Arial" w:cs="Arial" w:eastAsia="Arial" w:hAnsi="Arial"/>
          <w:sz w:val="16"/>
          <w:szCs w:val="16"/>
          <w:color w:val="auto"/>
        </w:rPr>
        <w:t>ManpowerGroup</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Three Months Ended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5"/>
              </w:rPr>
              <w:t>March 31</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77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6"/>
                <w:szCs w:val="16"/>
                <w:color w:val="auto"/>
              </w:rPr>
            </w:pPr>
          </w:p>
        </w:tc>
      </w:tr>
      <w:tr>
        <w:trPr>
          <w:trHeight w:val="192"/>
        </w:trPr>
        <w:tc>
          <w:tcPr>
            <w:tcW w:w="7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color w:val="auto"/>
                <w:w w:val="90"/>
              </w:rPr>
              <w:t>(Unaudited)</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0"/>
        </w:trPr>
        <w:tc>
          <w:tcPr>
            <w:tcW w:w="7740" w:type="dxa"/>
            <w:vAlign w:val="bottom"/>
          </w:tcPr>
          <w:p>
            <w:pPr>
              <w:spacing w:after="0"/>
              <w:rPr>
                <w:sz w:val="20"/>
                <w:szCs w:val="20"/>
                <w:color w:val="auto"/>
              </w:rPr>
            </w:pPr>
            <w:r>
              <w:rPr>
                <w:rFonts w:ascii="Arial" w:cs="Arial" w:eastAsia="Arial" w:hAnsi="Arial"/>
                <w:sz w:val="16"/>
                <w:szCs w:val="16"/>
                <w:color w:val="auto"/>
              </w:rPr>
              <w:t>Net earnings</w:t>
            </w:r>
          </w:p>
        </w:tc>
        <w:tc>
          <w:tcPr>
            <w:tcW w:w="960" w:type="dxa"/>
            <w:vAlign w:val="bottom"/>
          </w:tcPr>
          <w:p>
            <w:pPr>
              <w:jc w:val="right"/>
              <w:ind w:right="80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17"/>
                <w:szCs w:val="17"/>
                <w:color w:val="auto"/>
              </w:rPr>
            </w:pPr>
          </w:p>
        </w:tc>
        <w:tc>
          <w:tcPr>
            <w:tcW w:w="700" w:type="dxa"/>
            <w:vAlign w:val="bottom"/>
            <w:gridSpan w:val="2"/>
          </w:tcPr>
          <w:p>
            <w:pPr>
              <w:jc w:val="right"/>
              <w:ind w:right="427"/>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7"/>
                <w:szCs w:val="17"/>
                <w:color w:val="auto"/>
              </w:rPr>
            </w:pPr>
          </w:p>
        </w:tc>
      </w:tr>
      <w:tr>
        <w:trPr>
          <w:trHeight w:val="202"/>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Provision for doubtful accounts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Share-based compensation</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9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(19.4)</w:t>
            </w: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liabilities</w:t>
            </w: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(222.4)</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FF0FC"/>
          </w:tcPr>
          <w:p>
            <w:pPr>
              <w:spacing w:after="0"/>
              <w:rPr>
                <w:sz w:val="17"/>
                <w:szCs w:val="17"/>
                <w:color w:val="auto"/>
              </w:rPr>
            </w:pPr>
          </w:p>
        </w:tc>
      </w:tr>
      <w:tr>
        <w:trPr>
          <w:trHeight w:val="193"/>
        </w:trPr>
        <w:tc>
          <w:tcPr>
            <w:tcW w:w="7740" w:type="dxa"/>
            <w:vAlign w:val="bottom"/>
            <w:tcBorders>
              <w:bottom w:val="single" w:sz="8" w:color="CFF0FC"/>
            </w:tcBorders>
          </w:tcPr>
          <w:p>
            <w:pPr>
              <w:ind w:left="640"/>
              <w:spacing w:after="0"/>
              <w:rPr>
                <w:sz w:val="20"/>
                <w:szCs w:val="20"/>
                <w:color w:val="auto"/>
              </w:rPr>
            </w:pPr>
            <w:r>
              <w:rPr>
                <w:rFonts w:ascii="Arial" w:cs="Arial" w:eastAsia="Arial" w:hAnsi="Arial"/>
                <w:sz w:val="16"/>
                <w:szCs w:val="16"/>
                <w:color w:val="auto"/>
              </w:rPr>
              <w:t>Cash provided by operating activities</w:t>
            </w:r>
          </w:p>
        </w:tc>
        <w:tc>
          <w:tcPr>
            <w:tcW w:w="9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181.0</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Borders>
              <w:bottom w:val="single" w:sz="8" w:color="CFF0FC"/>
            </w:tcBorders>
          </w:tcPr>
          <w:p>
            <w:pPr>
              <w:spacing w:after="0"/>
              <w:rPr>
                <w:sz w:val="16"/>
                <w:szCs w:val="16"/>
                <w:color w:val="auto"/>
              </w:rPr>
            </w:pPr>
          </w:p>
        </w:tc>
      </w:tr>
      <w:tr>
        <w:trPr>
          <w:trHeight w:val="193"/>
        </w:trPr>
        <w:tc>
          <w:tcPr>
            <w:tcW w:w="77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Capital expenditures</w:t>
            </w:r>
          </w:p>
        </w:tc>
        <w:tc>
          <w:tcPr>
            <w:tcW w:w="9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Acquisitions of businesses, net of cash acquired</w:t>
            </w:r>
          </w:p>
        </w:tc>
        <w:tc>
          <w:tcPr>
            <w:tcW w:w="9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FF0FC"/>
          </w:tcPr>
          <w:p>
            <w:pPr>
              <w:spacing w:after="0"/>
              <w:rPr>
                <w:sz w:val="17"/>
                <w:szCs w:val="17"/>
                <w:color w:val="auto"/>
              </w:rPr>
            </w:pPr>
          </w:p>
        </w:tc>
      </w:tr>
      <w:tr>
        <w:trPr>
          <w:trHeight w:val="193"/>
        </w:trPr>
        <w:tc>
          <w:tcPr>
            <w:tcW w:w="7740" w:type="dxa"/>
            <w:vAlign w:val="bottom"/>
          </w:tcPr>
          <w:p>
            <w:pPr>
              <w:ind w:left="640"/>
              <w:spacing w:after="0"/>
              <w:rPr>
                <w:sz w:val="20"/>
                <w:szCs w:val="20"/>
                <w:color w:val="auto"/>
              </w:rPr>
            </w:pPr>
            <w:r>
              <w:rPr>
                <w:rFonts w:ascii="Arial" w:cs="Arial" w:eastAsia="Arial" w:hAnsi="Arial"/>
                <w:sz w:val="16"/>
                <w:szCs w:val="16"/>
                <w:color w:val="auto"/>
              </w:rPr>
              <w:t>Cash used in investing activities</w:t>
            </w:r>
          </w:p>
        </w:tc>
        <w:tc>
          <w:tcPr>
            <w:tcW w:w="9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(6.5)</w:t>
            </w:r>
          </w:p>
        </w:tc>
      </w:tr>
      <w:tr>
        <w:trPr>
          <w:trHeight w:val="19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Net change in short-term borrowings</w:t>
            </w:r>
          </w:p>
        </w:tc>
        <w:tc>
          <w:tcPr>
            <w:tcW w:w="9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Proceeds from long-term debt</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FF0FC"/>
          </w:tcPr>
          <w:p>
            <w:pPr>
              <w:spacing w:after="0"/>
              <w:rPr>
                <w:sz w:val="17"/>
                <w:szCs w:val="17"/>
                <w:color w:val="auto"/>
              </w:rPr>
            </w:pP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Repayments of long-term debt</w:t>
            </w:r>
          </w:p>
        </w:tc>
        <w:tc>
          <w:tcPr>
            <w:tcW w:w="9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(0.1)</w:t>
            </w: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Payments of contingent consideration for acquisitions</w:t>
            </w: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(0.6)</w:t>
            </w: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Proceeds from share-based awards</w:t>
            </w:r>
          </w:p>
        </w:tc>
        <w:tc>
          <w:tcPr>
            <w:tcW w:w="9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r>
      <w:tr>
        <w:trPr>
          <w:trHeight w:val="201"/>
        </w:trPr>
        <w:tc>
          <w:tcPr>
            <w:tcW w:w="7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Other share-based award transactions</w:t>
            </w:r>
          </w:p>
        </w:tc>
        <w:tc>
          <w:tcPr>
            <w:tcW w:w="9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(5.4)</w:t>
            </w:r>
          </w:p>
        </w:tc>
      </w:tr>
      <w:tr>
        <w:trPr>
          <w:trHeight w:val="201"/>
        </w:trPr>
        <w:tc>
          <w:tcPr>
            <w:tcW w:w="7740" w:type="dxa"/>
            <w:vAlign w:val="bottom"/>
          </w:tcPr>
          <w:p>
            <w:pPr>
              <w:ind w:left="420"/>
              <w:spacing w:after="0"/>
              <w:rPr>
                <w:sz w:val="20"/>
                <w:szCs w:val="20"/>
                <w:color w:val="auto"/>
              </w:rPr>
            </w:pPr>
            <w:r>
              <w:rPr>
                <w:rFonts w:ascii="Arial" w:cs="Arial" w:eastAsia="Arial" w:hAnsi="Arial"/>
                <w:sz w:val="16"/>
                <w:szCs w:val="16"/>
                <w:color w:val="auto"/>
              </w:rPr>
              <w:t>Repurchases of common stock</w:t>
            </w:r>
          </w:p>
        </w:tc>
        <w:tc>
          <w:tcPr>
            <w:tcW w:w="96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(101.0)</w:t>
            </w:r>
          </w:p>
        </w:tc>
      </w:tr>
      <w:tr>
        <w:trPr>
          <w:trHeight w:val="193"/>
        </w:trPr>
        <w:tc>
          <w:tcPr>
            <w:tcW w:w="7740" w:type="dxa"/>
            <w:vAlign w:val="bottom"/>
            <w:tcBorders>
              <w:top w:val="single" w:sz="8" w:color="CFF0FC"/>
            </w:tcBorders>
            <w:shd w:val="clear" w:color="auto" w:fill="CFF0FC"/>
          </w:tcPr>
          <w:p>
            <w:pPr>
              <w:ind w:left="640"/>
              <w:spacing w:after="0"/>
              <w:rPr>
                <w:sz w:val="20"/>
                <w:szCs w:val="20"/>
                <w:color w:val="auto"/>
              </w:rPr>
            </w:pPr>
            <w:r>
              <w:rPr>
                <w:rFonts w:ascii="Arial" w:cs="Arial" w:eastAsia="Arial" w:hAnsi="Arial"/>
                <w:sz w:val="16"/>
                <w:szCs w:val="16"/>
                <w:color w:val="auto"/>
              </w:rPr>
              <w:t>Cash used in financing activities</w:t>
            </w:r>
          </w:p>
        </w:tc>
        <w:tc>
          <w:tcPr>
            <w:tcW w:w="960" w:type="dxa"/>
            <w:vAlign w:val="bottom"/>
            <w:tcBorders>
              <w:top w:val="single" w:sz="8" w:color="auto"/>
              <w:bottom w:val="single" w:sz="8" w:color="auto"/>
            </w:tcBorders>
            <w:shd w:val="clear" w:color="auto" w:fill="CFF0FC"/>
          </w:tcPr>
          <w:p>
            <w:pPr>
              <w:spacing w:after="0"/>
              <w:rPr>
                <w:sz w:val="16"/>
                <w:szCs w:val="16"/>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580" w:type="dxa"/>
            <w:vAlign w:val="bottom"/>
            <w:tcBorders>
              <w:top w:val="single" w:sz="8" w:color="auto"/>
              <w:bottom w:val="single" w:sz="8" w:color="auto"/>
            </w:tcBorders>
            <w:shd w:val="clear" w:color="auto" w:fill="CFF0FC"/>
          </w:tcPr>
          <w:p>
            <w:pPr>
              <w:spacing w:after="0"/>
              <w:rPr>
                <w:sz w:val="16"/>
                <w:szCs w:val="16"/>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(103.5)</w:t>
            </w:r>
          </w:p>
        </w:tc>
        <w:tc>
          <w:tcPr>
            <w:tcW w:w="120" w:type="dxa"/>
            <w:vAlign w:val="bottom"/>
            <w:tcBorders>
              <w:top w:val="single" w:sz="8" w:color="CFF0FC"/>
            </w:tcBorders>
            <w:shd w:val="clear" w:color="auto" w:fill="CFF0FC"/>
          </w:tcPr>
          <w:p>
            <w:pPr>
              <w:spacing w:after="0"/>
              <w:rPr>
                <w:sz w:val="16"/>
                <w:szCs w:val="16"/>
                <w:color w:val="auto"/>
              </w:rPr>
            </w:pPr>
          </w:p>
        </w:tc>
      </w:tr>
      <w:tr>
        <w:trPr>
          <w:trHeight w:val="193"/>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exchange rate changes on cash</w:t>
            </w: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FF0FC"/>
            </w:tcBorders>
          </w:tcPr>
          <w:p>
            <w:pPr>
              <w:spacing w:after="0"/>
              <w:rPr>
                <w:sz w:val="16"/>
                <w:szCs w:val="16"/>
                <w:color w:val="auto"/>
              </w:rPr>
            </w:pPr>
          </w:p>
        </w:tc>
      </w:tr>
      <w:tr>
        <w:trPr>
          <w:trHeight w:val="193"/>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Change in cash and cash equivalents</w:t>
            </w:r>
          </w:p>
        </w:tc>
        <w:tc>
          <w:tcPr>
            <w:tcW w:w="9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FF0FC"/>
          </w:tcPr>
          <w:p>
            <w:pPr>
              <w:spacing w:after="0"/>
              <w:rPr>
                <w:sz w:val="16"/>
                <w:szCs w:val="16"/>
                <w:color w:val="auto"/>
              </w:rPr>
            </w:pPr>
          </w:p>
        </w:tc>
      </w:tr>
      <w:tr>
        <w:trPr>
          <w:trHeight w:val="201"/>
        </w:trPr>
        <w:tc>
          <w:tcPr>
            <w:tcW w:w="77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591.9</w:t>
            </w:r>
          </w:p>
        </w:tc>
        <w:tc>
          <w:tcPr>
            <w:tcW w:w="120" w:type="dxa"/>
            <w:vAlign w:val="bottom"/>
            <w:tcBorders>
              <w:bottom w:val="single" w:sz="8" w:color="CFF0FC"/>
            </w:tcBorders>
          </w:tcPr>
          <w:p>
            <w:pPr>
              <w:spacing w:after="0"/>
              <w:rPr>
                <w:sz w:val="17"/>
                <w:szCs w:val="17"/>
                <w:color w:val="auto"/>
              </w:rPr>
            </w:pPr>
          </w:p>
        </w:tc>
      </w:tr>
      <w:tr>
        <w:trPr>
          <w:trHeight w:val="193"/>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period</w:t>
            </w: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1,099.5</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260"/>
          </w:cols>
          <w:pgMar w:left="320" w:top="316"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5640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640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5640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2020-04-21T06:48:31Z</dcterms:created>
  <dcterms:modified xsi:type="dcterms:W3CDTF">2020-04-21T06:48:31Z</dcterms:modified>
</cp:coreProperties>
</file>