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835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8355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WILLIE DAVIS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161 N. LABREA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MANPOWER INC /WI/</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MAN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01/01/2007</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2"/>
        <w:spacing w:after="0"/>
        <w:tabs>
          <w:tab w:leader="none" w:pos="521" w:val="left"/>
          <w:tab w:leader="none" w:pos="2161"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4"/>
          <w:szCs w:val="24"/>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2"/>
        <w:spacing w:after="0"/>
        <w:tabs>
          <w:tab w:leader="none" w:pos="216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6"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p>
      <w:pPr>
        <w:spacing w:after="0" w:line="24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ENGLEWOOD</w:t>
            </w:r>
          </w:p>
        </w:tc>
        <w:tc>
          <w:tcPr>
            <w:tcW w:w="920" w:type="dxa"/>
            <w:vAlign w:val="bottom"/>
          </w:tcPr>
          <w:p>
            <w:pPr>
              <w:ind w:left="80"/>
              <w:spacing w:after="0"/>
              <w:rPr>
                <w:sz w:val="20"/>
                <w:szCs w:val="20"/>
                <w:color w:val="auto"/>
              </w:rPr>
            </w:pPr>
            <w:r>
              <w:rPr>
                <w:rFonts w:ascii="Arial" w:cs="Arial" w:eastAsia="Arial" w:hAnsi="Arial"/>
                <w:sz w:val="17"/>
                <w:szCs w:val="17"/>
                <w:color w:val="0000FF"/>
              </w:rPr>
              <w:t>CA</w:t>
            </w:r>
          </w:p>
        </w:tc>
        <w:tc>
          <w:tcPr>
            <w:tcW w:w="1680" w:type="dxa"/>
            <w:vAlign w:val="bottom"/>
          </w:tcPr>
          <w:p>
            <w:pPr>
              <w:ind w:left="420"/>
              <w:spacing w:after="0"/>
              <w:rPr>
                <w:sz w:val="20"/>
                <w:szCs w:val="20"/>
                <w:color w:val="auto"/>
              </w:rPr>
            </w:pPr>
            <w:r>
              <w:rPr>
                <w:rFonts w:ascii="Arial" w:cs="Arial" w:eastAsia="Arial" w:hAnsi="Arial"/>
                <w:sz w:val="17"/>
                <w:szCs w:val="17"/>
                <w:color w:val="0000FF"/>
              </w:rPr>
              <w:t>90301</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8"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01/01/2007</w:t>
            </w:r>
          </w:p>
        </w:tc>
        <w:tc>
          <w:tcPr>
            <w:tcW w:w="1120" w:type="dxa"/>
            <w:vAlign w:val="bottom"/>
          </w:tcPr>
          <w:p>
            <w:pPr>
              <w:spacing w:after="0"/>
              <w:rPr>
                <w:sz w:val="16"/>
                <w:szCs w:val="16"/>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(2)</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0"/>
              </w:rPr>
              <w:t>2.4438</w:t>
            </w:r>
          </w:p>
        </w:tc>
        <w:tc>
          <w:tcPr>
            <w:tcW w:w="2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ind w:right="9"/>
              <w:spacing w:after="0"/>
              <w:rPr>
                <w:sz w:val="20"/>
                <w:szCs w:val="20"/>
                <w:color w:val="auto"/>
              </w:rPr>
            </w:pPr>
            <w:r>
              <w:rPr>
                <w:rFonts w:ascii="Arial" w:cs="Arial" w:eastAsia="Arial" w:hAnsi="Arial"/>
                <w:sz w:val="17"/>
                <w:szCs w:val="17"/>
                <w:color w:val="0000FF"/>
                <w:w w:val="92"/>
              </w:rPr>
              <w:t>2.4438</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64.495</w:t>
            </w:r>
            <w:r>
              <w:rPr>
                <w:rFonts w:ascii="Arial" w:cs="Arial" w:eastAsia="Arial" w:hAnsi="Arial"/>
                <w:sz w:val="22"/>
                <w:szCs w:val="22"/>
                <w:color w:val="008000"/>
                <w:w w:val="86"/>
                <w:vertAlign w:val="superscript"/>
              </w:rPr>
              <w:t>(3)</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2"/>
              </w:rPr>
              <w:t>269.5869</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1120" w:type="dxa"/>
            <w:vAlign w:val="bottom"/>
          </w:tcPr>
          <w:p>
            <w:pPr>
              <w:jc w:val="center"/>
              <w:spacing w:after="0"/>
              <w:rPr>
                <w:sz w:val="20"/>
                <w:szCs w:val="20"/>
                <w:color w:val="auto"/>
              </w:rPr>
            </w:pPr>
            <w:r>
              <w:rPr>
                <w:rFonts w:ascii="Arial" w:cs="Arial" w:eastAsia="Arial" w:hAnsi="Arial"/>
                <w:sz w:val="13"/>
                <w:szCs w:val="13"/>
                <w:color w:val="0000FF"/>
                <w:w w:val="92"/>
              </w:rPr>
              <w:t>01/01/2007</w:t>
            </w:r>
          </w:p>
        </w:tc>
        <w:tc>
          <w:tcPr>
            <w:tcW w:w="1120" w:type="dxa"/>
            <w:vAlign w:val="bottom"/>
          </w:tcPr>
          <w:p>
            <w:pPr>
              <w:spacing w:after="0"/>
              <w:rPr>
                <w:sz w:val="21"/>
                <w:szCs w:val="21"/>
                <w:color w:val="auto"/>
              </w:rPr>
            </w:pPr>
          </w:p>
        </w:tc>
        <w:tc>
          <w:tcPr>
            <w:tcW w:w="820" w:type="dxa"/>
            <w:vAlign w:val="bottom"/>
          </w:tcPr>
          <w:p>
            <w:pPr>
              <w:ind w:left="100"/>
              <w:spacing w:after="0" w:line="251" w:lineRule="exact"/>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(2)</w:t>
            </w:r>
          </w:p>
        </w:tc>
        <w:tc>
          <w:tcPr>
            <w:tcW w:w="640" w:type="dxa"/>
            <w:vAlign w:val="bottom"/>
          </w:tcPr>
          <w:p>
            <w:pPr>
              <w:jc w:val="center"/>
              <w:spacing w:after="0"/>
              <w:rPr>
                <w:sz w:val="20"/>
                <w:szCs w:val="20"/>
                <w:color w:val="auto"/>
              </w:rPr>
            </w:pPr>
            <w:r>
              <w:rPr>
                <w:rFonts w:ascii="Arial" w:cs="Arial" w:eastAsia="Arial" w:hAnsi="Arial"/>
                <w:sz w:val="13"/>
                <w:szCs w:val="13"/>
                <w:color w:val="0000FF"/>
                <w:w w:val="89"/>
              </w:rPr>
              <w:t>23.0164</w:t>
            </w:r>
          </w:p>
        </w:tc>
        <w:tc>
          <w:tcPr>
            <w:tcW w:w="240" w:type="dxa"/>
            <w:vAlign w:val="bottom"/>
          </w:tcPr>
          <w:p>
            <w:pPr>
              <w:spacing w:after="0"/>
              <w:rPr>
                <w:sz w:val="21"/>
                <w:szCs w:val="21"/>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ind w:right="9"/>
              <w:spacing w:after="0"/>
              <w:rPr>
                <w:sz w:val="20"/>
                <w:szCs w:val="20"/>
                <w:color w:val="auto"/>
              </w:rPr>
            </w:pPr>
            <w:r>
              <w:rPr>
                <w:rFonts w:ascii="Arial" w:cs="Arial" w:eastAsia="Arial" w:hAnsi="Arial"/>
                <w:sz w:val="17"/>
                <w:szCs w:val="17"/>
                <w:color w:val="0000FF"/>
                <w:w w:val="91"/>
              </w:rPr>
              <w:t>23.0164</w:t>
            </w:r>
          </w:p>
        </w:tc>
        <w:tc>
          <w:tcPr>
            <w:tcW w:w="700" w:type="dxa"/>
            <w:vAlign w:val="bottom"/>
          </w:tcPr>
          <w:p>
            <w:pPr>
              <w:jc w:val="center"/>
              <w:spacing w:after="0" w:line="251" w:lineRule="exact"/>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64.495</w:t>
            </w:r>
            <w:r>
              <w:rPr>
                <w:rFonts w:ascii="Arial" w:cs="Arial" w:eastAsia="Arial" w:hAnsi="Arial"/>
                <w:sz w:val="22"/>
                <w:szCs w:val="22"/>
                <w:color w:val="008000"/>
                <w:w w:val="86"/>
                <w:vertAlign w:val="superscript"/>
              </w:rPr>
              <w:t>(3)</w:t>
            </w:r>
          </w:p>
        </w:tc>
        <w:tc>
          <w:tcPr>
            <w:tcW w:w="960" w:type="dxa"/>
            <w:vAlign w:val="bottom"/>
          </w:tcPr>
          <w:p>
            <w:pPr>
              <w:jc w:val="center"/>
              <w:spacing w:after="0"/>
              <w:rPr>
                <w:sz w:val="20"/>
                <w:szCs w:val="20"/>
                <w:color w:val="auto"/>
              </w:rPr>
            </w:pPr>
            <w:r>
              <w:rPr>
                <w:rFonts w:ascii="Arial" w:cs="Arial" w:eastAsia="Arial" w:hAnsi="Arial"/>
                <w:sz w:val="13"/>
                <w:szCs w:val="13"/>
                <w:color w:val="0000FF"/>
                <w:w w:val="89"/>
              </w:rPr>
              <w:t>2,539.0164</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00" w:type="dxa"/>
            <w:vAlign w:val="bottom"/>
            <w:tcBorders>
              <w:bottom w:val="single" w:sz="8" w:color="2C2C2C"/>
            </w:tcBorders>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Deferred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01/01/2007</w:t>
            </w:r>
          </w:p>
        </w:tc>
        <w:tc>
          <w:tcPr>
            <w:tcW w:w="1120" w:type="dxa"/>
            <w:vAlign w:val="bottom"/>
          </w:tcPr>
          <w:p>
            <w:pPr>
              <w:spacing w:after="0"/>
              <w:rPr>
                <w:sz w:val="16"/>
                <w:szCs w:val="16"/>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(6)</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2"/>
              </w:rPr>
              <w:t>1,335</w:t>
            </w:r>
          </w:p>
        </w:tc>
        <w:tc>
          <w:tcPr>
            <w:tcW w:w="24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1,335</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74.93</w:t>
            </w:r>
            <w:r>
              <w:rPr>
                <w:rFonts w:ascii="Arial" w:cs="Arial" w:eastAsia="Arial" w:hAnsi="Arial"/>
                <w:sz w:val="22"/>
                <w:szCs w:val="22"/>
                <w:color w:val="008000"/>
                <w:w w:val="87"/>
                <w:vertAlign w:val="superscript"/>
              </w:rPr>
              <w:t>(7)</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2"/>
              </w:rPr>
              <w:t>1,335</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 common stock on a 1 for 1 basis within 30 days after the reporting person's termination of service as a director.</w:t>
      </w:r>
    </w:p>
    <w:p>
      <w:pPr>
        <w:spacing w:after="0" w:line="20" w:lineRule="exact"/>
        <w:rPr>
          <w:rFonts w:ascii="Arial" w:cs="Arial" w:eastAsia="Arial" w:hAnsi="Arial"/>
          <w:sz w:val="13"/>
          <w:szCs w:val="13"/>
          <w:color w:val="008000"/>
        </w:rPr>
      </w:pPr>
    </w:p>
    <w:p>
      <w:pPr>
        <w:ind w:left="40" w:right="50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Receipt of deferred stock under the 2003 Equity Incentive Plan of Manpower Inc. (the "Plan") and the Terms and Conditions Regarding the Grant of Awards to Non-Employee Directors under the Plan (the "Terms and Conditions") in lieu of dividends.</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Average Trading Price (as defined in the Terms and Conditions).</w:t>
      </w:r>
    </w:p>
    <w:p>
      <w:pPr>
        <w:spacing w:after="0" w:line="49" w:lineRule="exact"/>
        <w:rPr>
          <w:rFonts w:ascii="Arial" w:cs="Arial" w:eastAsia="Arial" w:hAnsi="Arial"/>
          <w:sz w:val="13"/>
          <w:szCs w:val="13"/>
          <w:color w:val="008000"/>
        </w:rPr>
      </w:pPr>
    </w:p>
    <w:p>
      <w:pPr>
        <w:ind w:left="40" w:right="24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of deferred stock are fully vested on the date of grant and will be settled in shares of Manpower common stock on a 1 for 1 basis on the earlier of January 1, 2009 or within 30 days after the reporting person's termination of service as a director, except as otherwise provided in the Terms and Conditions (Amended and Restated Effective January 1, 2006).</w:t>
      </w:r>
    </w:p>
    <w:p>
      <w:pPr>
        <w:spacing w:after="0" w:line="20" w:lineRule="exact"/>
        <w:rPr>
          <w:rFonts w:ascii="Arial" w:cs="Arial" w:eastAsia="Arial" w:hAnsi="Arial"/>
          <w:sz w:val="13"/>
          <w:szCs w:val="13"/>
          <w:color w:val="008000"/>
        </w:rPr>
      </w:pPr>
    </w:p>
    <w:p>
      <w:pPr>
        <w:ind w:left="40" w:right="380" w:firstLine="6"/>
        <w:spacing w:after="0" w:line="299"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of deferred stock will vest in quarterly installments on the last day of each calendar quarter during 2007 and will be settled in shares of Manpower common stock on a 1 for 1 basis on the earlier of January 1, 2010 or within 30 days after the reporting person's termination of service as a director, except as otherwise provided in the Terms and Conditions (Amended and Restated Effective January 1, 2006).</w:t>
      </w: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Annual grant of deferred stock under the Plan and the Terms and Conditions (Amended and Restated Effective January 1, 2006).</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Market Price (as defined in the Plan) on the last trading day of 2006.</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Michael J. VanHandel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-8890</wp:posOffset>
            </wp:positionV>
            <wp:extent cx="1408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8430" cy="8255"/>
                    </a:xfrm>
                    <a:prstGeom prst="rect">
                      <a:avLst/>
                    </a:prstGeom>
                    <a:noFill/>
                  </pic:spPr>
                </pic:pic>
              </a:graphicData>
            </a:graphic>
          </wp:anchor>
        </w:drawing>
      </w:r>
    </w:p>
    <w:p>
      <w:pPr>
        <w:spacing w:after="0" w:line="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to Power of Attorney previously 01/03/2007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1952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262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4359910</wp:posOffset>
            </wp:positionH>
            <wp:positionV relativeFrom="paragraph">
              <wp:posOffset>-12065</wp:posOffset>
            </wp:positionV>
            <wp:extent cx="2368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36855" cy="8255"/>
                    </a:xfrm>
                    <a:prstGeom prst="rect">
                      <a:avLst/>
                    </a:prstGeom>
                    <a:noFill/>
                  </pic:spPr>
                </pic:pic>
              </a:graphicData>
            </a:graphic>
          </wp:anchor>
        </w:drawing>
      </w:r>
    </w:p>
    <w:p>
      <w:pPr>
        <w:spacing w:after="0" w:line="52"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53288"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2019-12-16T06:42:45Z</dcterms:created>
  <dcterms:modified xsi:type="dcterms:W3CDTF">2019-12-16T06:42:45Z</dcterms:modified>
</cp:coreProperties>
</file>