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Nettles Michelle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&amp; Legal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4,270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39,648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1,935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37,713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in settlement of performance share units granted in 2023 (which were not derivative securities received under the Company's 2011 Equity Incentive Plan, exempt under Rule 16b-3).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the tax withholding obligations on shares acquired February 12, 2026 in settlement of performance share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on the New York Stock Exchange on February 11, 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Michelle Nettles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5150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2026-02-17T17:55:42Z</dcterms:created>
  <dcterms:modified xsi:type="dcterms:W3CDTF">2026-02-17T17:55:42Z</dcterms:modified>
</cp:coreProperties>
</file>