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April 23, 2014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87"/>
              </w:rPr>
              <w:t>Wisconsin</w:t>
            </w:r>
          </w:p>
        </w:tc>
        <w:tc>
          <w:tcPr>
            <w:tcW w:w="2920" w:type="dxa"/>
            <w:vAlign w:val="bottom"/>
            <w:tcBorders>
              <w:bottom w:val="single" w:sz="8" w:color="auto"/>
            </w:tcBorders>
          </w:tcPr>
          <w:p>
            <w:pPr>
              <w:jc w:val="right"/>
              <w:ind w:right="1220"/>
              <w:spacing w:after="0"/>
              <w:rPr>
                <w:sz w:val="20"/>
                <w:szCs w:val="20"/>
                <w:color w:val="auto"/>
              </w:rPr>
            </w:pPr>
            <w:r>
              <w:rPr>
                <w:rFonts w:ascii="Arial" w:cs="Arial" w:eastAsia="Arial" w:hAnsi="Arial"/>
                <w:sz w:val="16"/>
                <w:szCs w:val="16"/>
                <w:b w:val="1"/>
                <w:bCs w:val="1"/>
                <w:color w:val="auto"/>
              </w:rPr>
              <w:t>1-10686</w:t>
            </w:r>
          </w:p>
        </w:tc>
        <w:tc>
          <w:tcPr>
            <w:tcW w:w="37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b w:val="1"/>
                <w:bCs w:val="1"/>
                <w:color w:val="auto"/>
              </w:rPr>
              <w:t>39-1672779</w:t>
            </w:r>
          </w:p>
        </w:tc>
      </w:tr>
      <w:tr>
        <w:trPr>
          <w:trHeight w:val="209"/>
        </w:trPr>
        <w:tc>
          <w:tcPr>
            <w:tcW w:w="4820" w:type="dxa"/>
            <w:vAlign w:val="bottom"/>
          </w:tcPr>
          <w:p>
            <w:pPr>
              <w:jc w:val="center"/>
              <w:ind w:right="120"/>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920" w:type="dxa"/>
            <w:vAlign w:val="bottom"/>
          </w:tcPr>
          <w:p>
            <w:pPr>
              <w:jc w:val="center"/>
              <w:ind w:right="140"/>
              <w:spacing w:after="0"/>
              <w:rPr>
                <w:sz w:val="20"/>
                <w:szCs w:val="20"/>
                <w:color w:val="auto"/>
              </w:rPr>
            </w:pPr>
            <w:r>
              <w:rPr>
                <w:rFonts w:ascii="Arial" w:cs="Arial" w:eastAsia="Arial" w:hAnsi="Arial"/>
                <w:sz w:val="16"/>
                <w:szCs w:val="16"/>
                <w:b w:val="1"/>
                <w:bCs w:val="1"/>
                <w:color w:val="auto"/>
                <w:w w:val="91"/>
              </w:rPr>
              <w:t>(Commission File Number)</w:t>
            </w:r>
          </w:p>
        </w:tc>
        <w:tc>
          <w:tcPr>
            <w:tcW w:w="3700" w:type="dxa"/>
            <w:vAlign w:val="bottom"/>
          </w:tcPr>
          <w:p>
            <w:pPr>
              <w:ind w:left="660"/>
              <w:spacing w:after="0"/>
              <w:rPr>
                <w:sz w:val="20"/>
                <w:szCs w:val="20"/>
                <w:color w:val="auto"/>
              </w:rPr>
            </w:pPr>
            <w:r>
              <w:rPr>
                <w:rFonts w:ascii="Arial" w:cs="Arial" w:eastAsia="Arial" w:hAnsi="Arial"/>
                <w:sz w:val="16"/>
                <w:szCs w:val="16"/>
                <w:b w:val="1"/>
                <w:bCs w:val="1"/>
                <w:color w:val="auto"/>
              </w:rPr>
              <w:t>(IRS Employer Identification No.)</w:t>
            </w:r>
          </w:p>
        </w:tc>
      </w:tr>
      <w:tr>
        <w:trPr>
          <w:trHeight w:val="592"/>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91"/>
              </w:rPr>
              <w:t>100 Manpower Place</w:t>
            </w:r>
          </w:p>
        </w:tc>
        <w:tc>
          <w:tcPr>
            <w:tcW w:w="2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3"/>
        </w:trPr>
        <w:tc>
          <w:tcPr>
            <w:tcW w:w="4820" w:type="dxa"/>
            <w:vAlign w:val="bottom"/>
            <w:tcBorders>
              <w:bottom w:val="single" w:sz="8" w:color="auto"/>
            </w:tcBorders>
          </w:tcPr>
          <w:p>
            <w:pPr>
              <w:jc w:val="center"/>
              <w:ind w:left="1240"/>
              <w:spacing w:after="0"/>
              <w:rPr>
                <w:sz w:val="20"/>
                <w:szCs w:val="20"/>
                <w:color w:val="auto"/>
              </w:rPr>
            </w:pPr>
            <w:r>
              <w:rPr>
                <w:rFonts w:ascii="Arial" w:cs="Arial" w:eastAsia="Arial" w:hAnsi="Arial"/>
                <w:sz w:val="16"/>
                <w:szCs w:val="16"/>
                <w:b w:val="1"/>
                <w:bCs w:val="1"/>
                <w:color w:val="auto"/>
                <w:w w:val="91"/>
              </w:rPr>
              <w:t>Milwaukee, Wisconsin</w:t>
            </w:r>
          </w:p>
        </w:tc>
        <w:tc>
          <w:tcPr>
            <w:tcW w:w="2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2380"/>
              <w:spacing w:after="0"/>
              <w:rPr>
                <w:sz w:val="20"/>
                <w:szCs w:val="20"/>
                <w:color w:val="auto"/>
              </w:rPr>
            </w:pPr>
            <w:r>
              <w:rPr>
                <w:rFonts w:ascii="Arial" w:cs="Arial" w:eastAsia="Arial" w:hAnsi="Arial"/>
                <w:sz w:val="16"/>
                <w:szCs w:val="16"/>
                <w:b w:val="1"/>
                <w:bCs w:val="1"/>
                <w:color w:val="auto"/>
              </w:rPr>
              <w:t>53212</w:t>
            </w:r>
          </w:p>
        </w:tc>
      </w:tr>
      <w:tr>
        <w:trPr>
          <w:trHeight w:val="209"/>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920" w:type="dxa"/>
            <w:vAlign w:val="bottom"/>
          </w:tcPr>
          <w:p>
            <w:pPr>
              <w:spacing w:after="0"/>
              <w:rPr>
                <w:sz w:val="18"/>
                <w:szCs w:val="18"/>
                <w:color w:val="auto"/>
              </w:rPr>
            </w:pPr>
          </w:p>
        </w:tc>
        <w:tc>
          <w:tcPr>
            <w:tcW w:w="3700" w:type="dxa"/>
            <w:vAlign w:val="bottom"/>
          </w:tcPr>
          <w:p>
            <w:pPr>
              <w:ind w:left="680"/>
              <w:spacing w:after="0"/>
              <w:rPr>
                <w:sz w:val="20"/>
                <w:szCs w:val="20"/>
                <w:color w:val="auto"/>
              </w:rPr>
            </w:pPr>
            <w:r>
              <w:rPr>
                <w:rFonts w:ascii="Arial" w:cs="Arial" w:eastAsia="Arial" w:hAnsi="Arial"/>
                <w:sz w:val="16"/>
                <w:szCs w:val="16"/>
                <w:b w:val="1"/>
                <w:bCs w:val="1"/>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15"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4"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On April 23, 2014, we issued a press release announcing our results of operations for the three months ended March 31, 2014. A copy of the press release is attached hereto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Exhibits</w:t>
      </w:r>
      <w:r>
        <w:rPr>
          <w:rFonts w:ascii="Arial" w:cs="Arial" w:eastAsia="Arial" w:hAnsi="Arial"/>
          <w:sz w:val="14"/>
          <w:szCs w:val="14"/>
          <w:color w:val="auto"/>
        </w:rPr>
        <w:t>.</w:t>
      </w:r>
    </w:p>
    <w:p>
      <w:pPr>
        <w:spacing w:after="0" w:line="224"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580453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4535" cy="1524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April 23, 2014</w:t>
      </w:r>
    </w:p>
    <w:p>
      <w:pPr>
        <w:spacing w:after="0" w:line="2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Presentation materials for April 23, 2014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80"/>
          </w:cols>
          <w:pgMar w:left="240" w:top="339" w:right="4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MANPOWERGROUP INC.</w:t>
      </w:r>
    </w:p>
    <w:p>
      <w:pPr>
        <w:spacing w:after="0" w:line="200"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April 23,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555" w:right="419" w:bottom="1440" w:gutter="0" w:footer="0" w:header="0"/>
        </w:sectPr>
      </w:pPr>
    </w:p>
    <w:bookmarkStart w:id="3" w:name="page4"/>
    <w:bookmarkEnd w:id="3"/>
    <w:p>
      <w:pPr>
        <w:jc w:val="right"/>
        <w:ind w:right="3879"/>
        <w:spacing w:after="0"/>
        <w:rPr>
          <w:sz w:val="20"/>
          <w:szCs w:val="20"/>
          <w:color w:val="auto"/>
        </w:rPr>
      </w:pPr>
      <w:r>
        <w:rPr>
          <w:rFonts w:ascii="Arial" w:cs="Arial" w:eastAsia="Arial" w:hAnsi="Arial"/>
          <w:sz w:val="16"/>
          <w:szCs w:val="16"/>
          <w:b w:val="1"/>
          <w:bCs w:val="1"/>
          <w:color w:val="auto"/>
        </w:rPr>
        <w:t>EXHIBIT INDEX</w:t>
      </w:r>
    </w:p>
    <w:p>
      <w:pPr>
        <w:spacing w:after="0" w:line="22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15875</wp:posOffset>
            </wp:positionV>
            <wp:extent cx="580453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04535" cy="15240"/>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April 23, 2014</w:t>
      </w:r>
    </w:p>
    <w:p>
      <w:pPr>
        <w:spacing w:after="0" w:line="21"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Presentation materials for April 23, 2014 conference call</w:t>
      </w:r>
    </w:p>
    <w:p>
      <w:pPr>
        <w:sectPr>
          <w:pgSz w:w="11900" w:h="16838" w:orient="portrait"/>
          <w:cols w:equalWidth="0" w:num="1">
            <w:col w:w="10159"/>
          </w:cols>
          <w:pgMar w:left="300" w:top="33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93115" cy="434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3115" cy="43497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Mike Van Handel</w:t>
      </w:r>
    </w:p>
    <w:p>
      <w:pPr>
        <w:spacing w:after="0" w:line="8"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+1.414.906.6305</w:t>
      </w:r>
    </w:p>
    <w:p>
      <w:pPr>
        <w:spacing w:after="0" w:line="8" w:lineRule="exact"/>
        <w:rPr>
          <w:sz w:val="20"/>
          <w:szCs w:val="20"/>
          <w:color w:val="auto"/>
        </w:rPr>
      </w:pPr>
    </w:p>
    <w:p>
      <w:pPr>
        <w:ind w:left="940"/>
        <w:spacing w:after="0"/>
        <w:rPr>
          <w:sz w:val="20"/>
          <w:szCs w:val="20"/>
          <w:color w:val="auto"/>
        </w:rPr>
      </w:pPr>
      <w:r>
        <w:rPr>
          <w:rFonts w:ascii="Arial" w:cs="Arial" w:eastAsia="Arial" w:hAnsi="Arial"/>
          <w:sz w:val="14"/>
          <w:szCs w:val="14"/>
          <w:color w:val="auto"/>
        </w:rPr>
        <w:t>michael.vanhandel@manpowergroup.com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w:t>
      </w:r>
    </w:p>
    <w:p>
      <w:pPr>
        <w:spacing w:after="0" w:line="793" w:lineRule="exact"/>
        <w:rPr>
          <w:sz w:val="20"/>
          <w:szCs w:val="20"/>
          <w:color w:val="auto"/>
        </w:rPr>
      </w:pPr>
    </w:p>
    <w:p>
      <w:pPr>
        <w:sectPr>
          <w:pgSz w:w="11900" w:h="16838" w:orient="portrait"/>
          <w:cols w:equalWidth="0" w:num="2">
            <w:col w:w="4140" w:space="720"/>
            <w:col w:w="6580"/>
          </w:cols>
          <w:pgMar w:left="240" w:top="116" w:right="219" w:bottom="1440" w:gutter="0" w:footer="0" w:header="0"/>
          <w:type w:val="continuous"/>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ManpowerGroup Reports 1</w:t>
      </w:r>
      <w:r>
        <w:rPr>
          <w:rFonts w:ascii="Arial" w:cs="Arial" w:eastAsia="Arial" w:hAnsi="Arial"/>
          <w:sz w:val="10"/>
          <w:szCs w:val="10"/>
          <w:b w:val="1"/>
          <w:bCs w:val="1"/>
          <w:color w:val="auto"/>
        </w:rPr>
        <w:t>st</w:t>
      </w:r>
      <w:r>
        <w:rPr>
          <w:rFonts w:ascii="Arial" w:cs="Arial" w:eastAsia="Arial" w:hAnsi="Arial"/>
          <w:sz w:val="14"/>
          <w:szCs w:val="14"/>
          <w:b w:val="1"/>
          <w:bCs w:val="1"/>
          <w:color w:val="auto"/>
        </w:rPr>
        <w:t xml:space="preserve"> Quarter 2014 Results</w:t>
      </w:r>
    </w:p>
    <w:p>
      <w:pPr>
        <w:sectPr>
          <w:pgSz w:w="11900" w:h="16838" w:orient="portrait"/>
          <w:cols w:equalWidth="0" w:num="1">
            <w:col w:w="11440"/>
          </w:cols>
          <w:pgMar w:left="240" w:top="116" w:right="219" w:bottom="1440" w:gutter="0" w:footer="0" w:header="0"/>
          <w:type w:val="continuous"/>
        </w:sectPr>
      </w:pPr>
    </w:p>
    <w:p>
      <w:pPr>
        <w:spacing w:after="0" w:line="247" w:lineRule="exact"/>
        <w:rPr>
          <w:sz w:val="20"/>
          <w:szCs w:val="20"/>
          <w:color w:val="auto"/>
        </w:rPr>
      </w:pPr>
    </w:p>
    <w:p>
      <w:pPr>
        <w:ind w:right="380"/>
        <w:spacing w:after="0" w:line="257" w:lineRule="auto"/>
        <w:rPr>
          <w:sz w:val="20"/>
          <w:szCs w:val="20"/>
          <w:color w:val="auto"/>
        </w:rPr>
      </w:pPr>
      <w:r>
        <w:rPr>
          <w:rFonts w:ascii="Arial" w:cs="Arial" w:eastAsia="Arial" w:hAnsi="Arial"/>
          <w:sz w:val="16"/>
          <w:szCs w:val="16"/>
          <w:b w:val="1"/>
          <w:bCs w:val="1"/>
          <w:color w:val="auto"/>
        </w:rPr>
        <w:t xml:space="preserve">MILWAUKEE, April 23, 2014 -- </w:t>
      </w:r>
      <w:r>
        <w:rPr>
          <w:rFonts w:ascii="Arial" w:cs="Arial" w:eastAsia="Arial" w:hAnsi="Arial"/>
          <w:sz w:val="16"/>
          <w:szCs w:val="16"/>
          <w:color w:val="auto"/>
        </w:rPr>
        <w:t>ManpowerGroup (NYSE: MAN) today reported that net earnings for the three months ended March 31, 2014 were $70.1 million, or 86</w:t>
      </w:r>
      <w:r>
        <w:rPr>
          <w:rFonts w:ascii="Arial" w:cs="Arial" w:eastAsia="Arial" w:hAnsi="Arial"/>
          <w:sz w:val="16"/>
          <w:szCs w:val="16"/>
          <w:b w:val="1"/>
          <w:bCs w:val="1"/>
          <w:color w:val="auto"/>
        </w:rPr>
        <w:t xml:space="preserve"> </w:t>
      </w:r>
      <w:r>
        <w:rPr>
          <w:rFonts w:ascii="Arial" w:cs="Arial" w:eastAsia="Arial" w:hAnsi="Arial"/>
          <w:sz w:val="16"/>
          <w:szCs w:val="16"/>
          <w:color w:val="auto"/>
        </w:rPr>
        <w:t>cents per diluted share, compared to net earnings of $23.9 million, or 31 cents per diluted share, a year earlier. Revenues for the first quarter were $4.9 billion, an increase of 3% from the prior year period.</w:t>
      </w:r>
    </w:p>
    <w:p>
      <w:pPr>
        <w:spacing w:after="0" w:line="2" w:lineRule="exact"/>
        <w:rPr>
          <w:sz w:val="20"/>
          <w:szCs w:val="20"/>
          <w:color w:val="auto"/>
        </w:rPr>
      </w:pPr>
    </w:p>
    <w:p>
      <w:pPr>
        <w:jc w:val="both"/>
        <w:ind w:right="380"/>
        <w:spacing w:after="0" w:line="250" w:lineRule="auto"/>
        <w:rPr>
          <w:sz w:val="20"/>
          <w:szCs w:val="20"/>
          <w:color w:val="auto"/>
        </w:rPr>
      </w:pPr>
      <w:r>
        <w:rPr>
          <w:rFonts w:ascii="Arial" w:cs="Arial" w:eastAsia="Arial" w:hAnsi="Arial"/>
          <w:sz w:val="16"/>
          <w:szCs w:val="16"/>
          <w:color w:val="auto"/>
        </w:rPr>
        <w:t>Included in the prior year first quarter results is a restructuring charge, primarily related to office consolidations and severance costs of $34.8 million ($25.3 million after tax or 32 cents per diluted share). There were no restructuring charges in the current year quarter. Net earnings in the first quarter were negatively impacted by 1 cent per diluted share, as certain foreign currencies were slightly weaker compared to the prior year period.</w:t>
      </w:r>
    </w:p>
    <w:p>
      <w:pPr>
        <w:spacing w:after="0" w:line="2" w:lineRule="exact"/>
        <w:rPr>
          <w:sz w:val="20"/>
          <w:szCs w:val="20"/>
          <w:color w:val="auto"/>
        </w:rPr>
      </w:pPr>
    </w:p>
    <w:p>
      <w:pPr>
        <w:jc w:val="both"/>
        <w:ind w:right="480"/>
        <w:spacing w:after="0" w:line="250" w:lineRule="auto"/>
        <w:rPr>
          <w:sz w:val="20"/>
          <w:szCs w:val="20"/>
          <w:color w:val="auto"/>
        </w:rPr>
      </w:pPr>
      <w:r>
        <w:rPr>
          <w:rFonts w:ascii="Arial" w:cs="Arial" w:eastAsia="Arial" w:hAnsi="Arial"/>
          <w:sz w:val="16"/>
          <w:szCs w:val="16"/>
          <w:color w:val="auto"/>
        </w:rPr>
        <w:t>Jeffrey A. Joerres, ManpowerGroup Chairman and CEO, said, “Despite the slow start in January, we are experiencing more positive revenue trends as we enter the second quarter in almost all of the major geographies. Growth in our Europe business improved to over 4 percent in constant currency in the quarter, and exceeded 3 percent on an average daily basis.</w:t>
      </w:r>
    </w:p>
    <w:p>
      <w:pPr>
        <w:spacing w:after="0" w:line="2" w:lineRule="exact"/>
        <w:rPr>
          <w:sz w:val="20"/>
          <w:szCs w:val="20"/>
          <w:color w:val="auto"/>
        </w:rPr>
      </w:pPr>
    </w:p>
    <w:p>
      <w:pPr>
        <w:ind w:right="820"/>
        <w:spacing w:after="0" w:line="286" w:lineRule="auto"/>
        <w:rPr>
          <w:sz w:val="20"/>
          <w:szCs w:val="20"/>
          <w:color w:val="auto"/>
        </w:rPr>
      </w:pPr>
      <w:r>
        <w:rPr>
          <w:rFonts w:ascii="Arial" w:cs="Arial" w:eastAsia="Arial" w:hAnsi="Arial"/>
          <w:sz w:val="14"/>
          <w:szCs w:val="14"/>
          <w:color w:val="auto"/>
        </w:rPr>
        <w:t>“The work that our team did last year to simplify and re-calibrate our company is paying off as we were able to achieve strong flow through and operational leverage. “We anticipate second quarter earnings per share will range between $1.26 to $1.34, which includes an estimated favorable currency impact of 2 cents.”</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 xml:space="preserve">In conjunction with its first quarter earnings release, ManpowerGroup will broadcast its conference call live over the Internet on April 23, 2014 at 7:30 a.m. CDT (8:30 a.m. EDT). Interested parties are invited to listen to the webcast and view the presentation by logging on to </w:t>
      </w:r>
      <w:r>
        <w:rPr>
          <w:rFonts w:ascii="Arial" w:cs="Arial" w:eastAsia="Arial" w:hAnsi="Arial"/>
          <w:sz w:val="16"/>
          <w:szCs w:val="16"/>
          <w:u w:val="single" w:color="auto"/>
          <w:color w:val="auto"/>
        </w:rPr>
        <w:t>http://www.manpowergroup.com</w:t>
      </w:r>
      <w:r>
        <w:rPr>
          <w:rFonts w:ascii="Arial" w:cs="Arial" w:eastAsia="Arial" w:hAnsi="Arial"/>
          <w:sz w:val="16"/>
          <w:szCs w:val="16"/>
          <w:color w:val="auto"/>
        </w:rPr>
        <w:t xml:space="preserve"> in the section titled “Investor Relations.”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Supplemental financial information referenced in the conference call can be found at </w:t>
      </w:r>
      <w:r>
        <w:rPr>
          <w:rFonts w:ascii="Arial" w:cs="Arial" w:eastAsia="Arial" w:hAnsi="Arial"/>
          <w:sz w:val="15"/>
          <w:szCs w:val="15"/>
          <w:u w:val="single" w:color="auto"/>
          <w:color w:val="auto"/>
        </w:rPr>
        <w:t>http://www.manpowergroup.com</w:t>
      </w:r>
      <w:r>
        <w:rPr>
          <w:rFonts w:ascii="Arial" w:cs="Arial" w:eastAsia="Arial" w:hAnsi="Arial"/>
          <w:sz w:val="15"/>
          <w:szCs w:val="15"/>
          <w:color w:val="auto"/>
        </w:rPr>
        <w:t xml:space="preserve"> in the section titled “Investor Relations.”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5" w:lineRule="exact"/>
        <w:rPr>
          <w:sz w:val="20"/>
          <w:szCs w:val="20"/>
          <w:color w:val="auto"/>
        </w:rPr>
      </w:pPr>
    </w:p>
    <w:p>
      <w:pPr>
        <w:ind w:right="400"/>
        <w:spacing w:after="0" w:line="270" w:lineRule="auto"/>
        <w:rPr>
          <w:sz w:val="20"/>
          <w:szCs w:val="20"/>
          <w:color w:val="auto"/>
        </w:rPr>
      </w:pPr>
      <w:r>
        <w:rPr>
          <w:rFonts w:ascii="Arial" w:cs="Arial" w:eastAsia="Arial" w:hAnsi="Arial"/>
          <w:sz w:val="15"/>
          <w:szCs w:val="15"/>
          <w:color w:val="auto"/>
        </w:rPr>
        <w:t>About ManpowerGroup™ManpowerGroup™ (NYSE: MAN) is the world leader in innovative workforce solutions that ensure the talent sustainability of the world's workforce for the good of companies, communities, countries, and individuals themselves. Specializing in solutions that help organizations achieve business agility and workforce flexibility, ManpowerGroup leverages its 65 years of world of work expertise to create the work models, design the people practices and access the talent sources its clients need for the future. From staffing, recruitment, workforce consulting, outsourcing and career management to assessment, training and development, ManpowerGroup delivers the talent to drive the innovation and productivity of organizations in a world where talentism is the dominant economic system. Every day, ManpowerGroup connects more than 600,000 people to work and builds their experience and employability through its relationships with 400,000 clients across 80 countries and territories. ManpowerGroup's suite of solutions is offered through ManpowerGroup™ Solutions, Manpower®, Experis™ and Right Management®. ManpowerGroup was named one of the World's Most Ethical Companies for the fourth consecutive year in 2014, confirming our position as the most trusted brand in the industry. See how ManpowerGroup makes powering the world of work humanly possible at www.manpowergroup.com. Follow ManpowerGroup Chairman and CEO Jeff Joerres on Twitter: Twitter.com/manpowergroupjj</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2013, which information is incorporated herein by reference.</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376555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type w:val="continuous"/>
        </w:sectPr>
      </w:pPr>
    </w:p>
    <w:bookmarkStart w:id="5" w:name="page6"/>
    <w:bookmarkEnd w:id="5"/>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w w:val="93"/>
              </w:rPr>
              <w:t>Three Months Ended March 31</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4,904.0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4,768.9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4,087.5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3,978.8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816.5</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689.6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735.7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-19.7%</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175.5%</w:t>
            </w:r>
          </w:p>
        </w:tc>
        <w:tc>
          <w:tcPr>
            <w:tcW w:w="0" w:type="dxa"/>
            <w:vAlign w:val="bottom"/>
          </w:tcPr>
          <w:p>
            <w:pPr>
              <w:spacing w:after="0"/>
              <w:rPr>
                <w:sz w:val="1"/>
                <w:szCs w:val="1"/>
                <w:color w:val="auto"/>
              </w:rPr>
            </w:pPr>
          </w:p>
        </w:tc>
      </w:tr>
      <w:tr>
        <w:trPr>
          <w:trHeight w:val="192"/>
        </w:trPr>
        <w:tc>
          <w:tcPr>
            <w:tcW w:w="60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19.0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150.6%</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0.88</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0.31</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183.9%</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0.86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0.31</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177.4%</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79.8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77.1</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3.5%</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81.2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78.2</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3.8%</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180" w:hanging="4"/>
        <w:spacing w:after="0" w:line="264" w:lineRule="auto"/>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$5.5 million and $5.3 million for the three months ended March 31, 2014 and 2013, respectively. These fees are primarily based on revenues generated by the franchise offices, which were $256.6 million and $234.7 million for the three months ended March 31, 2014 and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72669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3" w:right="219" w:bottom="1440" w:gutter="0" w:footer="0" w:header="0"/>
        </w:sectPr>
      </w:pPr>
    </w:p>
    <w:bookmarkStart w:id="6" w:name="page7"/>
    <w:bookmarkEnd w:id="6"/>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w w:val="93"/>
              </w:rPr>
              <w:t>Three Months Ended March 31</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(b)</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706.1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386.9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1,145.2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274.7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257.9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1,722.0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1,596.5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1,463.9</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1,370.3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573.7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632.5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4,904.0</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4,768.9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Operating Unit Profit: (a)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81.2%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16.1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61.0%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29.7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72.0%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97.5%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261.4%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256.7%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305.7%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303.8%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87.2</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Corporate expenses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(24.4)</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14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54.4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133.4%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expenses (c)</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117.7</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42.9</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220" w:hanging="4"/>
        <w:spacing w:after="0" w:line="290" w:lineRule="auto"/>
        <w:tabs>
          <w:tab w:leader="none" w:pos="222" w:val="left"/>
        </w:tabs>
        <w:numPr>
          <w:ilvl w:val="0"/>
          <w:numId w:val="2"/>
        </w:numPr>
        <w:rPr>
          <w:rFonts w:ascii="Arial" w:cs="Arial" w:eastAsia="Arial" w:hAnsi="Arial"/>
          <w:sz w:val="14"/>
          <w:szCs w:val="14"/>
          <w:color w:val="auto"/>
        </w:rPr>
      </w:pPr>
      <w:r>
        <w:rPr>
          <w:rFonts w:ascii="Arial" w:cs="Arial" w:eastAsia="Arial" w:hAnsi="Arial"/>
          <w:sz w:val="14"/>
          <w:szCs w:val="14"/>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OUP given the operational nature of these taxes. While we continue to view this tax as operational, during the second quarter of 2013 we changed our internal reporting to exclude the French business tax from the OUP of our France reportable segment. Therefore, we are no longer required to show the business tax amount separately to reconcile to the consolidated results. All previously reported segment results have been restated to conform to the current year presentation. This change in segment reporting has no impact on our reporting of</w:t>
      </w:r>
    </w:p>
    <w:p>
      <w:pPr>
        <w:ind w:left="4"/>
        <w:spacing w:after="0"/>
        <w:rPr>
          <w:rFonts w:ascii="Arial" w:cs="Arial" w:eastAsia="Arial" w:hAnsi="Arial"/>
          <w:sz w:val="14"/>
          <w:szCs w:val="14"/>
          <w:color w:val="auto"/>
        </w:rPr>
      </w:pPr>
      <w:r>
        <w:rPr>
          <w:rFonts w:ascii="Arial" w:cs="Arial" w:eastAsia="Arial" w:hAnsi="Arial"/>
          <w:sz w:val="16"/>
          <w:szCs w:val="16"/>
          <w:color w:val="auto"/>
        </w:rPr>
        <w:t>consolidated results.</w:t>
      </w:r>
    </w:p>
    <w:p>
      <w:pPr>
        <w:spacing w:after="0" w:line="187" w:lineRule="exact"/>
        <w:rPr>
          <w:rFonts w:ascii="Arial" w:cs="Arial" w:eastAsia="Arial" w:hAnsi="Arial"/>
          <w:sz w:val="14"/>
          <w:szCs w:val="14"/>
          <w:color w:val="auto"/>
        </w:rPr>
      </w:pPr>
    </w:p>
    <w:p>
      <w:pPr>
        <w:ind w:left="4" w:right="400" w:hanging="4"/>
        <w:spacing w:after="0" w:line="264" w:lineRule="auto"/>
        <w:tabs>
          <w:tab w:leader="none" w:pos="231"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$3.4 million and $3.2 million for the three months ended March 31, 2014 and 2013, respectively. These fees are primarily based on revenues generated by the franchise offices, which were $169.1 million and $155.1 million for the three months ended March 31, 2014 and 2013,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2013</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10.7</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(0.9)</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(0.9)</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(gain) loss</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0.4</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1.3</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11.5</w:t>
            </w:r>
          </w:p>
        </w:tc>
      </w:tr>
      <w:tr>
        <w:trPr>
          <w:trHeight w:val="356"/>
        </w:trPr>
        <w:tc>
          <w:tcPr>
            <w:tcW w:w="60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253" w:right="21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Mar. 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Dec. 31</w:t>
            </w:r>
          </w:p>
        </w:tc>
      </w:tr>
      <w:tr>
        <w:trPr>
          <w:trHeight w:val="213"/>
        </w:trPr>
        <w:tc>
          <w:tcPr>
            <w:tcW w:w="8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r>
      <w:tr>
        <w:trPr>
          <w:trHeight w:val="192"/>
        </w:trPr>
        <w:tc>
          <w:tcPr>
            <w:tcW w:w="8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color w:val="auto"/>
                <w:w w:val="93"/>
              </w:rPr>
              <w:t>(Unaudited)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696.5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737.6</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4,244.1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4,277.9</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161.3</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Future income tax benefits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66.2</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5,150.6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5,243.0</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1,400.0</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557.2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479.3</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1,968.6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1,879.3</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buildings, leasehold improvements and equipment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706.2</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Less: accumulated depreciation and amortization</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548.7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540.2</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property and equipment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166.0</w:t>
            </w:r>
          </w:p>
        </w:tc>
      </w:tr>
      <w:tr>
        <w:trPr>
          <w:trHeight w:val="24"/>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7,280.0</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7,288.3</w:t>
            </w: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88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1,579.0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1,523.9</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Employee compensation payable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184.3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230.4</w:t>
            </w: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536.1</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Accrued payroll taxes and insurance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578.0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680.7</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502.5</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Short-term borrowings and current maturities of long-term debt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36.0</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3,424.4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3,509.6</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481.9</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395.5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382.6</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864.5</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Capital in excess of par value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3,032.6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3,014.0</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1,317.5</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82.2</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Treasury stock, at cost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(1,527.6)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(1,500.6)</w:t>
            </w:r>
          </w:p>
        </w:tc>
      </w:tr>
      <w:tr>
        <w:trPr>
          <w:trHeight w:val="24"/>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240"/>
              <w:spacing w:after="0"/>
              <w:rPr>
                <w:sz w:val="20"/>
                <w:szCs w:val="20"/>
                <w:color w:val="auto"/>
              </w:rPr>
            </w:pPr>
            <w:r>
              <w:rPr>
                <w:rFonts w:ascii="Arial" w:cs="Arial" w:eastAsia="Arial" w:hAnsi="Arial"/>
                <w:sz w:val="16"/>
                <w:szCs w:val="16"/>
                <w:color w:val="auto"/>
              </w:rPr>
              <w:t>Total shareholders' equity</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2,975.8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2,914.2</w:t>
            </w:r>
          </w:p>
        </w:tc>
      </w:tr>
      <w:tr>
        <w:trPr>
          <w:trHeight w:val="24"/>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8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7,280.0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7,288.3</w:t>
            </w:r>
          </w:p>
        </w:tc>
      </w:tr>
      <w:tr>
        <w:trPr>
          <w:trHeight w:val="356"/>
        </w:trPr>
        <w:tc>
          <w:tcPr>
            <w:tcW w:w="882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2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5"/>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3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gridSpan w:val="4"/>
          </w:tcPr>
          <w:p>
            <w:pPr>
              <w:jc w:val="center"/>
              <w:spacing w:after="0"/>
              <w:rPr>
                <w:sz w:val="20"/>
                <w:szCs w:val="20"/>
                <w:color w:val="auto"/>
              </w:rPr>
            </w:pPr>
            <w:r>
              <w:rPr>
                <w:rFonts w:ascii="Arial" w:cs="Arial" w:eastAsia="Arial" w:hAnsi="Arial"/>
                <w:sz w:val="16"/>
                <w:szCs w:val="16"/>
                <w:color w:val="auto"/>
                <w:w w:val="93"/>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70.1</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Excess tax benefit on exercise of share-based awards</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operating activities</w:t>
            </w: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expenditures</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sales of property and equipment</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460"/>
              <w:spacing w:after="0"/>
              <w:rPr>
                <w:sz w:val="20"/>
                <w:szCs w:val="20"/>
                <w:color w:val="auto"/>
              </w:rPr>
            </w:pPr>
            <w:r>
              <w:rPr>
                <w:rFonts w:ascii="Arial" w:cs="Arial" w:eastAsia="Arial" w:hAnsi="Arial"/>
                <w:sz w:val="16"/>
                <w:szCs w:val="16"/>
                <w:color w:val="auto"/>
              </w:rPr>
              <w:t>Cash used in investing activities</w:t>
            </w:r>
          </w:p>
        </w:tc>
        <w:tc>
          <w:tcPr>
            <w:tcW w:w="76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change in short-term borrowings</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Repayments of long-term debt</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Proceeds from share-based awards</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share-based award transactions, net</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Repurchases of common stock</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provided by financing activities</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82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w:t>
            </w:r>
          </w:p>
        </w:tc>
        <w:tc>
          <w:tcPr>
            <w:tcW w:w="7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7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192"/>
        </w:trPr>
        <w:tc>
          <w:tcPr>
            <w:tcW w:w="8820" w:type="dxa"/>
            <w:vAlign w:val="bottom"/>
            <w:gridSpan w:val="2"/>
          </w:tcPr>
          <w:p>
            <w:pPr>
              <w:spacing w:after="0"/>
              <w:rPr>
                <w:sz w:val="20"/>
                <w:szCs w:val="20"/>
                <w:color w:val="auto"/>
              </w:rPr>
            </w:pPr>
            <w:r>
              <w:rPr>
                <w:rFonts w:ascii="Arial" w:cs="Arial" w:eastAsia="Arial" w:hAnsi="Arial"/>
                <w:sz w:val="16"/>
                <w:szCs w:val="16"/>
                <w:color w:val="auto"/>
              </w:rPr>
              <w:t>Cash and cash equivalents, beginning of period</w:t>
            </w:r>
          </w:p>
        </w:tc>
        <w:tc>
          <w:tcPr>
            <w:tcW w:w="7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737.6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648.1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696.5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53" w:right="219" w:bottom="1440" w:gutter="0" w:footer="0" w:header="0"/>
        </w:sectPr>
      </w:pPr>
    </w:p>
    <w:bookmarkStart w:id="9" w:name="page10"/>
    <w:bookmarkEnd w:id="9"/>
    <w:p>
      <w:pPr>
        <w:ind w:left="92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28575</wp:posOffset>
            </wp:positionV>
            <wp:extent cx="7320280" cy="5883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2019-12-06T04:01:51Z</dcterms:created>
  <dcterms:modified xsi:type="dcterms:W3CDTF">2019-12-06T04:01:51Z</dcterms:modified>
</cp:coreProperties>
</file>